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泉州市物业住宅小区现场检查记录表</w:t>
      </w:r>
    </w:p>
    <w:p>
      <w:pPr>
        <w:spacing w:line="520" w:lineRule="exact"/>
        <w:ind w:left="-435" w:leftChars="-228" w:firstLine="221" w:firstLineChars="100"/>
        <w:jc w:val="right"/>
        <w:rPr>
          <w:rFonts w:hint="eastAsia" w:ascii="仿宋_GB2312" w:hAnsi="宋体" w:eastAsia="仿宋_GB2312"/>
          <w:sz w:val="24"/>
        </w:rPr>
      </w:pPr>
      <w:r>
        <w:rPr>
          <w:rFonts w:hint="eastAsia"/>
          <w:sz w:val="24"/>
        </w:rPr>
        <w:t>检查时间：     年   月   日</w:t>
      </w:r>
    </w:p>
    <w:tbl>
      <w:tblPr>
        <w:tblStyle w:val="3"/>
        <w:tblW w:w="94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565"/>
        <w:gridCol w:w="569"/>
        <w:gridCol w:w="1295"/>
        <w:gridCol w:w="229"/>
        <w:gridCol w:w="924"/>
        <w:gridCol w:w="1224"/>
        <w:gridCol w:w="1082"/>
        <w:gridCol w:w="841"/>
        <w:gridCol w:w="412"/>
        <w:gridCol w:w="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被检查企业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法人代表 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项目经理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项目名称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42" w:rightChars="-127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42" w:rightChars="-127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项目地址</w:t>
            </w:r>
          </w:p>
        </w:tc>
        <w:tc>
          <w:tcPr>
            <w:tcW w:w="50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774" w:firstLineChars="35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区      街道      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一、基础管理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right"/>
              <w:rPr>
                <w:rFonts w:ascii="仿宋" w:hAnsi="仿宋" w:eastAsia="仿宋" w:cs="宋体"/>
                <w:b/>
                <w:bCs/>
                <w:sz w:val="24"/>
                <w:lang w:val="en"/>
              </w:rPr>
            </w:pPr>
            <w:r>
              <w:rPr>
                <w:rFonts w:ascii="仿宋" w:hAnsi="仿宋" w:eastAsia="仿宋"/>
                <w:b/>
                <w:bCs/>
                <w:sz w:val="24"/>
                <w:lang w:val="en"/>
              </w:rPr>
              <w:t>现场检查情况</w:t>
            </w: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三、共用部位、共用设施设备管理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right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lang w:val="en"/>
              </w:rPr>
              <w:t>现场检查情况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1.服务合同未备案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  <w:bCs/>
              </w:rPr>
              <w:t>18.擅自利用物业共用部位、共用设施设备进行经营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2.未</w:t>
            </w:r>
            <w:r>
              <w:rPr>
                <w:rFonts w:hint="eastAsia" w:ascii="仿宋" w:hAnsi="仿宋" w:eastAsia="仿宋"/>
                <w:bCs/>
              </w:rPr>
              <w:t>建立业主投诉登记处理、回访制度并组织实施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  <w:bCs/>
              </w:rPr>
              <w:t>19.侵占、损坏物业管理区域内的共用部位、公共场地、共用设施设备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6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3.未按规定在物业管理区域内的显著位置公示服务电话、服务内容、服务标准、收费项目、收费标准等内容</w:t>
            </w:r>
          </w:p>
        </w:tc>
        <w:tc>
          <w:tcPr>
            <w:tcW w:w="1524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  <w:bCs/>
              </w:rPr>
              <w:t>20.擅自改变物业管理用房用途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31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</w:rPr>
            </w:pPr>
          </w:p>
        </w:tc>
        <w:tc>
          <w:tcPr>
            <w:tcW w:w="152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</w:rPr>
            </w:pP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  <w:bCs/>
              </w:rPr>
              <w:t>21.擅自改变物业管理区域内按照规划建设的公共建筑和共用设施用途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  <w:bCs/>
              </w:rPr>
              <w:t>4.</w:t>
            </w:r>
            <w:r>
              <w:rPr>
                <w:rFonts w:hint="eastAsia" w:ascii="仿宋" w:hAnsi="仿宋" w:eastAsia="仿宋"/>
              </w:rPr>
              <w:t>未</w:t>
            </w:r>
            <w:r>
              <w:rPr>
                <w:rFonts w:hint="eastAsia" w:ascii="仿宋" w:hAnsi="仿宋" w:eastAsia="仿宋"/>
                <w:bCs/>
              </w:rPr>
              <w:t>制定防台、防汛、消防、公共卫生等紧急事件应急预案并定期开展应急演练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  <w:bCs/>
              </w:rPr>
              <w:t>22.擅自占用、挖掘物业管理区域内道路、场地，损害业主共同利益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  <w:bCs/>
              </w:rPr>
              <w:t>5.公共收益</w:t>
            </w:r>
            <w:r>
              <w:rPr>
                <w:rFonts w:hint="eastAsia" w:ascii="仿宋" w:hAnsi="仿宋" w:eastAsia="仿宋"/>
              </w:rPr>
              <w:t>未</w:t>
            </w:r>
            <w:r>
              <w:rPr>
                <w:rFonts w:hint="eastAsia" w:ascii="仿宋" w:hAnsi="仿宋" w:eastAsia="仿宋"/>
                <w:bCs/>
              </w:rPr>
              <w:t>单独建账并定期公布明细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  <w:bCs/>
              </w:rPr>
              <w:t>23.</w:t>
            </w:r>
            <w:r>
              <w:rPr>
                <w:rFonts w:hint="eastAsia" w:ascii="仿宋" w:hAnsi="仿宋" w:eastAsia="仿宋"/>
              </w:rPr>
              <w:t>未</w:t>
            </w:r>
            <w:r>
              <w:rPr>
                <w:rFonts w:hint="eastAsia" w:ascii="仿宋" w:hAnsi="仿宋" w:eastAsia="仿宋"/>
                <w:bCs/>
              </w:rPr>
              <w:t>按规定对共用设施设备进行日常管理、维护保养、运行巡查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  <w:bCs/>
              </w:rPr>
              <w:t>6.公共收益</w:t>
            </w:r>
            <w:r>
              <w:rPr>
                <w:rFonts w:hint="eastAsia" w:ascii="仿宋" w:hAnsi="仿宋" w:eastAsia="仿宋"/>
              </w:rPr>
              <w:t>未</w:t>
            </w:r>
            <w:r>
              <w:rPr>
                <w:rFonts w:hint="eastAsia" w:ascii="仿宋" w:hAnsi="仿宋" w:eastAsia="仿宋"/>
                <w:bCs/>
              </w:rPr>
              <w:t>存入指定账户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  <w:bCs/>
              </w:rPr>
              <w:t>24.电梯轿厢年度安全检验标识、紧急救援电话和使用注意事项</w:t>
            </w:r>
            <w:r>
              <w:rPr>
                <w:rFonts w:hint="eastAsia" w:ascii="仿宋" w:hAnsi="仿宋" w:eastAsia="仿宋"/>
              </w:rPr>
              <w:t>未</w:t>
            </w:r>
            <w:r>
              <w:rPr>
                <w:rFonts w:hint="eastAsia" w:ascii="仿宋" w:hAnsi="仿宋" w:eastAsia="仿宋"/>
                <w:bCs/>
              </w:rPr>
              <w:t>公示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  <w:bCs/>
              </w:rPr>
              <w:t>7.</w:t>
            </w:r>
            <w:r>
              <w:rPr>
                <w:rFonts w:hint="eastAsia" w:ascii="仿宋" w:hAnsi="仿宋" w:eastAsia="仿宋"/>
              </w:rPr>
              <w:t>未</w:t>
            </w:r>
            <w:r>
              <w:rPr>
                <w:rFonts w:hint="eastAsia" w:ascii="仿宋" w:hAnsi="仿宋" w:eastAsia="仿宋"/>
                <w:bCs/>
              </w:rPr>
              <w:t>建立房屋装修登记及日常巡查管理制度并组织实施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  <w:bCs/>
              </w:rPr>
              <w:t>25.电梯设备</w:t>
            </w:r>
            <w:r>
              <w:rPr>
                <w:rFonts w:hint="eastAsia" w:ascii="仿宋" w:hAnsi="仿宋" w:eastAsia="仿宋"/>
              </w:rPr>
              <w:t>未</w:t>
            </w:r>
            <w:r>
              <w:rPr>
                <w:rFonts w:hint="eastAsia" w:ascii="仿宋" w:hAnsi="仿宋" w:eastAsia="仿宋"/>
                <w:bCs/>
              </w:rPr>
              <w:t>按规定进行年度安全检查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8.未按规定开展年度业主满意度调查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  <w:bCs/>
              </w:rPr>
              <w:t>26.消防设施损坏，维护保养不到位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  <w:b/>
                <w:bCs/>
              </w:rPr>
              <w:t>二、公共秩序安全管理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right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/>
                <w:b/>
                <w:bCs/>
                <w:lang w:val="en"/>
              </w:rPr>
              <w:t>现场检查情况</w:t>
            </w: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27.设备用房未公示管理制度、操作流程、操作人员证件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  <w:bCs/>
              </w:rPr>
              <w:t>9、消控室、监控室</w:t>
            </w:r>
            <w:r>
              <w:rPr>
                <w:rFonts w:hint="eastAsia" w:ascii="仿宋" w:hAnsi="仿宋" w:eastAsia="仿宋"/>
              </w:rPr>
              <w:t>未</w:t>
            </w:r>
            <w:r>
              <w:rPr>
                <w:rFonts w:hint="eastAsia" w:ascii="仿宋" w:hAnsi="仿宋" w:eastAsia="仿宋"/>
                <w:bCs/>
              </w:rPr>
              <w:t>实行24小时值班制度并记录值班情况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28.相关人员未掌握设施设备操作技能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  <w:bCs/>
              </w:rPr>
              <w:t>10.公共区域内车辆无序停放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  <w:b/>
                <w:bCs/>
              </w:rPr>
              <w:t>四、环境卫生管理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right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/>
                <w:b/>
                <w:bCs/>
                <w:lang w:val="en"/>
              </w:rPr>
              <w:t>现场检查情况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11.电动自行车违规停放、充电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  <w:bCs/>
              </w:rPr>
              <w:t>29.</w:t>
            </w:r>
            <w:r>
              <w:rPr>
                <w:rFonts w:hint="eastAsia" w:ascii="仿宋" w:hAnsi="仿宋" w:eastAsia="仿宋"/>
              </w:rPr>
              <w:t>未</w:t>
            </w:r>
            <w:r>
              <w:rPr>
                <w:rFonts w:hint="eastAsia" w:ascii="仿宋" w:hAnsi="仿宋" w:eastAsia="仿宋"/>
                <w:bCs/>
              </w:rPr>
              <w:t>建立“四害”消杀制度并组织实施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  <w:bCs/>
              </w:rPr>
              <w:t>12.未履行违章建设（搭盖）的巡查、制止、报告职责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  <w:bCs/>
              </w:rPr>
              <w:t>30.杂物乱堆放、垃圾堆积、卫生死角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  <w:bCs/>
              </w:rPr>
              <w:t>13.车辆堵塞小区消防通道或疏散通道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  <w:bCs/>
              </w:rPr>
              <w:t>31.电力及通讯线缆杂乱 无章、私拉乱挂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  <w:bCs/>
              </w:rPr>
              <w:t>14.</w:t>
            </w:r>
            <w:r>
              <w:rPr>
                <w:rFonts w:hint="eastAsia" w:ascii="仿宋" w:hAnsi="仿宋" w:eastAsia="仿宋"/>
              </w:rPr>
              <w:t>未</w:t>
            </w:r>
            <w:r>
              <w:rPr>
                <w:rFonts w:hint="eastAsia" w:ascii="仿宋" w:hAnsi="仿宋" w:eastAsia="仿宋"/>
                <w:bCs/>
              </w:rPr>
              <w:t>按标准对消防车通道逐一划线、标名、立牌，实行标识化管理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  <w:bCs/>
              </w:rPr>
              <w:t>32.垃圾桶未分类设置，桶身及周边脏污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15.公共区域堆放易燃、易爆品或其他危险品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33.多处乱张贴、乱涂写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16.存在安全隐患逾期未整改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34.</w:t>
            </w:r>
            <w:r>
              <w:rPr>
                <w:rFonts w:hint="eastAsia" w:ascii="仿宋" w:hAnsi="仿宋" w:eastAsia="仿宋"/>
                <w:sz w:val="24"/>
              </w:rPr>
              <w:t>未</w:t>
            </w:r>
            <w:r>
              <w:rPr>
                <w:rFonts w:hint="eastAsia" w:ascii="仿宋" w:hAnsi="仿宋" w:eastAsia="仿宋"/>
                <w:bCs/>
                <w:sz w:val="24"/>
              </w:rPr>
              <w:t>按要求对生活水箱进行清洗并检测水质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17.存在安全隐患的部位未设置警示标志或防护设施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35.公共绿地存在被改变用途、破坏、占用等现象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36.公共绿化未设置爱护绿化提示牌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42.未按照协议约定及时退还装修保证金及其他应退还费用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37.公共绿化未适时修剪、清除杂草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43.因企业原因被投诉举报且逾期未整改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38.未开展公益广告宣传（内容及时更新、广告美观无破损）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44.经查证属实的企业不良行为逾期未整改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  <w:b/>
                <w:bCs/>
              </w:rPr>
              <w:t>五、其他违规违法行为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right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/>
                <w:b/>
                <w:bCs/>
                <w:lang w:val="en"/>
              </w:rPr>
              <w:t>现场检查情况</w:t>
            </w: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45.企业受到各级相关部门批评通报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39.无正当理由拒不配合主管部门或其他部门的行政执法、日常检查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46.未按照法律、法规规定和（前期）物业服务合同的约定，做好物业管理区域内安全防范工作，导致业主人身、财产安全受到损害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40.采取停水、停电或其他违规方式催缴物业服务费等费用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47.未按规定履行物业承接查验义务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41.未经双方约定，擅自收取或提高相关费用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</w:rPr>
            </w:pP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lef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本次检查综合评价</w:t>
            </w:r>
          </w:p>
        </w:tc>
        <w:tc>
          <w:tcPr>
            <w:tcW w:w="68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宋体"/>
                <w:bCs/>
                <w:sz w:val="24"/>
              </w:rPr>
            </w:pPr>
          </w:p>
        </w:tc>
      </w:tr>
    </w:tbl>
    <w:p>
      <w:pPr>
        <w:spacing w:line="500" w:lineRule="exact"/>
        <w:jc w:val="left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检查组成员（签字）：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  </w:t>
      </w:r>
    </w:p>
    <w:p>
      <w:pPr>
        <w:rPr>
          <w:rFonts w:hint="eastAsia" w:ascii="宋体" w:hAnsi="宋体" w:eastAsia="仿宋_GB2312"/>
          <w:b/>
          <w:sz w:val="36"/>
          <w:szCs w:val="36"/>
        </w:rPr>
      </w:pPr>
      <w:r>
        <w:rPr>
          <w:rFonts w:hint="eastAsia" w:ascii="仿宋" w:hAnsi="仿宋" w:eastAsia="仿宋"/>
          <w:sz w:val="28"/>
          <w:szCs w:val="28"/>
        </w:rPr>
        <w:t>受检单位人员（签字）：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</w:t>
      </w:r>
    </w:p>
    <w:p>
      <w:pPr>
        <w:spacing w:line="520" w:lineRule="exact"/>
        <w:rPr>
          <w:rFonts w:hint="eastAsia"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 xml:space="preserve"> </w:t>
      </w:r>
    </w:p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泉州市物业住宅小区检查问题告知单</w:t>
      </w:r>
    </w:p>
    <w:p>
      <w:pPr>
        <w:ind w:firstLine="2088" w:firstLineChars="8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检查时间：</w:t>
      </w:r>
      <w:r>
        <w:rPr>
          <w:rFonts w:hint="eastAsia"/>
          <w:sz w:val="28"/>
          <w:szCs w:val="28"/>
        </w:rPr>
        <w:t xml:space="preserve">  年   月   日</w:t>
      </w:r>
    </w:p>
    <w:tbl>
      <w:tblPr>
        <w:tblStyle w:val="3"/>
        <w:tblW w:w="8960" w:type="dxa"/>
        <w:tblInd w:w="-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4320"/>
        <w:gridCol w:w="128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受检企业</w:t>
            </w:r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法人代表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项目名称</w:t>
            </w:r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242" w:rightChars="-127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242" w:rightChars="-127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项目经理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项目地点</w:t>
            </w:r>
          </w:p>
        </w:tc>
        <w:tc>
          <w:tcPr>
            <w:tcW w:w="7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区          街道          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存  在  问  题</w:t>
            </w:r>
          </w:p>
        </w:tc>
        <w:tc>
          <w:tcPr>
            <w:tcW w:w="7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受检企业（负责人）签认</w:t>
            </w:r>
          </w:p>
        </w:tc>
        <w:tc>
          <w:tcPr>
            <w:tcW w:w="7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</w:t>
            </w:r>
          </w:p>
        </w:tc>
        <w:tc>
          <w:tcPr>
            <w:tcW w:w="7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111" w:firstLineChars="50"/>
        <w:rPr>
          <w:rFonts w:hint="eastAsia" w:ascii="仿宋_GB2312" w:hAnsi="仿宋" w:eastAsia="仿宋_GB2312"/>
          <w:sz w:val="24"/>
        </w:rPr>
      </w:pPr>
      <w:r>
        <w:rPr>
          <w:rFonts w:hint="eastAsia" w:hAnsi="仿宋"/>
          <w:sz w:val="24"/>
        </w:rPr>
        <w:t>注：1.此表一式两份，检查单位、受检企业各留存一份；</w:t>
      </w:r>
    </w:p>
    <w:p>
      <w:pPr>
        <w:ind w:firstLine="542" w:firstLineChars="245"/>
        <w:rPr>
          <w:rFonts w:hint="eastAsia" w:hAnsi="宋体"/>
          <w:sz w:val="24"/>
        </w:rPr>
      </w:pPr>
      <w:r>
        <w:rPr>
          <w:rFonts w:hint="eastAsia" w:hAnsi="仿宋"/>
          <w:sz w:val="24"/>
        </w:rPr>
        <w:t>2.请受检企业1个月内将整改情况（盖公章）反馈至区级住建部门。</w:t>
      </w:r>
    </w:p>
    <w:p>
      <w:pPr>
        <w:spacing w:line="540" w:lineRule="exact"/>
        <w:ind w:right="246" w:rightChars="129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</w:pPr>
      <w:bookmarkStart w:id="0" w:name="_GoBack"/>
      <w:bookmarkEnd w:id="0"/>
    </w:p>
    <w:sectPr>
      <w:footerReference r:id="rId3" w:type="default"/>
      <w:pgSz w:w="11906" w:h="16838"/>
      <w:pgMar w:top="2098" w:right="1644" w:bottom="1701" w:left="1701" w:header="851" w:footer="992" w:gutter="0"/>
      <w:pgNumType w:fmt="numberInDash"/>
      <w:cols w:space="720" w:num="1"/>
      <w:docGrid w:type="linesAndChars" w:linePitch="592" w:charSpace="-40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28"/>
        <w:szCs w:val="28"/>
      </w:rPr>
    </w:pPr>
    <w:r>
      <w:rPr>
        <w:rStyle w:val="6"/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6"/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  <w:lang/>
      </w:rPr>
      <w:t>- 8 -</w:t>
    </w:r>
    <w:r>
      <w:rPr>
        <w:rStyle w:val="6"/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Y2IwMWQxYzhjZDU3NzhkYjEwMTRmMTg2OTY1N2IifQ=="/>
  </w:docVars>
  <w:rsids>
    <w:rsidRoot w:val="00C942AC"/>
    <w:rsid w:val="00416221"/>
    <w:rsid w:val="00750F97"/>
    <w:rsid w:val="008A29A5"/>
    <w:rsid w:val="00C942AC"/>
    <w:rsid w:val="00D47CB7"/>
    <w:rsid w:val="16FE31B3"/>
    <w:rsid w:val="710A0D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 Char Char Char Char Char Char Char Char Char"/>
    <w:basedOn w:val="1"/>
    <w:link w:val="4"/>
    <w:uiPriority w:val="0"/>
    <w:rPr>
      <w:rFonts w:ascii="Tahoma" w:hAnsi="Tahoma" w:eastAsia="楷体_GB2312"/>
      <w:spacing w:val="10"/>
      <w:sz w:val="24"/>
      <w:szCs w:val="20"/>
    </w:rPr>
  </w:style>
  <w:style w:type="character" w:styleId="6">
    <w:name w:val="page number"/>
    <w:basedOn w:val="4"/>
    <w:uiPriority w:val="0"/>
  </w:style>
  <w:style w:type="character" w:styleId="7">
    <w:name w:val="Hyperlink"/>
    <w:basedOn w:val="4"/>
    <w:uiPriority w:val="0"/>
    <w:rPr>
      <w:color w:val="0000FF"/>
      <w:u w:val="single"/>
    </w:rPr>
  </w:style>
  <w:style w:type="character" w:customStyle="1" w:styleId="8">
    <w:name w:val="15"/>
    <w:basedOn w:val="4"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8</Pages>
  <Words>2907</Words>
  <Characters>3066</Characters>
  <Lines>25</Lines>
  <Paragraphs>7</Paragraphs>
  <TotalTime>3</TotalTime>
  <ScaleCrop>false</ScaleCrop>
  <LinksUpToDate>false</LinksUpToDate>
  <CharactersWithSpaces>3294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2023-06-20T02:30:00Z</dcterms:created>
  <dc:creator>刘一谊/办公室</dc:creator>
  <cp:lastModifiedBy>Administrator</cp:lastModifiedBy>
  <dcterms:modified xsi:type="dcterms:W3CDTF">2023-07-13T03:08:02Z</dcterms:modified>
  <dc:title>泉建房〔2023〕28号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8DDDD04AD26643E6A5203AA2363AEFD6_13</vt:lpwstr>
  </property>
</Properties>
</file>