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黑体" w:hAnsi="黑体" w:eastAsia="黑体" w:cs="宋体"/>
          <w:color w:val="333333"/>
          <w:kern w:val="0"/>
          <w:sz w:val="36"/>
          <w:szCs w:val="36"/>
        </w:rPr>
      </w:pPr>
    </w:p>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asciiTheme="majorEastAsia" w:hAnsiTheme="majorEastAsia" w:eastAsiaTheme="majorEastAsia" w:cstheme="majorEastAsia"/>
          <w:b/>
          <w:bCs/>
          <w:color w:val="333333"/>
          <w:kern w:val="0"/>
          <w:sz w:val="44"/>
          <w:szCs w:val="44"/>
        </w:rPr>
      </w:pPr>
      <w:r>
        <w:rPr>
          <w:rFonts w:hint="eastAsia" w:asciiTheme="majorEastAsia" w:hAnsiTheme="majorEastAsia" w:eastAsiaTheme="majorEastAsia" w:cstheme="majorEastAsia"/>
          <w:b/>
          <w:bCs/>
          <w:color w:val="333333"/>
          <w:kern w:val="0"/>
          <w:sz w:val="44"/>
          <w:szCs w:val="44"/>
        </w:rPr>
        <w:t>泉州市住房和城乡建设局关于进一步规范</w:t>
      </w:r>
    </w:p>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heme="majorEastAsia" w:hAnsiTheme="majorEastAsia" w:eastAsiaTheme="majorEastAsia" w:cstheme="majorEastAsia"/>
          <w:b/>
          <w:bCs/>
          <w:color w:val="333333"/>
          <w:kern w:val="0"/>
          <w:sz w:val="44"/>
          <w:szCs w:val="44"/>
        </w:rPr>
      </w:pPr>
      <w:r>
        <w:rPr>
          <w:rFonts w:hint="eastAsia" w:asciiTheme="majorEastAsia" w:hAnsiTheme="majorEastAsia" w:eastAsiaTheme="majorEastAsia" w:cstheme="majorEastAsia"/>
          <w:b/>
          <w:bCs/>
          <w:color w:val="333333"/>
          <w:kern w:val="0"/>
          <w:sz w:val="44"/>
          <w:szCs w:val="44"/>
        </w:rPr>
        <w:t>新建商品房买卖合同网签备案</w:t>
      </w:r>
    </w:p>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asciiTheme="majorEastAsia" w:hAnsiTheme="majorEastAsia" w:eastAsiaTheme="majorEastAsia" w:cstheme="majorEastAsia"/>
          <w:b/>
          <w:bCs/>
          <w:color w:val="333333"/>
          <w:kern w:val="0"/>
          <w:sz w:val="44"/>
          <w:szCs w:val="44"/>
        </w:rPr>
      </w:pPr>
      <w:r>
        <w:rPr>
          <w:rFonts w:hint="eastAsia" w:asciiTheme="majorEastAsia" w:hAnsiTheme="majorEastAsia" w:eastAsiaTheme="majorEastAsia" w:cstheme="majorEastAsia"/>
          <w:b/>
          <w:bCs/>
          <w:color w:val="333333"/>
          <w:kern w:val="0"/>
          <w:sz w:val="44"/>
          <w:szCs w:val="44"/>
        </w:rPr>
        <w:t>注销</w:t>
      </w:r>
      <w:r>
        <w:rPr>
          <w:rFonts w:hint="eastAsia" w:asciiTheme="majorEastAsia" w:hAnsiTheme="majorEastAsia" w:eastAsiaTheme="majorEastAsia" w:cstheme="majorEastAsia"/>
          <w:b/>
          <w:bCs/>
          <w:color w:val="333333"/>
          <w:kern w:val="0"/>
          <w:sz w:val="44"/>
          <w:szCs w:val="44"/>
          <w:lang w:eastAsia="zh-CN"/>
        </w:rPr>
        <w:t>与</w:t>
      </w:r>
      <w:r>
        <w:rPr>
          <w:rFonts w:hint="eastAsia" w:asciiTheme="majorEastAsia" w:hAnsiTheme="majorEastAsia" w:eastAsiaTheme="majorEastAsia" w:cstheme="majorEastAsia"/>
          <w:b/>
          <w:bCs/>
          <w:color w:val="333333"/>
          <w:kern w:val="0"/>
          <w:sz w:val="44"/>
          <w:szCs w:val="44"/>
        </w:rPr>
        <w:t>变更工作的通知</w:t>
      </w:r>
    </w:p>
    <w:p>
      <w:pPr>
        <w:jc w:val="center"/>
        <w:rPr>
          <w:rFonts w:ascii="方正楷体简体" w:hAnsi="方正楷体简体" w:eastAsia="方正楷体简体" w:cs="方正楷体简体"/>
          <w:color w:val="333333"/>
          <w:kern w:val="0"/>
          <w:sz w:val="32"/>
          <w:szCs w:val="32"/>
        </w:rPr>
      </w:pPr>
      <w:r>
        <w:rPr>
          <w:rFonts w:hint="eastAsia" w:ascii="方正楷体简体" w:hAnsi="方正楷体简体" w:eastAsia="方正楷体简体" w:cs="方正楷体简体"/>
          <w:color w:val="333333"/>
          <w:kern w:val="0"/>
          <w:sz w:val="32"/>
          <w:szCs w:val="32"/>
        </w:rPr>
        <w:t>（</w:t>
      </w:r>
      <w:r>
        <w:rPr>
          <w:rFonts w:hint="eastAsia" w:ascii="方正楷体简体" w:hAnsi="方正楷体简体" w:eastAsia="方正楷体简体" w:cs="方正楷体简体"/>
          <w:color w:val="333333"/>
          <w:kern w:val="0"/>
          <w:sz w:val="32"/>
          <w:szCs w:val="32"/>
          <w:lang w:eastAsia="zh-CN"/>
        </w:rPr>
        <w:t>意见征求</w:t>
      </w:r>
      <w:r>
        <w:rPr>
          <w:rFonts w:hint="eastAsia" w:ascii="方正楷体简体" w:hAnsi="方正楷体简体" w:eastAsia="方正楷体简体" w:cs="方正楷体简体"/>
          <w:color w:val="333333"/>
          <w:kern w:val="0"/>
          <w:sz w:val="32"/>
          <w:szCs w:val="32"/>
        </w:rPr>
        <w:t>稿）</w:t>
      </w:r>
    </w:p>
    <w:p>
      <w:pPr>
        <w:tabs>
          <w:tab w:val="left" w:pos="3705"/>
        </w:tabs>
        <w:rPr>
          <w:rFonts w:ascii="宋体" w:hAnsi="宋体" w:eastAsia="宋体" w:cs="宋体"/>
          <w:color w:val="333333"/>
          <w:kern w:val="0"/>
          <w:sz w:val="32"/>
          <w:szCs w:val="32"/>
        </w:rPr>
      </w:pPr>
      <w:r>
        <w:tab/>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color w:val="000000" w:themeColor="text1"/>
          <w:sz w:val="32"/>
          <w:szCs w:val="32"/>
        </w:rPr>
      </w:pPr>
      <w:r>
        <w:rPr>
          <w:rFonts w:hint="eastAsia" w:ascii="仿宋_GB2312" w:hAnsi="仿宋_GB2312" w:eastAsia="仿宋_GB2312" w:cs="仿宋_GB2312"/>
          <w:color w:val="000000" w:themeColor="text1"/>
          <w:sz w:val="32"/>
          <w:szCs w:val="32"/>
        </w:rPr>
        <w:t>各县（市、区），泉州开发区、泉州台商投资区房地产主管部门，市房地产交易与监测中心：</w:t>
      </w:r>
    </w:p>
    <w:p>
      <w:pPr>
        <w:keepNext w:val="0"/>
        <w:keepLines w:val="0"/>
        <w:pageBreakBefore w:val="0"/>
        <w:widowControl w:val="0"/>
        <w:kinsoku/>
        <w:wordWrap/>
        <w:overflowPunct/>
        <w:topLinePunct w:val="0"/>
        <w:autoSpaceDE/>
        <w:autoSpaceDN/>
        <w:bidi w:val="0"/>
        <w:adjustRightInd/>
        <w:snapToGrid/>
        <w:spacing w:line="560" w:lineRule="exact"/>
        <w:ind w:firstLine="656" w:firstLineChars="205"/>
        <w:textAlignment w:val="auto"/>
        <w:rPr>
          <w:rFonts w:hint="eastAsia" w:ascii="仿宋_GB2312" w:hAnsi="仿宋_GB2312" w:eastAsia="仿宋_GB2312" w:cs="仿宋_GB2312"/>
          <w:color w:val="000000" w:themeColor="text1"/>
          <w:sz w:val="32"/>
          <w:szCs w:val="32"/>
        </w:rPr>
      </w:pPr>
      <w:r>
        <w:rPr>
          <w:rFonts w:hint="eastAsia" w:ascii="仿宋_GB2312" w:hAnsi="仿宋_GB2312" w:eastAsia="仿宋_GB2312" w:cs="仿宋_GB2312"/>
          <w:color w:val="000000" w:themeColor="text1"/>
          <w:sz w:val="32"/>
          <w:szCs w:val="32"/>
        </w:rPr>
        <w:t>为进一步规范我市新建商品房买卖合同网签备案注销与变更工作，维护房地产市场秩序，促进我市房地产市场平稳健康发展，根据上级有关文件精神，结合我市实际，现将有关事项通知如下：</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000000" w:themeColor="text1"/>
          <w:sz w:val="32"/>
          <w:szCs w:val="32"/>
        </w:rPr>
      </w:pPr>
      <w:r>
        <w:rPr>
          <w:rFonts w:hint="eastAsia" w:ascii="黑体" w:hAnsi="黑体" w:eastAsia="黑体" w:cs="黑体"/>
          <w:color w:val="000000" w:themeColor="text1"/>
          <w:sz w:val="32"/>
          <w:szCs w:val="32"/>
          <w:lang w:eastAsia="zh-CN"/>
        </w:rPr>
        <w:t>一、</w:t>
      </w:r>
      <w:r>
        <w:rPr>
          <w:rFonts w:hint="eastAsia" w:ascii="仿宋_GB2312" w:hAnsi="仿宋_GB2312" w:eastAsia="仿宋_GB2312" w:cs="仿宋_GB2312"/>
          <w:color w:val="000000" w:themeColor="text1"/>
          <w:sz w:val="32"/>
          <w:szCs w:val="32"/>
        </w:rPr>
        <w:t>新建商品房严格实行购房实名制</w:t>
      </w:r>
      <w:r>
        <w:rPr>
          <w:rFonts w:hint="eastAsia" w:ascii="仿宋_GB2312" w:hAnsi="仿宋_GB2312" w:eastAsia="仿宋_GB2312" w:cs="仿宋_GB2312"/>
          <w:color w:val="000000" w:themeColor="text1"/>
          <w:sz w:val="32"/>
          <w:szCs w:val="32"/>
          <w:lang w:eastAsia="zh-CN"/>
        </w:rPr>
        <w:t>，</w:t>
      </w:r>
      <w:r>
        <w:rPr>
          <w:rFonts w:hint="eastAsia" w:ascii="仿宋_GB2312" w:hAnsi="仿宋_GB2312" w:eastAsia="仿宋_GB2312" w:cs="仿宋_GB2312"/>
          <w:color w:val="000000" w:themeColor="text1"/>
          <w:sz w:val="32"/>
          <w:szCs w:val="32"/>
        </w:rPr>
        <w:t>认购后不得擅自变更购房者姓名。</w:t>
      </w:r>
      <w:r>
        <w:rPr>
          <w:rFonts w:hint="eastAsia" w:ascii="仿宋_GB2312" w:hAnsi="仿宋_GB2312" w:eastAsia="仿宋_GB2312" w:cs="仿宋_GB2312"/>
          <w:color w:val="000000" w:themeColor="text1"/>
          <w:sz w:val="32"/>
          <w:szCs w:val="32"/>
          <w:lang w:eastAsia="zh-CN"/>
        </w:rPr>
        <w:t>属地</w:t>
      </w:r>
      <w:r>
        <w:rPr>
          <w:rFonts w:hint="eastAsia" w:ascii="仿宋_GB2312" w:hAnsi="仿宋_GB2312" w:eastAsia="仿宋_GB2312" w:cs="仿宋_GB2312"/>
          <w:color w:val="000000" w:themeColor="text1"/>
          <w:sz w:val="32"/>
          <w:szCs w:val="32"/>
        </w:rPr>
        <w:t>房地产主管部门要组织房地产开发企业在新建商品房买卖合同网签时向购房人做好实名制宣传工作，严格执行网签合同备案实名制。</w:t>
      </w:r>
    </w:p>
    <w:p>
      <w:pPr>
        <w:keepNext w:val="0"/>
        <w:keepLines w:val="0"/>
        <w:pageBreakBefore w:val="0"/>
        <w:widowControl w:val="0"/>
        <w:kinsoku/>
        <w:wordWrap/>
        <w:overflowPunct/>
        <w:topLinePunct w:val="0"/>
        <w:autoSpaceDE/>
        <w:autoSpaceDN/>
        <w:bidi w:val="0"/>
        <w:adjustRightInd/>
        <w:snapToGrid/>
        <w:spacing w:line="560" w:lineRule="exact"/>
        <w:ind w:firstLine="656" w:firstLineChars="205"/>
        <w:textAlignment w:val="auto"/>
        <w:rPr>
          <w:rFonts w:hint="eastAsia" w:ascii="仿宋_GB2312" w:hAnsi="仿宋_GB2312" w:eastAsia="仿宋_GB2312" w:cs="仿宋_GB2312"/>
          <w:color w:val="000000"/>
          <w:sz w:val="32"/>
          <w:szCs w:val="32"/>
        </w:rPr>
      </w:pPr>
      <w:r>
        <w:rPr>
          <w:rFonts w:hint="eastAsia" w:ascii="黑体" w:hAnsi="黑体" w:eastAsia="黑体" w:cs="黑体"/>
          <w:b w:val="0"/>
          <w:bCs/>
          <w:color w:val="000000"/>
          <w:sz w:val="32"/>
          <w:szCs w:val="32"/>
          <w:lang w:eastAsia="zh-CN"/>
        </w:rPr>
        <w:t>二</w:t>
      </w:r>
      <w:r>
        <w:rPr>
          <w:rFonts w:hint="eastAsia" w:ascii="黑体" w:hAnsi="黑体" w:eastAsia="黑体" w:cs="黑体"/>
          <w:b w:val="0"/>
          <w:bCs/>
          <w:color w:val="000000"/>
          <w:sz w:val="32"/>
          <w:szCs w:val="32"/>
        </w:rPr>
        <w:t>、</w:t>
      </w:r>
      <w:r>
        <w:rPr>
          <w:rFonts w:hint="eastAsia" w:ascii="仿宋_GB2312" w:hAnsi="仿宋_GB2312" w:eastAsia="仿宋_GB2312" w:cs="仿宋_GB2312"/>
          <w:color w:val="000000"/>
          <w:sz w:val="32"/>
          <w:szCs w:val="32"/>
        </w:rPr>
        <w:t>办理新建商品房买卖合同网签备案注销、变更</w:t>
      </w:r>
      <w:r>
        <w:rPr>
          <w:rFonts w:hint="eastAsia" w:ascii="仿宋_GB2312" w:hAnsi="仿宋_GB2312" w:eastAsia="仿宋_GB2312" w:cs="仿宋_GB2312"/>
          <w:color w:val="000000"/>
          <w:sz w:val="32"/>
          <w:szCs w:val="32"/>
          <w:lang w:eastAsia="zh-CN"/>
        </w:rPr>
        <w:t>，除</w:t>
      </w:r>
      <w:r>
        <w:rPr>
          <w:rFonts w:hint="eastAsia" w:ascii="仿宋_GB2312" w:hAnsi="仿宋_GB2312" w:eastAsia="仿宋_GB2312" w:cs="仿宋_GB2312"/>
          <w:color w:val="000000"/>
          <w:sz w:val="32"/>
          <w:szCs w:val="32"/>
        </w:rPr>
        <w:t>生效法律文件</w:t>
      </w:r>
      <w:r>
        <w:rPr>
          <w:rFonts w:hint="eastAsia" w:ascii="仿宋_GB2312" w:hAnsi="仿宋_GB2312" w:eastAsia="仿宋_GB2312" w:cs="仿宋_GB2312"/>
          <w:color w:val="000000"/>
          <w:sz w:val="32"/>
          <w:szCs w:val="32"/>
          <w:lang w:eastAsia="zh-CN"/>
        </w:rPr>
        <w:t>明确买卖合同已</w:t>
      </w:r>
      <w:r>
        <w:rPr>
          <w:rFonts w:hint="eastAsia" w:ascii="仿宋_GB2312" w:hAnsi="仿宋_GB2312" w:eastAsia="仿宋_GB2312" w:cs="仿宋_GB2312"/>
          <w:color w:val="000000"/>
          <w:sz w:val="32"/>
          <w:szCs w:val="32"/>
        </w:rPr>
        <w:t>解除</w:t>
      </w:r>
      <w:r>
        <w:rPr>
          <w:rFonts w:hint="eastAsia" w:ascii="仿宋_GB2312" w:hAnsi="仿宋_GB2312" w:eastAsia="仿宋_GB2312" w:cs="仿宋_GB2312"/>
          <w:color w:val="000000"/>
          <w:sz w:val="32"/>
          <w:szCs w:val="32"/>
          <w:lang w:eastAsia="zh-CN"/>
        </w:rPr>
        <w:t>外，房地产开发企业</w:t>
      </w:r>
      <w:r>
        <w:rPr>
          <w:rFonts w:hint="eastAsia" w:ascii="仿宋_GB2312" w:hAnsi="仿宋_GB2312" w:eastAsia="仿宋_GB2312" w:cs="仿宋_GB2312"/>
          <w:color w:val="000000"/>
          <w:sz w:val="32"/>
          <w:szCs w:val="32"/>
        </w:rPr>
        <w:t>和买受人应共同向房屋交易</w:t>
      </w:r>
      <w:r>
        <w:rPr>
          <w:rFonts w:hint="eastAsia" w:ascii="仿宋_GB2312" w:hAnsi="仿宋_GB2312" w:eastAsia="仿宋_GB2312" w:cs="仿宋_GB2312"/>
          <w:color w:val="000000"/>
          <w:sz w:val="32"/>
          <w:szCs w:val="32"/>
          <w:lang w:eastAsia="zh-CN"/>
        </w:rPr>
        <w:t>机构</w:t>
      </w:r>
      <w:r>
        <w:rPr>
          <w:rFonts w:hint="eastAsia" w:ascii="仿宋_GB2312" w:hAnsi="仿宋_GB2312" w:eastAsia="仿宋_GB2312" w:cs="仿宋_GB2312"/>
          <w:color w:val="000000"/>
          <w:sz w:val="32"/>
          <w:szCs w:val="32"/>
        </w:rPr>
        <w:t>提出申请</w:t>
      </w:r>
      <w:r>
        <w:rPr>
          <w:rFonts w:hint="eastAsia" w:ascii="仿宋_GB2312" w:hAnsi="仿宋_GB2312" w:eastAsia="仿宋_GB2312" w:cs="仿宋_GB2312"/>
          <w:color w:val="000000"/>
          <w:sz w:val="32"/>
          <w:szCs w:val="32"/>
          <w:lang w:eastAsia="zh-CN"/>
        </w:rPr>
        <w:t>，房地产开发企业或</w:t>
      </w:r>
      <w:r>
        <w:rPr>
          <w:rFonts w:hint="eastAsia" w:ascii="仿宋_GB2312" w:hAnsi="仿宋_GB2312" w:eastAsia="仿宋_GB2312" w:cs="仿宋_GB2312"/>
          <w:color w:val="000000"/>
          <w:sz w:val="32"/>
          <w:szCs w:val="32"/>
        </w:rPr>
        <w:t>买受人</w:t>
      </w:r>
      <w:r>
        <w:rPr>
          <w:rFonts w:hint="eastAsia" w:ascii="仿宋_GB2312" w:hAnsi="仿宋_GB2312" w:eastAsia="仿宋_GB2312" w:cs="仿宋_GB2312"/>
          <w:color w:val="000000"/>
          <w:sz w:val="32"/>
          <w:szCs w:val="32"/>
          <w:lang w:eastAsia="zh-CN"/>
        </w:rPr>
        <w:t>任何一方不便向房屋</w:t>
      </w:r>
      <w:r>
        <w:rPr>
          <w:rFonts w:hint="eastAsia" w:ascii="仿宋_GB2312" w:hAnsi="仿宋_GB2312" w:eastAsia="仿宋_GB2312" w:cs="仿宋_GB2312"/>
          <w:color w:val="000000"/>
          <w:sz w:val="32"/>
          <w:szCs w:val="32"/>
        </w:rPr>
        <w:t>交易</w:t>
      </w:r>
      <w:r>
        <w:rPr>
          <w:rFonts w:hint="eastAsia" w:ascii="仿宋_GB2312" w:hAnsi="仿宋_GB2312" w:eastAsia="仿宋_GB2312" w:cs="仿宋_GB2312"/>
          <w:color w:val="000000"/>
          <w:sz w:val="32"/>
          <w:szCs w:val="32"/>
          <w:lang w:eastAsia="zh-CN"/>
        </w:rPr>
        <w:t>机构提出申请的，</w:t>
      </w:r>
      <w:r>
        <w:rPr>
          <w:rFonts w:hint="eastAsia" w:ascii="仿宋_GB2312" w:hAnsi="仿宋_GB2312" w:eastAsia="仿宋_GB2312" w:cs="仿宋_GB2312"/>
          <w:color w:val="000000"/>
          <w:sz w:val="32"/>
          <w:szCs w:val="32"/>
        </w:rPr>
        <w:t>需提供法院协助执行通知书或授权委托公证书。</w:t>
      </w:r>
    </w:p>
    <w:p>
      <w:pPr>
        <w:keepNext w:val="0"/>
        <w:keepLines w:val="0"/>
        <w:pageBreakBefore w:val="0"/>
        <w:widowControl w:val="0"/>
        <w:kinsoku/>
        <w:wordWrap/>
        <w:overflowPunct/>
        <w:topLinePunct w:val="0"/>
        <w:autoSpaceDE/>
        <w:autoSpaceDN/>
        <w:bidi w:val="0"/>
        <w:adjustRightInd/>
        <w:snapToGrid/>
        <w:spacing w:line="560" w:lineRule="exact"/>
        <w:ind w:firstLine="656" w:firstLineChars="205"/>
        <w:textAlignment w:val="auto"/>
        <w:rPr>
          <w:rFonts w:hint="eastAsia" w:ascii="仿宋_GB2312" w:hAnsi="仿宋_GB2312" w:eastAsia="仿宋_GB2312" w:cs="仿宋_GB2312"/>
          <w:color w:val="000000"/>
          <w:sz w:val="32"/>
          <w:szCs w:val="32"/>
          <w:lang w:eastAsia="zh-CN"/>
        </w:rPr>
      </w:pPr>
      <w:r>
        <w:rPr>
          <w:rFonts w:hint="eastAsia" w:ascii="黑体" w:hAnsi="黑体" w:eastAsia="黑体" w:cs="黑体"/>
          <w:b w:val="0"/>
          <w:bCs/>
          <w:color w:val="000000"/>
          <w:sz w:val="32"/>
          <w:szCs w:val="32"/>
          <w:lang w:eastAsia="zh-CN"/>
        </w:rPr>
        <w:t>三</w:t>
      </w:r>
      <w:r>
        <w:rPr>
          <w:rFonts w:hint="eastAsia" w:ascii="黑体" w:hAnsi="黑体" w:eastAsia="黑体" w:cs="黑体"/>
          <w:b w:val="0"/>
          <w:bCs/>
          <w:color w:val="000000"/>
          <w:sz w:val="32"/>
          <w:szCs w:val="32"/>
        </w:rPr>
        <w:t>、</w:t>
      </w:r>
      <w:r>
        <w:rPr>
          <w:rFonts w:hint="eastAsia" w:ascii="仿宋_GB2312" w:hAnsi="仿宋_GB2312" w:eastAsia="仿宋_GB2312" w:cs="仿宋_GB2312"/>
          <w:color w:val="000000"/>
          <w:sz w:val="32"/>
          <w:szCs w:val="32"/>
          <w:lang w:eastAsia="zh-CN"/>
        </w:rPr>
        <w:t>具有下列情形之一的，不予办理商品房买卖合同网签备案注销、变更手续：</w:t>
      </w:r>
    </w:p>
    <w:p>
      <w:pPr>
        <w:keepNext w:val="0"/>
        <w:keepLines w:val="0"/>
        <w:pageBreakBefore w:val="0"/>
        <w:widowControl w:val="0"/>
        <w:kinsoku/>
        <w:wordWrap/>
        <w:overflowPunct/>
        <w:topLinePunct w:val="0"/>
        <w:autoSpaceDE/>
        <w:autoSpaceDN/>
        <w:bidi w:val="0"/>
        <w:adjustRightInd/>
        <w:snapToGrid/>
        <w:spacing w:line="560" w:lineRule="exact"/>
        <w:ind w:firstLine="658" w:firstLineChars="205"/>
        <w:textAlignment w:val="auto"/>
        <w:rPr>
          <w:rFonts w:hint="eastAsia" w:ascii="仿宋_GB2312" w:hAnsi="仿宋_GB2312" w:eastAsia="仿宋_GB2312" w:cs="仿宋_GB2312"/>
          <w:color w:val="000000"/>
          <w:sz w:val="32"/>
          <w:szCs w:val="32"/>
        </w:rPr>
      </w:pPr>
      <w:r>
        <w:rPr>
          <w:rFonts w:hint="eastAsia" w:ascii="楷体" w:hAnsi="楷体" w:eastAsia="楷体" w:cs="楷体"/>
          <w:b/>
          <w:bCs/>
          <w:color w:val="000000"/>
          <w:sz w:val="32"/>
          <w:szCs w:val="32"/>
        </w:rPr>
        <w:t>（一）</w:t>
      </w:r>
      <w:r>
        <w:rPr>
          <w:rFonts w:hint="eastAsia" w:ascii="仿宋_GB2312" w:hAnsi="仿宋_GB2312" w:eastAsia="仿宋_GB2312" w:cs="仿宋_GB2312"/>
          <w:color w:val="000000"/>
          <w:sz w:val="32"/>
          <w:szCs w:val="32"/>
          <w:lang w:eastAsia="zh-CN"/>
        </w:rPr>
        <w:t>房屋</w:t>
      </w:r>
      <w:r>
        <w:rPr>
          <w:rFonts w:hint="eastAsia" w:ascii="仿宋_GB2312" w:hAnsi="仿宋_GB2312" w:eastAsia="仿宋_GB2312" w:cs="仿宋_GB2312"/>
          <w:color w:val="000000"/>
          <w:sz w:val="32"/>
          <w:szCs w:val="32"/>
        </w:rPr>
        <w:t xml:space="preserve">存在司法或行政限制的； </w:t>
      </w:r>
    </w:p>
    <w:p>
      <w:pPr>
        <w:keepNext w:val="0"/>
        <w:keepLines w:val="0"/>
        <w:pageBreakBefore w:val="0"/>
        <w:widowControl w:val="0"/>
        <w:kinsoku/>
        <w:wordWrap/>
        <w:overflowPunct/>
        <w:topLinePunct w:val="0"/>
        <w:autoSpaceDE/>
        <w:autoSpaceDN/>
        <w:bidi w:val="0"/>
        <w:adjustRightInd/>
        <w:snapToGrid/>
        <w:spacing w:line="560" w:lineRule="exact"/>
        <w:ind w:firstLine="658" w:firstLineChars="205"/>
        <w:textAlignment w:val="auto"/>
        <w:rPr>
          <w:rFonts w:hint="eastAsia" w:ascii="仿宋_GB2312" w:hAnsi="仿宋_GB2312" w:eastAsia="仿宋_GB2312" w:cs="仿宋_GB2312"/>
          <w:color w:val="000000"/>
          <w:sz w:val="32"/>
          <w:szCs w:val="32"/>
        </w:rPr>
      </w:pPr>
      <w:r>
        <w:rPr>
          <w:rFonts w:hint="eastAsia" w:ascii="楷体" w:hAnsi="楷体" w:eastAsia="楷体" w:cs="楷体"/>
          <w:b/>
          <w:bCs/>
          <w:color w:val="000000"/>
          <w:sz w:val="32"/>
          <w:szCs w:val="32"/>
        </w:rPr>
        <w:t>（二）</w:t>
      </w:r>
      <w:r>
        <w:rPr>
          <w:rFonts w:hint="eastAsia" w:ascii="仿宋_GB2312" w:hAnsi="仿宋_GB2312" w:eastAsia="仿宋_GB2312" w:cs="仿宋_GB2312"/>
          <w:color w:val="000000"/>
          <w:sz w:val="32"/>
          <w:szCs w:val="32"/>
        </w:rPr>
        <w:t>买受人已办理不动产所有权登记的；</w:t>
      </w:r>
    </w:p>
    <w:p>
      <w:pPr>
        <w:keepNext w:val="0"/>
        <w:keepLines w:val="0"/>
        <w:pageBreakBefore w:val="0"/>
        <w:widowControl w:val="0"/>
        <w:kinsoku/>
        <w:wordWrap/>
        <w:overflowPunct/>
        <w:topLinePunct w:val="0"/>
        <w:autoSpaceDE/>
        <w:autoSpaceDN/>
        <w:bidi w:val="0"/>
        <w:adjustRightInd/>
        <w:snapToGrid/>
        <w:spacing w:line="560" w:lineRule="exact"/>
        <w:ind w:firstLine="658" w:firstLineChars="205"/>
        <w:textAlignment w:val="auto"/>
        <w:rPr>
          <w:rFonts w:hint="eastAsia" w:ascii="仿宋_GB2312" w:hAnsi="仿宋_GB2312" w:eastAsia="仿宋_GB2312" w:cs="仿宋_GB2312"/>
          <w:color w:val="000000"/>
          <w:sz w:val="32"/>
          <w:szCs w:val="32"/>
        </w:rPr>
      </w:pPr>
      <w:r>
        <w:rPr>
          <w:rFonts w:hint="eastAsia" w:ascii="楷体" w:hAnsi="楷体" w:eastAsia="楷体" w:cs="楷体"/>
          <w:b/>
          <w:bCs/>
          <w:color w:val="000000"/>
          <w:sz w:val="32"/>
          <w:szCs w:val="32"/>
        </w:rPr>
        <w:t>（三）</w:t>
      </w:r>
      <w:r>
        <w:rPr>
          <w:rFonts w:hint="eastAsia" w:ascii="仿宋_GB2312" w:hAnsi="仿宋_GB2312" w:eastAsia="仿宋_GB2312" w:cs="仿宋_GB2312"/>
          <w:color w:val="000000"/>
          <w:sz w:val="32"/>
          <w:szCs w:val="32"/>
        </w:rPr>
        <w:t>已办理抵押权预告登记</w:t>
      </w:r>
      <w:r>
        <w:rPr>
          <w:rFonts w:hint="eastAsia" w:ascii="仿宋_GB2312" w:hAnsi="仿宋_GB2312" w:eastAsia="仿宋_GB2312" w:cs="仿宋_GB2312"/>
          <w:color w:val="000000"/>
          <w:sz w:val="32"/>
          <w:szCs w:val="32"/>
          <w:lang w:eastAsia="zh-CN"/>
        </w:rPr>
        <w:t>，未经抵押预告登记权利人同意</w:t>
      </w:r>
      <w:r>
        <w:rPr>
          <w:rFonts w:hint="eastAsia" w:ascii="仿宋_GB2312" w:hAnsi="仿宋_GB2312" w:eastAsia="仿宋_GB2312" w:cs="仿宋_GB2312"/>
          <w:color w:val="000000"/>
          <w:sz w:val="32"/>
          <w:szCs w:val="32"/>
        </w:rPr>
        <w:t>的；</w:t>
      </w:r>
    </w:p>
    <w:p>
      <w:pPr>
        <w:keepNext w:val="0"/>
        <w:keepLines w:val="0"/>
        <w:pageBreakBefore w:val="0"/>
        <w:widowControl w:val="0"/>
        <w:kinsoku/>
        <w:wordWrap/>
        <w:overflowPunct/>
        <w:topLinePunct w:val="0"/>
        <w:autoSpaceDE/>
        <w:autoSpaceDN/>
        <w:bidi w:val="0"/>
        <w:adjustRightInd/>
        <w:snapToGrid/>
        <w:spacing w:line="560" w:lineRule="exact"/>
        <w:ind w:firstLine="658" w:firstLineChars="205"/>
        <w:textAlignment w:val="auto"/>
        <w:rPr>
          <w:rFonts w:hint="eastAsia" w:ascii="黑体" w:hAnsi="黑体" w:eastAsia="黑体" w:cs="黑体"/>
          <w:b w:val="0"/>
          <w:bCs/>
          <w:color w:val="000000" w:themeColor="text1"/>
          <w:sz w:val="32"/>
          <w:szCs w:val="32"/>
          <w:lang w:eastAsia="zh-CN"/>
        </w:rPr>
      </w:pPr>
      <w:r>
        <w:rPr>
          <w:rFonts w:hint="eastAsia" w:ascii="楷体" w:hAnsi="楷体" w:eastAsia="楷体" w:cs="楷体"/>
          <w:b/>
          <w:bCs/>
          <w:color w:val="000000"/>
          <w:sz w:val="32"/>
          <w:szCs w:val="32"/>
        </w:rPr>
        <w:t>（四）</w:t>
      </w:r>
      <w:r>
        <w:rPr>
          <w:rFonts w:hint="eastAsia" w:ascii="仿宋_GB2312" w:hAnsi="仿宋_GB2312" w:eastAsia="仿宋_GB2312" w:cs="仿宋_GB2312"/>
          <w:color w:val="000000"/>
          <w:sz w:val="32"/>
          <w:szCs w:val="32"/>
        </w:rPr>
        <w:t>法律、法规、相关政策文件规定的其他情形。</w:t>
      </w:r>
    </w:p>
    <w:p>
      <w:pPr>
        <w:keepNext w:val="0"/>
        <w:keepLines w:val="0"/>
        <w:pageBreakBefore w:val="0"/>
        <w:widowControl w:val="0"/>
        <w:kinsoku/>
        <w:wordWrap/>
        <w:overflowPunct/>
        <w:topLinePunct w:val="0"/>
        <w:autoSpaceDE/>
        <w:autoSpaceDN/>
        <w:bidi w:val="0"/>
        <w:adjustRightInd/>
        <w:snapToGrid/>
        <w:spacing w:line="560" w:lineRule="exact"/>
        <w:ind w:firstLine="656" w:firstLineChars="205"/>
        <w:textAlignment w:val="auto"/>
        <w:rPr>
          <w:rFonts w:hint="eastAsia" w:ascii="仿宋_GB2312" w:hAnsi="仿宋_GB2312" w:eastAsia="仿宋_GB2312" w:cs="仿宋_GB2312"/>
          <w:color w:val="000000" w:themeColor="text1"/>
          <w:sz w:val="32"/>
          <w:szCs w:val="32"/>
        </w:rPr>
      </w:pPr>
      <w:r>
        <w:rPr>
          <w:rFonts w:hint="eastAsia" w:ascii="黑体" w:hAnsi="黑体" w:eastAsia="黑体" w:cs="黑体"/>
          <w:b w:val="0"/>
          <w:bCs/>
          <w:color w:val="000000" w:themeColor="text1"/>
          <w:sz w:val="32"/>
          <w:szCs w:val="32"/>
          <w:lang w:eastAsia="zh-CN"/>
        </w:rPr>
        <w:t>四、</w:t>
      </w:r>
      <w:r>
        <w:rPr>
          <w:rFonts w:hint="eastAsia" w:ascii="仿宋_GB2312" w:hAnsi="仿宋_GB2312" w:eastAsia="仿宋_GB2312" w:cs="仿宋_GB2312"/>
          <w:color w:val="000000" w:themeColor="text1"/>
          <w:sz w:val="32"/>
          <w:szCs w:val="32"/>
        </w:rPr>
        <w:t>办理新建商品房买卖合同网签备案注销、变更需提供的材料：</w:t>
      </w:r>
    </w:p>
    <w:p>
      <w:pPr>
        <w:keepNext w:val="0"/>
        <w:keepLines w:val="0"/>
        <w:pageBreakBefore w:val="0"/>
        <w:widowControl w:val="0"/>
        <w:kinsoku/>
        <w:wordWrap/>
        <w:overflowPunct/>
        <w:topLinePunct w:val="0"/>
        <w:autoSpaceDE/>
        <w:autoSpaceDN/>
        <w:bidi w:val="0"/>
        <w:adjustRightInd/>
        <w:snapToGrid/>
        <w:spacing w:line="560" w:lineRule="exact"/>
        <w:ind w:firstLine="658" w:firstLineChars="205"/>
        <w:textAlignment w:val="auto"/>
        <w:rPr>
          <w:rFonts w:hint="eastAsia" w:ascii="仿宋_GB2312" w:hAnsi="仿宋_GB2312" w:eastAsia="仿宋_GB2312" w:cs="仿宋_GB2312"/>
          <w:color w:val="000000" w:themeColor="text1"/>
          <w:sz w:val="32"/>
          <w:szCs w:val="32"/>
        </w:rPr>
      </w:pPr>
      <w:r>
        <w:rPr>
          <w:rFonts w:hint="eastAsia" w:ascii="楷体" w:hAnsi="楷体" w:eastAsia="楷体" w:cs="楷体"/>
          <w:b/>
          <w:bCs/>
          <w:color w:val="000000"/>
          <w:sz w:val="32"/>
          <w:szCs w:val="32"/>
          <w:lang w:eastAsia="zh-CN"/>
        </w:rPr>
        <w:t>（一）</w:t>
      </w:r>
      <w:r>
        <w:rPr>
          <w:rFonts w:hint="eastAsia" w:ascii="仿宋_GB2312" w:hAnsi="仿宋_GB2312" w:eastAsia="仿宋_GB2312" w:cs="仿宋_GB2312"/>
          <w:color w:val="000000" w:themeColor="text1"/>
          <w:sz w:val="32"/>
          <w:szCs w:val="32"/>
        </w:rPr>
        <w:t>新建商品房买卖合同网签备案注销（变更）申请表；</w:t>
      </w:r>
    </w:p>
    <w:p>
      <w:pPr>
        <w:keepNext w:val="0"/>
        <w:keepLines w:val="0"/>
        <w:pageBreakBefore w:val="0"/>
        <w:widowControl w:val="0"/>
        <w:kinsoku/>
        <w:wordWrap/>
        <w:overflowPunct/>
        <w:topLinePunct w:val="0"/>
        <w:autoSpaceDE/>
        <w:autoSpaceDN/>
        <w:bidi w:val="0"/>
        <w:adjustRightInd/>
        <w:snapToGrid/>
        <w:spacing w:line="560" w:lineRule="exact"/>
        <w:ind w:firstLine="658" w:firstLineChars="205"/>
        <w:textAlignment w:val="auto"/>
        <w:rPr>
          <w:rFonts w:hint="eastAsia" w:ascii="仿宋_GB2312" w:hAnsi="仿宋_GB2312" w:eastAsia="仿宋_GB2312" w:cs="仿宋_GB2312"/>
          <w:color w:val="000000" w:themeColor="text1"/>
          <w:sz w:val="32"/>
          <w:szCs w:val="32"/>
        </w:rPr>
      </w:pPr>
      <w:r>
        <w:rPr>
          <w:rFonts w:hint="eastAsia" w:ascii="楷体" w:hAnsi="楷体" w:eastAsia="楷体" w:cs="楷体"/>
          <w:b/>
          <w:bCs/>
          <w:color w:val="000000"/>
          <w:sz w:val="32"/>
          <w:szCs w:val="32"/>
          <w:lang w:eastAsia="zh-CN"/>
        </w:rPr>
        <w:t>（二）</w:t>
      </w:r>
      <w:r>
        <w:rPr>
          <w:rFonts w:hint="eastAsia" w:ascii="仿宋_GB2312" w:hAnsi="仿宋_GB2312" w:eastAsia="仿宋_GB2312" w:cs="仿宋_GB2312"/>
          <w:color w:val="000000" w:themeColor="text1"/>
          <w:sz w:val="32"/>
          <w:szCs w:val="32"/>
        </w:rPr>
        <w:t>申请人的身份证明材料；</w:t>
      </w:r>
    </w:p>
    <w:p>
      <w:pPr>
        <w:keepNext w:val="0"/>
        <w:keepLines w:val="0"/>
        <w:pageBreakBefore w:val="0"/>
        <w:widowControl w:val="0"/>
        <w:kinsoku/>
        <w:wordWrap/>
        <w:overflowPunct/>
        <w:topLinePunct w:val="0"/>
        <w:autoSpaceDE/>
        <w:autoSpaceDN/>
        <w:bidi w:val="0"/>
        <w:adjustRightInd/>
        <w:snapToGrid/>
        <w:spacing w:line="560" w:lineRule="exact"/>
        <w:ind w:firstLine="658" w:firstLineChars="205"/>
        <w:textAlignment w:val="auto"/>
        <w:rPr>
          <w:rFonts w:hint="eastAsia" w:ascii="仿宋_GB2312" w:hAnsi="仿宋_GB2312" w:eastAsia="仿宋_GB2312" w:cs="仿宋_GB2312"/>
          <w:color w:val="000000" w:themeColor="text1"/>
          <w:sz w:val="32"/>
          <w:szCs w:val="32"/>
        </w:rPr>
      </w:pPr>
      <w:r>
        <w:rPr>
          <w:rFonts w:hint="eastAsia" w:ascii="楷体" w:hAnsi="楷体" w:eastAsia="楷体" w:cs="楷体"/>
          <w:b/>
          <w:bCs/>
          <w:color w:val="000000"/>
          <w:sz w:val="32"/>
          <w:szCs w:val="32"/>
          <w:lang w:eastAsia="zh-CN"/>
        </w:rPr>
        <w:t>（三）</w:t>
      </w:r>
      <w:r>
        <w:rPr>
          <w:rFonts w:hint="eastAsia" w:ascii="仿宋_GB2312" w:hAnsi="仿宋_GB2312" w:eastAsia="仿宋_GB2312" w:cs="仿宋_GB2312"/>
          <w:color w:val="000000" w:themeColor="text1"/>
          <w:sz w:val="32"/>
          <w:szCs w:val="32"/>
        </w:rPr>
        <w:t xml:space="preserve">商品房买卖合同的备案告知单、申请表（注销需标“作废”字样）； </w:t>
      </w:r>
    </w:p>
    <w:p>
      <w:pPr>
        <w:keepNext w:val="0"/>
        <w:keepLines w:val="0"/>
        <w:pageBreakBefore w:val="0"/>
        <w:widowControl w:val="0"/>
        <w:kinsoku/>
        <w:wordWrap/>
        <w:overflowPunct/>
        <w:topLinePunct w:val="0"/>
        <w:autoSpaceDE/>
        <w:autoSpaceDN/>
        <w:bidi w:val="0"/>
        <w:adjustRightInd/>
        <w:snapToGrid/>
        <w:spacing w:line="560" w:lineRule="exact"/>
        <w:ind w:firstLine="658" w:firstLineChars="205"/>
        <w:textAlignment w:val="auto"/>
        <w:rPr>
          <w:rFonts w:hint="eastAsia" w:ascii="仿宋_GB2312" w:hAnsi="仿宋_GB2312" w:eastAsia="仿宋_GB2312" w:cs="仿宋_GB2312"/>
          <w:color w:val="000000" w:themeColor="text1"/>
          <w:sz w:val="32"/>
          <w:szCs w:val="32"/>
        </w:rPr>
      </w:pPr>
      <w:r>
        <w:rPr>
          <w:rFonts w:hint="eastAsia" w:ascii="楷体" w:hAnsi="楷体" w:eastAsia="楷体" w:cs="楷体"/>
          <w:b/>
          <w:bCs/>
          <w:color w:val="000000"/>
          <w:sz w:val="32"/>
          <w:szCs w:val="32"/>
          <w:lang w:eastAsia="zh-CN"/>
        </w:rPr>
        <w:t>（四）</w:t>
      </w:r>
      <w:r>
        <w:rPr>
          <w:rFonts w:hint="eastAsia" w:ascii="仿宋_GB2312" w:hAnsi="仿宋_GB2312" w:eastAsia="仿宋_GB2312" w:cs="仿宋_GB2312"/>
          <w:color w:val="000000" w:themeColor="text1"/>
          <w:sz w:val="32"/>
          <w:szCs w:val="32"/>
        </w:rPr>
        <w:t>解除合同的协议或生效法律文件或变更的原因材料。</w:t>
      </w:r>
    </w:p>
    <w:p>
      <w:pPr>
        <w:keepNext w:val="0"/>
        <w:keepLines w:val="0"/>
        <w:pageBreakBefore w:val="0"/>
        <w:widowControl w:val="0"/>
        <w:kinsoku/>
        <w:wordWrap/>
        <w:overflowPunct/>
        <w:topLinePunct w:val="0"/>
        <w:autoSpaceDE/>
        <w:autoSpaceDN/>
        <w:bidi w:val="0"/>
        <w:adjustRightInd/>
        <w:snapToGrid/>
        <w:spacing w:line="560" w:lineRule="exact"/>
        <w:ind w:firstLine="656" w:firstLineChars="205"/>
        <w:textAlignment w:val="auto"/>
        <w:rPr>
          <w:rFonts w:hint="eastAsia" w:ascii="仿宋_GB2312" w:hAnsi="仿宋_GB2312" w:eastAsia="仿宋_GB2312" w:cs="仿宋_GB2312"/>
          <w:color w:val="000000" w:themeColor="text1"/>
          <w:sz w:val="32"/>
          <w:szCs w:val="32"/>
        </w:rPr>
      </w:pPr>
      <w:r>
        <w:rPr>
          <w:rFonts w:hint="eastAsia" w:ascii="黑体" w:hAnsi="黑体" w:eastAsia="黑体" w:cs="黑体"/>
          <w:b w:val="0"/>
          <w:bCs/>
          <w:color w:val="000000" w:themeColor="text1"/>
          <w:sz w:val="32"/>
          <w:szCs w:val="32"/>
          <w:lang w:eastAsia="zh-CN"/>
        </w:rPr>
        <w:t>五</w:t>
      </w:r>
      <w:r>
        <w:rPr>
          <w:rFonts w:hint="eastAsia" w:ascii="黑体" w:hAnsi="黑体" w:eastAsia="黑体" w:cs="黑体"/>
          <w:b w:val="0"/>
          <w:bCs/>
          <w:color w:val="000000" w:themeColor="text1"/>
          <w:sz w:val="32"/>
          <w:szCs w:val="32"/>
        </w:rPr>
        <w:t>、</w:t>
      </w:r>
      <w:r>
        <w:rPr>
          <w:rFonts w:hint="eastAsia" w:ascii="仿宋_GB2312" w:hAnsi="仿宋_GB2312" w:eastAsia="仿宋_GB2312" w:cs="仿宋_GB2312"/>
          <w:color w:val="000000" w:themeColor="text1"/>
          <w:sz w:val="32"/>
          <w:szCs w:val="32"/>
        </w:rPr>
        <w:t>办理新建商品房买卖合同网签备案注销、变更的流程</w:t>
      </w:r>
      <w:r>
        <w:rPr>
          <w:rFonts w:hint="eastAsia" w:ascii="仿宋_GB2312" w:hAnsi="仿宋_GB2312" w:eastAsia="仿宋_GB2312" w:cs="仿宋_GB2312"/>
          <w:color w:val="000000" w:themeColor="text1"/>
          <w:sz w:val="32"/>
          <w:szCs w:val="32"/>
          <w:lang w:eastAsia="zh-CN"/>
        </w:rPr>
        <w:t>为</w:t>
      </w:r>
      <w:r>
        <w:rPr>
          <w:rFonts w:hint="eastAsia" w:ascii="仿宋_GB2312" w:hAnsi="仿宋_GB2312" w:eastAsia="仿宋_GB2312" w:cs="仿宋_GB2312"/>
          <w:color w:val="000000" w:themeColor="text1"/>
          <w:sz w:val="32"/>
          <w:szCs w:val="32"/>
        </w:rPr>
        <w:t>申请</w:t>
      </w:r>
      <w:r>
        <w:rPr>
          <w:rFonts w:hint="eastAsia" w:ascii="仿宋_GB2312" w:hAnsi="仿宋_GB2312" w:eastAsia="仿宋_GB2312" w:cs="仿宋_GB2312"/>
          <w:color w:val="000000" w:themeColor="text1"/>
          <w:sz w:val="32"/>
          <w:szCs w:val="32"/>
          <w:lang w:eastAsia="zh-CN"/>
        </w:rPr>
        <w:t>、</w:t>
      </w:r>
      <w:r>
        <w:rPr>
          <w:rFonts w:hint="eastAsia" w:ascii="仿宋_GB2312" w:hAnsi="仿宋_GB2312" w:eastAsia="仿宋_GB2312" w:cs="仿宋_GB2312"/>
          <w:color w:val="000000" w:themeColor="text1"/>
          <w:sz w:val="32"/>
          <w:szCs w:val="32"/>
        </w:rPr>
        <w:t>受理</w:t>
      </w:r>
      <w:r>
        <w:rPr>
          <w:rFonts w:hint="eastAsia" w:ascii="仿宋_GB2312" w:hAnsi="仿宋_GB2312" w:eastAsia="仿宋_GB2312" w:cs="仿宋_GB2312"/>
          <w:color w:val="000000" w:themeColor="text1"/>
          <w:sz w:val="32"/>
          <w:szCs w:val="32"/>
          <w:lang w:eastAsia="zh-CN"/>
        </w:rPr>
        <w:t>、</w:t>
      </w:r>
      <w:r>
        <w:rPr>
          <w:rFonts w:hint="eastAsia" w:ascii="仿宋_GB2312" w:hAnsi="仿宋_GB2312" w:eastAsia="仿宋_GB2312" w:cs="仿宋_GB2312"/>
          <w:color w:val="000000" w:themeColor="text1"/>
          <w:sz w:val="32"/>
          <w:szCs w:val="32"/>
        </w:rPr>
        <w:t>审查</w:t>
      </w:r>
      <w:r>
        <w:rPr>
          <w:rFonts w:hint="eastAsia" w:ascii="仿宋_GB2312" w:hAnsi="仿宋_GB2312" w:eastAsia="仿宋_GB2312" w:cs="仿宋_GB2312"/>
          <w:color w:val="000000" w:themeColor="text1"/>
          <w:sz w:val="32"/>
          <w:szCs w:val="32"/>
          <w:lang w:eastAsia="zh-CN"/>
        </w:rPr>
        <w:t>、</w:t>
      </w:r>
      <w:r>
        <w:rPr>
          <w:rFonts w:hint="eastAsia" w:ascii="仿宋_GB2312" w:hAnsi="仿宋_GB2312" w:eastAsia="仿宋_GB2312" w:cs="仿宋_GB2312"/>
          <w:color w:val="000000" w:themeColor="text1"/>
          <w:sz w:val="32"/>
          <w:szCs w:val="32"/>
        </w:rPr>
        <w:t>决定。</w:t>
      </w:r>
    </w:p>
    <w:p>
      <w:pPr>
        <w:keepNext w:val="0"/>
        <w:keepLines w:val="0"/>
        <w:pageBreakBefore w:val="0"/>
        <w:widowControl w:val="0"/>
        <w:kinsoku/>
        <w:wordWrap/>
        <w:overflowPunct/>
        <w:topLinePunct w:val="0"/>
        <w:autoSpaceDE/>
        <w:autoSpaceDN/>
        <w:bidi w:val="0"/>
        <w:adjustRightInd/>
        <w:snapToGrid/>
        <w:spacing w:line="560" w:lineRule="exact"/>
        <w:ind w:firstLine="656" w:firstLineChars="205"/>
        <w:textAlignment w:val="auto"/>
        <w:rPr>
          <w:rFonts w:hint="eastAsia" w:ascii="仿宋_GB2312" w:hAnsi="仿宋_GB2312" w:eastAsia="仿宋_GB2312" w:cs="仿宋_GB2312"/>
          <w:color w:val="000000" w:themeColor="text1"/>
          <w:sz w:val="32"/>
          <w:szCs w:val="32"/>
        </w:rPr>
      </w:pPr>
      <w:r>
        <w:rPr>
          <w:rFonts w:hint="eastAsia" w:ascii="黑体" w:hAnsi="黑体" w:eastAsia="黑体" w:cs="黑体"/>
          <w:b w:val="0"/>
          <w:bCs/>
          <w:color w:val="000000" w:themeColor="text1"/>
          <w:sz w:val="32"/>
          <w:szCs w:val="32"/>
          <w:lang w:eastAsia="zh-CN"/>
        </w:rPr>
        <w:t>六</w:t>
      </w:r>
      <w:r>
        <w:rPr>
          <w:rFonts w:hint="eastAsia" w:ascii="黑体" w:hAnsi="黑体" w:eastAsia="黑体" w:cs="黑体"/>
          <w:b w:val="0"/>
          <w:bCs/>
          <w:color w:val="000000" w:themeColor="text1"/>
          <w:sz w:val="32"/>
          <w:szCs w:val="32"/>
        </w:rPr>
        <w:t>、</w:t>
      </w:r>
      <w:r>
        <w:rPr>
          <w:rFonts w:hint="eastAsia" w:ascii="仿宋_GB2312" w:hAnsi="仿宋_GB2312" w:eastAsia="仿宋_GB2312" w:cs="仿宋_GB2312"/>
          <w:color w:val="000000" w:themeColor="text1"/>
          <w:sz w:val="32"/>
          <w:szCs w:val="32"/>
        </w:rPr>
        <w:t>新建商品房买卖合同网签备案注销、变更的办理时限</w:t>
      </w:r>
      <w:r>
        <w:rPr>
          <w:rFonts w:hint="eastAsia" w:ascii="仿宋_GB2312" w:hAnsi="仿宋_GB2312" w:eastAsia="仿宋_GB2312" w:cs="仿宋_GB2312"/>
          <w:color w:val="000000" w:themeColor="text1"/>
          <w:sz w:val="32"/>
          <w:szCs w:val="32"/>
          <w:lang w:eastAsia="zh-CN"/>
        </w:rPr>
        <w:t>为</w:t>
      </w:r>
      <w:r>
        <w:rPr>
          <w:rFonts w:hint="eastAsia" w:ascii="仿宋_GB2312" w:hAnsi="仿宋_GB2312" w:eastAsia="仿宋_GB2312" w:cs="仿宋_GB2312"/>
          <w:color w:val="000000" w:themeColor="text1"/>
          <w:sz w:val="32"/>
          <w:szCs w:val="32"/>
        </w:rPr>
        <w:t>１个工作日，批量50件以上的3个工作日</w:t>
      </w:r>
      <w:r>
        <w:rPr>
          <w:rFonts w:hint="eastAsia" w:ascii="仿宋_GB2312" w:hAnsi="仿宋_GB2312" w:eastAsia="仿宋_GB2312" w:cs="仿宋_GB2312"/>
          <w:color w:val="000000" w:themeColor="text1"/>
          <w:sz w:val="32"/>
          <w:szCs w:val="32"/>
          <w:lang w:eastAsia="zh-CN"/>
        </w:rPr>
        <w:t>内办结</w:t>
      </w:r>
      <w:r>
        <w:rPr>
          <w:rFonts w:hint="eastAsia" w:ascii="仿宋_GB2312" w:hAnsi="仿宋_GB2312" w:eastAsia="仿宋_GB2312" w:cs="仿宋_GB2312"/>
          <w:color w:val="000000" w:themeColor="text1"/>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56" w:firstLineChars="205"/>
        <w:textAlignment w:val="auto"/>
        <w:rPr>
          <w:rFonts w:hint="eastAsia" w:ascii="仿宋_GB2312" w:hAnsi="仿宋_GB2312" w:eastAsia="仿宋_GB2312" w:cs="仿宋_GB2312"/>
          <w:color w:val="000000" w:themeColor="text1"/>
          <w:sz w:val="32"/>
          <w:szCs w:val="32"/>
        </w:rPr>
      </w:pPr>
      <w:r>
        <w:rPr>
          <w:rFonts w:hint="eastAsia" w:ascii="黑体" w:hAnsi="黑体" w:eastAsia="黑体" w:cs="黑体"/>
          <w:b w:val="0"/>
          <w:bCs/>
          <w:color w:val="000000" w:themeColor="text1"/>
          <w:sz w:val="32"/>
          <w:szCs w:val="32"/>
          <w:lang w:eastAsia="zh-CN"/>
        </w:rPr>
        <w:t>七</w:t>
      </w:r>
      <w:r>
        <w:rPr>
          <w:rFonts w:hint="eastAsia" w:ascii="黑体" w:hAnsi="黑体" w:eastAsia="黑体" w:cs="黑体"/>
          <w:b w:val="0"/>
          <w:bCs/>
          <w:color w:val="000000" w:themeColor="text1"/>
          <w:sz w:val="32"/>
          <w:szCs w:val="32"/>
        </w:rPr>
        <w:t>、</w:t>
      </w:r>
      <w:r>
        <w:rPr>
          <w:rFonts w:hint="eastAsia" w:ascii="仿宋_GB2312" w:hAnsi="仿宋_GB2312" w:eastAsia="仿宋_GB2312" w:cs="仿宋_GB2312"/>
          <w:color w:val="000000" w:themeColor="text1"/>
          <w:sz w:val="32"/>
          <w:szCs w:val="32"/>
        </w:rPr>
        <w:t>房地产开发企业、中介服务机构及其工作人员利用商品房买卖合同备案注销、变更进行以下违法违规行为的</w:t>
      </w:r>
      <w:r>
        <w:rPr>
          <w:rFonts w:hint="eastAsia" w:ascii="仿宋_GB2312" w:hAnsi="仿宋_GB2312" w:eastAsia="仿宋_GB2312" w:cs="仿宋_GB2312"/>
          <w:color w:val="000000" w:themeColor="text1"/>
          <w:sz w:val="32"/>
          <w:szCs w:val="32"/>
          <w:lang w:eastAsia="zh-CN"/>
        </w:rPr>
        <w:t>，</w:t>
      </w:r>
      <w:r>
        <w:rPr>
          <w:rFonts w:hint="eastAsia" w:ascii="仿宋_GB2312" w:hAnsi="仿宋_GB2312" w:eastAsia="仿宋_GB2312" w:cs="仿宋_GB2312"/>
          <w:color w:val="000000" w:themeColor="text1"/>
          <w:sz w:val="32"/>
          <w:szCs w:val="32"/>
        </w:rPr>
        <w:t>由属地房地产主管部门依法进行严肃</w:t>
      </w:r>
      <w:r>
        <w:rPr>
          <w:rFonts w:hint="eastAsia" w:ascii="仿宋_GB2312" w:hAnsi="仿宋_GB2312" w:eastAsia="仿宋_GB2312" w:cs="仿宋_GB2312"/>
          <w:color w:val="000000" w:themeColor="text1"/>
          <w:sz w:val="32"/>
          <w:szCs w:val="32"/>
          <w:lang w:eastAsia="zh-CN"/>
        </w:rPr>
        <w:t>处理</w:t>
      </w:r>
      <w:r>
        <w:rPr>
          <w:rFonts w:hint="eastAsia" w:ascii="仿宋_GB2312" w:hAnsi="仿宋_GB2312" w:eastAsia="仿宋_GB2312" w:cs="仿宋_GB2312"/>
          <w:color w:val="000000" w:themeColor="text1"/>
          <w:sz w:val="32"/>
          <w:szCs w:val="32"/>
        </w:rPr>
        <w:t>，构成犯罪的移送司法机关处理。</w:t>
      </w:r>
    </w:p>
    <w:p>
      <w:pPr>
        <w:keepNext w:val="0"/>
        <w:keepLines w:val="0"/>
        <w:pageBreakBefore w:val="0"/>
        <w:widowControl w:val="0"/>
        <w:kinsoku/>
        <w:wordWrap/>
        <w:overflowPunct/>
        <w:topLinePunct w:val="0"/>
        <w:autoSpaceDE/>
        <w:autoSpaceDN/>
        <w:bidi w:val="0"/>
        <w:adjustRightInd/>
        <w:snapToGrid/>
        <w:spacing w:line="560" w:lineRule="exact"/>
        <w:ind w:firstLine="658" w:firstLineChars="205"/>
        <w:textAlignment w:val="auto"/>
        <w:rPr>
          <w:rFonts w:hint="eastAsia" w:ascii="仿宋_GB2312" w:hAnsi="仿宋_GB2312" w:eastAsia="仿宋_GB2312" w:cs="仿宋_GB2312"/>
          <w:color w:val="000000" w:themeColor="text1"/>
          <w:sz w:val="32"/>
          <w:szCs w:val="32"/>
        </w:rPr>
      </w:pPr>
      <w:r>
        <w:rPr>
          <w:rFonts w:hint="eastAsia" w:ascii="楷体" w:hAnsi="楷体" w:eastAsia="楷体" w:cs="楷体"/>
          <w:b/>
          <w:bCs/>
          <w:color w:val="000000"/>
          <w:sz w:val="32"/>
          <w:szCs w:val="32"/>
          <w:lang w:eastAsia="zh-CN"/>
        </w:rPr>
        <w:t>（一）</w:t>
      </w:r>
      <w:r>
        <w:rPr>
          <w:rFonts w:hint="eastAsia" w:ascii="仿宋_GB2312" w:hAnsi="仿宋_GB2312" w:eastAsia="仿宋_GB2312" w:cs="仿宋_GB2312"/>
          <w:color w:val="000000" w:themeColor="text1"/>
          <w:sz w:val="32"/>
          <w:szCs w:val="32"/>
        </w:rPr>
        <w:t>利用预购商品房投机炒作；</w:t>
      </w:r>
      <w:bookmarkStart w:id="0" w:name="_GoBack"/>
      <w:bookmarkEnd w:id="0"/>
    </w:p>
    <w:p>
      <w:pPr>
        <w:keepNext w:val="0"/>
        <w:keepLines w:val="0"/>
        <w:pageBreakBefore w:val="0"/>
        <w:widowControl w:val="0"/>
        <w:kinsoku/>
        <w:wordWrap/>
        <w:overflowPunct/>
        <w:topLinePunct w:val="0"/>
        <w:autoSpaceDE/>
        <w:autoSpaceDN/>
        <w:bidi w:val="0"/>
        <w:adjustRightInd/>
        <w:snapToGrid/>
        <w:spacing w:line="560" w:lineRule="exact"/>
        <w:ind w:firstLine="658" w:firstLineChars="205"/>
        <w:textAlignment w:val="auto"/>
        <w:rPr>
          <w:rFonts w:hint="eastAsia" w:ascii="仿宋_GB2312" w:hAnsi="仿宋_GB2312" w:eastAsia="仿宋_GB2312" w:cs="仿宋_GB2312"/>
          <w:color w:val="000000" w:themeColor="text1"/>
          <w:sz w:val="32"/>
          <w:szCs w:val="32"/>
        </w:rPr>
      </w:pPr>
      <w:r>
        <w:rPr>
          <w:rFonts w:hint="eastAsia" w:ascii="楷体" w:hAnsi="楷体" w:eastAsia="楷体" w:cs="楷体"/>
          <w:b/>
          <w:bCs/>
          <w:color w:val="000000"/>
          <w:sz w:val="32"/>
          <w:szCs w:val="32"/>
          <w:lang w:eastAsia="zh-CN"/>
        </w:rPr>
        <w:t>（二）</w:t>
      </w:r>
      <w:r>
        <w:rPr>
          <w:rFonts w:hint="eastAsia" w:ascii="仿宋_GB2312" w:hAnsi="仿宋_GB2312" w:eastAsia="仿宋_GB2312" w:cs="仿宋_GB2312"/>
          <w:color w:val="000000" w:themeColor="text1"/>
          <w:sz w:val="32"/>
          <w:szCs w:val="32"/>
        </w:rPr>
        <w:t>签订虚假合同后又申请备案注销；</w:t>
      </w:r>
    </w:p>
    <w:p>
      <w:pPr>
        <w:keepNext w:val="0"/>
        <w:keepLines w:val="0"/>
        <w:pageBreakBefore w:val="0"/>
        <w:widowControl w:val="0"/>
        <w:kinsoku/>
        <w:wordWrap/>
        <w:overflowPunct/>
        <w:topLinePunct w:val="0"/>
        <w:autoSpaceDE/>
        <w:autoSpaceDN/>
        <w:bidi w:val="0"/>
        <w:adjustRightInd/>
        <w:snapToGrid/>
        <w:spacing w:line="560" w:lineRule="exact"/>
        <w:ind w:firstLine="658" w:firstLineChars="205"/>
        <w:textAlignment w:val="auto"/>
        <w:rPr>
          <w:rFonts w:hint="eastAsia" w:ascii="仿宋_GB2312" w:hAnsi="仿宋_GB2312" w:eastAsia="仿宋_GB2312" w:cs="仿宋_GB2312"/>
          <w:color w:val="000000" w:themeColor="text1"/>
          <w:sz w:val="32"/>
          <w:szCs w:val="32"/>
        </w:rPr>
      </w:pPr>
      <w:r>
        <w:rPr>
          <w:rFonts w:hint="eastAsia" w:ascii="楷体" w:hAnsi="楷体" w:eastAsia="楷体" w:cs="楷体"/>
          <w:b/>
          <w:bCs/>
          <w:color w:val="000000"/>
          <w:sz w:val="32"/>
          <w:szCs w:val="32"/>
          <w:lang w:eastAsia="zh-CN"/>
        </w:rPr>
        <w:t>（三）</w:t>
      </w:r>
      <w:r>
        <w:rPr>
          <w:rFonts w:hint="eastAsia" w:ascii="仿宋_GB2312" w:hAnsi="仿宋_GB2312" w:eastAsia="仿宋_GB2312" w:cs="仿宋_GB2312"/>
          <w:color w:val="000000" w:themeColor="text1"/>
          <w:sz w:val="32"/>
          <w:szCs w:val="32"/>
          <w:lang w:eastAsia="zh-CN"/>
        </w:rPr>
        <w:t>变更</w:t>
      </w:r>
      <w:r>
        <w:rPr>
          <w:rFonts w:hint="eastAsia" w:ascii="仿宋_GB2312" w:hAnsi="仿宋_GB2312" w:eastAsia="仿宋_GB2312" w:cs="仿宋_GB2312"/>
          <w:color w:val="000000" w:themeColor="text1"/>
          <w:sz w:val="32"/>
          <w:szCs w:val="32"/>
        </w:rPr>
        <w:t>备案</w:t>
      </w:r>
      <w:r>
        <w:rPr>
          <w:rFonts w:hint="eastAsia" w:ascii="仿宋_GB2312" w:hAnsi="仿宋_GB2312" w:eastAsia="仿宋_GB2312" w:cs="仿宋_GB2312"/>
          <w:color w:val="000000" w:themeColor="text1"/>
          <w:sz w:val="32"/>
          <w:szCs w:val="32"/>
          <w:lang w:eastAsia="zh-CN"/>
        </w:rPr>
        <w:t>变</w:t>
      </w:r>
      <w:r>
        <w:rPr>
          <w:rFonts w:hint="eastAsia" w:ascii="仿宋_GB2312" w:hAnsi="仿宋_GB2312" w:eastAsia="仿宋_GB2312" w:cs="仿宋_GB2312"/>
          <w:color w:val="000000" w:themeColor="text1"/>
          <w:sz w:val="32"/>
          <w:szCs w:val="32"/>
        </w:rPr>
        <w:t>相捂盘；</w:t>
      </w:r>
    </w:p>
    <w:p>
      <w:pPr>
        <w:keepNext w:val="0"/>
        <w:keepLines w:val="0"/>
        <w:pageBreakBefore w:val="0"/>
        <w:widowControl w:val="0"/>
        <w:kinsoku/>
        <w:wordWrap/>
        <w:overflowPunct/>
        <w:topLinePunct w:val="0"/>
        <w:autoSpaceDE/>
        <w:autoSpaceDN/>
        <w:bidi w:val="0"/>
        <w:adjustRightInd/>
        <w:snapToGrid/>
        <w:spacing w:line="560" w:lineRule="exact"/>
        <w:ind w:firstLine="658" w:firstLineChars="205"/>
        <w:textAlignment w:val="auto"/>
        <w:rPr>
          <w:rFonts w:hint="eastAsia" w:ascii="仿宋_GB2312" w:hAnsi="仿宋_GB2312" w:eastAsia="仿宋_GB2312" w:cs="仿宋_GB2312"/>
          <w:color w:val="000000" w:themeColor="text1"/>
          <w:sz w:val="32"/>
          <w:szCs w:val="32"/>
        </w:rPr>
      </w:pPr>
      <w:r>
        <w:rPr>
          <w:rFonts w:hint="eastAsia" w:ascii="楷体" w:hAnsi="楷体" w:eastAsia="楷体" w:cs="楷体"/>
          <w:b/>
          <w:bCs/>
          <w:color w:val="000000"/>
          <w:sz w:val="32"/>
          <w:szCs w:val="32"/>
          <w:lang w:eastAsia="zh-CN"/>
        </w:rPr>
        <w:t>（四）</w:t>
      </w:r>
      <w:r>
        <w:rPr>
          <w:rFonts w:hint="eastAsia" w:ascii="仿宋_GB2312" w:hAnsi="仿宋_GB2312" w:eastAsia="仿宋_GB2312" w:cs="仿宋_GB2312"/>
          <w:color w:val="000000" w:themeColor="text1"/>
          <w:sz w:val="32"/>
          <w:szCs w:val="32"/>
        </w:rPr>
        <w:t>套取贷款；</w:t>
      </w:r>
    </w:p>
    <w:p>
      <w:pPr>
        <w:keepNext w:val="0"/>
        <w:keepLines w:val="0"/>
        <w:pageBreakBefore w:val="0"/>
        <w:widowControl w:val="0"/>
        <w:kinsoku/>
        <w:wordWrap/>
        <w:overflowPunct/>
        <w:topLinePunct w:val="0"/>
        <w:autoSpaceDE/>
        <w:autoSpaceDN/>
        <w:bidi w:val="0"/>
        <w:adjustRightInd/>
        <w:snapToGrid/>
        <w:spacing w:line="560" w:lineRule="exact"/>
        <w:ind w:firstLine="658" w:firstLineChars="205"/>
        <w:textAlignment w:val="auto"/>
        <w:rPr>
          <w:rFonts w:hint="eastAsia" w:ascii="仿宋_GB2312" w:hAnsi="仿宋_GB2312" w:eastAsia="仿宋_GB2312" w:cs="仿宋_GB2312"/>
          <w:color w:val="000000" w:themeColor="text1"/>
          <w:sz w:val="32"/>
          <w:szCs w:val="32"/>
        </w:rPr>
      </w:pPr>
      <w:r>
        <w:rPr>
          <w:rFonts w:hint="eastAsia" w:ascii="楷体" w:hAnsi="楷体" w:eastAsia="楷体" w:cs="楷体"/>
          <w:b/>
          <w:bCs/>
          <w:color w:val="000000"/>
          <w:sz w:val="32"/>
          <w:szCs w:val="32"/>
          <w:lang w:eastAsia="zh-CN"/>
        </w:rPr>
        <w:t>（五）</w:t>
      </w:r>
      <w:r>
        <w:rPr>
          <w:rFonts w:hint="eastAsia" w:ascii="仿宋_GB2312" w:hAnsi="仿宋_GB2312" w:eastAsia="仿宋_GB2312" w:cs="仿宋_GB2312"/>
          <w:color w:val="000000" w:themeColor="text1"/>
          <w:sz w:val="32"/>
          <w:szCs w:val="32"/>
          <w:lang w:eastAsia="zh-CN"/>
        </w:rPr>
        <w:t>明知购房人投机炒房、与</w:t>
      </w:r>
      <w:r>
        <w:rPr>
          <w:rFonts w:hint="eastAsia" w:ascii="仿宋_GB2312" w:hAnsi="仿宋_GB2312" w:eastAsia="仿宋_GB2312" w:cs="仿宋_GB2312"/>
          <w:color w:val="000000" w:themeColor="text1"/>
          <w:sz w:val="32"/>
          <w:szCs w:val="32"/>
        </w:rPr>
        <w:t>购房人编造虚假材料办理注销、变更。</w:t>
      </w:r>
    </w:p>
    <w:p>
      <w:pPr>
        <w:keepNext w:val="0"/>
        <w:keepLines w:val="0"/>
        <w:pageBreakBefore w:val="0"/>
        <w:widowControl w:val="0"/>
        <w:kinsoku/>
        <w:wordWrap/>
        <w:overflowPunct/>
        <w:topLinePunct w:val="0"/>
        <w:autoSpaceDE/>
        <w:autoSpaceDN/>
        <w:bidi w:val="0"/>
        <w:adjustRightInd/>
        <w:snapToGrid/>
        <w:spacing w:line="560" w:lineRule="exact"/>
        <w:ind w:firstLine="656" w:firstLineChars="205"/>
        <w:textAlignment w:val="auto"/>
        <w:rPr>
          <w:rFonts w:hint="eastAsia" w:ascii="仿宋_GB2312" w:hAnsi="仿宋_GB2312" w:eastAsia="仿宋_GB2312" w:cs="仿宋_GB2312"/>
          <w:color w:val="000000" w:themeColor="text1"/>
          <w:sz w:val="32"/>
          <w:szCs w:val="32"/>
        </w:rPr>
      </w:pPr>
      <w:r>
        <w:rPr>
          <w:rFonts w:hint="eastAsia" w:ascii="黑体" w:hAnsi="黑体" w:eastAsia="黑体" w:cs="黑体"/>
          <w:color w:val="000000" w:themeColor="text1"/>
          <w:sz w:val="32"/>
          <w:szCs w:val="32"/>
          <w:lang w:eastAsia="zh-CN"/>
        </w:rPr>
        <w:t>八</w:t>
      </w:r>
      <w:r>
        <w:rPr>
          <w:rFonts w:hint="eastAsia" w:ascii="黑体" w:hAnsi="黑体" w:eastAsia="黑体" w:cs="黑体"/>
          <w:color w:val="000000" w:themeColor="text1"/>
          <w:sz w:val="32"/>
          <w:szCs w:val="32"/>
        </w:rPr>
        <w:t>、</w:t>
      </w:r>
      <w:r>
        <w:rPr>
          <w:rFonts w:hint="eastAsia" w:ascii="仿宋_GB2312" w:hAnsi="仿宋_GB2312" w:eastAsia="仿宋_GB2312" w:cs="仿宋_GB2312"/>
          <w:color w:val="000000" w:themeColor="text1"/>
          <w:sz w:val="32"/>
          <w:szCs w:val="32"/>
        </w:rPr>
        <w:t>本通知自发布之日起执行。</w:t>
      </w:r>
    </w:p>
    <w:p>
      <w:pPr>
        <w:keepNext w:val="0"/>
        <w:keepLines w:val="0"/>
        <w:pageBreakBefore w:val="0"/>
        <w:widowControl w:val="0"/>
        <w:kinsoku/>
        <w:wordWrap/>
        <w:overflowPunct/>
        <w:topLinePunct w:val="0"/>
        <w:autoSpaceDE/>
        <w:autoSpaceDN/>
        <w:bidi w:val="0"/>
        <w:adjustRightInd/>
        <w:snapToGrid/>
        <w:spacing w:line="560" w:lineRule="exact"/>
        <w:ind w:firstLine="656" w:firstLineChars="205"/>
        <w:textAlignment w:val="auto"/>
        <w:rPr>
          <w:rFonts w:hint="eastAsia" w:ascii="仿宋_GB2312" w:hAnsi="仿宋_GB2312" w:eastAsia="仿宋_GB2312" w:cs="仿宋_GB2312"/>
          <w:color w:val="000000" w:themeColor="text1"/>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5100" w:firstLineChars="1594"/>
        <w:jc w:val="center"/>
        <w:textAlignment w:val="auto"/>
        <w:rPr>
          <w:rFonts w:hint="eastAsia" w:ascii="仿宋_GB2312" w:hAnsi="仿宋_GB2312" w:eastAsia="仿宋_GB2312" w:cs="仿宋_GB2312"/>
          <w:color w:val="000000" w:themeColor="text1"/>
          <w:sz w:val="32"/>
          <w:szCs w:val="32"/>
        </w:rPr>
      </w:pPr>
      <w:r>
        <w:rPr>
          <w:rFonts w:hint="eastAsia" w:ascii="仿宋_GB2312" w:hAnsi="仿宋_GB2312" w:eastAsia="仿宋_GB2312" w:cs="仿宋_GB2312"/>
          <w:color w:val="000000" w:themeColor="text1"/>
          <w:sz w:val="32"/>
          <w:szCs w:val="32"/>
        </w:rPr>
        <w:t>泉州市住房和城乡建设局</w:t>
      </w:r>
    </w:p>
    <w:p>
      <w:pPr>
        <w:keepNext w:val="0"/>
        <w:keepLines w:val="0"/>
        <w:pageBreakBefore w:val="0"/>
        <w:widowControl w:val="0"/>
        <w:kinsoku/>
        <w:wordWrap/>
        <w:overflowPunct/>
        <w:topLinePunct w:val="0"/>
        <w:autoSpaceDE/>
        <w:autoSpaceDN/>
        <w:bidi w:val="0"/>
        <w:adjustRightInd/>
        <w:snapToGrid/>
        <w:spacing w:line="560" w:lineRule="exact"/>
        <w:ind w:firstLine="5100" w:firstLineChars="1594"/>
        <w:jc w:val="center"/>
        <w:textAlignment w:val="auto"/>
        <w:rPr>
          <w:rFonts w:hint="eastAsia" w:ascii="仿宋_GB2312" w:hAnsi="仿宋_GB2312" w:eastAsia="仿宋_GB2312" w:cs="仿宋_GB2312"/>
          <w:color w:val="000000" w:themeColor="text1"/>
          <w:sz w:val="32"/>
          <w:szCs w:val="32"/>
        </w:rPr>
      </w:pPr>
      <w:r>
        <w:rPr>
          <w:rFonts w:hint="eastAsia" w:ascii="仿宋_GB2312" w:hAnsi="仿宋_GB2312" w:eastAsia="仿宋_GB2312" w:cs="仿宋_GB2312"/>
          <w:color w:val="000000" w:themeColor="text1"/>
          <w:sz w:val="32"/>
          <w:szCs w:val="32"/>
        </w:rPr>
        <w:t>2023年　月　日</w:t>
      </w:r>
    </w:p>
    <w:sectPr>
      <w:pgSz w:w="11906" w:h="16838"/>
      <w:pgMar w:top="1418" w:right="1134" w:bottom="1134" w:left="113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楷体简体">
    <w:panose1 w:val="02010601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true"/>
  <w:bordersDoNotSurroundFooter w:val="true"/>
  <w:documentProtection w:enforcement="0"/>
  <w:defaultTabStop w:val="420"/>
  <w:drawingGridVerticalSpacing w:val="156"/>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D42ABF"/>
    <w:rsid w:val="00014012"/>
    <w:rsid w:val="00043B23"/>
    <w:rsid w:val="0006176C"/>
    <w:rsid w:val="000A6B86"/>
    <w:rsid w:val="000C0ED0"/>
    <w:rsid w:val="00104EE5"/>
    <w:rsid w:val="00173E3B"/>
    <w:rsid w:val="001D2CF5"/>
    <w:rsid w:val="00204CC7"/>
    <w:rsid w:val="00235282"/>
    <w:rsid w:val="00263611"/>
    <w:rsid w:val="002A03F2"/>
    <w:rsid w:val="002B3F65"/>
    <w:rsid w:val="002D1964"/>
    <w:rsid w:val="002D6718"/>
    <w:rsid w:val="00305AC3"/>
    <w:rsid w:val="00307737"/>
    <w:rsid w:val="003174AF"/>
    <w:rsid w:val="00351B9F"/>
    <w:rsid w:val="00364532"/>
    <w:rsid w:val="003E7CD8"/>
    <w:rsid w:val="003F2A2A"/>
    <w:rsid w:val="00412D68"/>
    <w:rsid w:val="00465496"/>
    <w:rsid w:val="004875B9"/>
    <w:rsid w:val="004B65EF"/>
    <w:rsid w:val="004D64FD"/>
    <w:rsid w:val="004E546C"/>
    <w:rsid w:val="00546C53"/>
    <w:rsid w:val="00572A3F"/>
    <w:rsid w:val="00573C95"/>
    <w:rsid w:val="00582DD9"/>
    <w:rsid w:val="00593EE7"/>
    <w:rsid w:val="005A5DCC"/>
    <w:rsid w:val="005D127F"/>
    <w:rsid w:val="005E452B"/>
    <w:rsid w:val="005F0F05"/>
    <w:rsid w:val="00616CCB"/>
    <w:rsid w:val="0062103E"/>
    <w:rsid w:val="00625969"/>
    <w:rsid w:val="00663A35"/>
    <w:rsid w:val="006D0972"/>
    <w:rsid w:val="006F17BE"/>
    <w:rsid w:val="00701633"/>
    <w:rsid w:val="00705E62"/>
    <w:rsid w:val="00745C9C"/>
    <w:rsid w:val="00765D3F"/>
    <w:rsid w:val="00787711"/>
    <w:rsid w:val="007C08C5"/>
    <w:rsid w:val="007E01BC"/>
    <w:rsid w:val="00861C14"/>
    <w:rsid w:val="008639E6"/>
    <w:rsid w:val="008A5EF6"/>
    <w:rsid w:val="008B509F"/>
    <w:rsid w:val="008F2C3C"/>
    <w:rsid w:val="008F59D6"/>
    <w:rsid w:val="0093051F"/>
    <w:rsid w:val="00933126"/>
    <w:rsid w:val="00947951"/>
    <w:rsid w:val="009E50E0"/>
    <w:rsid w:val="00A147F8"/>
    <w:rsid w:val="00A61673"/>
    <w:rsid w:val="00AB7DE5"/>
    <w:rsid w:val="00B02425"/>
    <w:rsid w:val="00B30657"/>
    <w:rsid w:val="00B435E3"/>
    <w:rsid w:val="00B64DAC"/>
    <w:rsid w:val="00BE412E"/>
    <w:rsid w:val="00C576CC"/>
    <w:rsid w:val="00C66EE4"/>
    <w:rsid w:val="00C76519"/>
    <w:rsid w:val="00CC011D"/>
    <w:rsid w:val="00CD33A9"/>
    <w:rsid w:val="00CE123D"/>
    <w:rsid w:val="00D4296A"/>
    <w:rsid w:val="00D42ABF"/>
    <w:rsid w:val="00D90C26"/>
    <w:rsid w:val="00DB7DAC"/>
    <w:rsid w:val="00DE3D0F"/>
    <w:rsid w:val="00E02E84"/>
    <w:rsid w:val="00E20448"/>
    <w:rsid w:val="00E24445"/>
    <w:rsid w:val="00E27E76"/>
    <w:rsid w:val="00E73558"/>
    <w:rsid w:val="00E84BED"/>
    <w:rsid w:val="00F3119C"/>
    <w:rsid w:val="00FB1B8F"/>
    <w:rsid w:val="00FD4456"/>
    <w:rsid w:val="13281C22"/>
    <w:rsid w:val="141F1EA3"/>
    <w:rsid w:val="1BE0460E"/>
    <w:rsid w:val="20140D2A"/>
    <w:rsid w:val="29455AB0"/>
    <w:rsid w:val="34825E0A"/>
    <w:rsid w:val="35076310"/>
    <w:rsid w:val="47DF5E04"/>
    <w:rsid w:val="5A1C2D10"/>
    <w:rsid w:val="68EB6230"/>
    <w:rsid w:val="77C91740"/>
    <w:rsid w:val="FB6F4601"/>
    <w:rsid w:val="FF2EF13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Theme="minorEastAsia"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9"/>
    <w:semiHidden/>
    <w:unhideWhenUsed/>
    <w:qFormat/>
    <w:uiPriority w:val="99"/>
    <w:rPr>
      <w:sz w:val="18"/>
      <w:szCs w:val="18"/>
    </w:rPr>
  </w:style>
  <w:style w:type="paragraph" w:styleId="3">
    <w:name w:val="footer"/>
    <w:basedOn w:val="1"/>
    <w:link w:val="8"/>
    <w:semiHidden/>
    <w:unhideWhenUsed/>
    <w:qFormat/>
    <w:uiPriority w:val="99"/>
    <w:pPr>
      <w:tabs>
        <w:tab w:val="center" w:pos="4153"/>
        <w:tab w:val="right" w:pos="8306"/>
      </w:tabs>
      <w:snapToGrid w:val="0"/>
      <w:jc w:val="left"/>
    </w:pPr>
    <w:rPr>
      <w:sz w:val="18"/>
      <w:szCs w:val="18"/>
    </w:rPr>
  </w:style>
  <w:style w:type="paragraph" w:styleId="4">
    <w:name w:val="header"/>
    <w:basedOn w:val="1"/>
    <w:link w:val="7"/>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6"/>
    <w:link w:val="4"/>
    <w:semiHidden/>
    <w:qFormat/>
    <w:uiPriority w:val="99"/>
    <w:rPr>
      <w:sz w:val="18"/>
      <w:szCs w:val="18"/>
    </w:rPr>
  </w:style>
  <w:style w:type="character" w:customStyle="1" w:styleId="8">
    <w:name w:val="页脚 Char"/>
    <w:basedOn w:val="6"/>
    <w:link w:val="3"/>
    <w:semiHidden/>
    <w:qFormat/>
    <w:uiPriority w:val="99"/>
    <w:rPr>
      <w:sz w:val="18"/>
      <w:szCs w:val="18"/>
    </w:rPr>
  </w:style>
  <w:style w:type="character" w:customStyle="1" w:styleId="9">
    <w:name w:val="批注框文本 Char"/>
    <w:basedOn w:val="6"/>
    <w:link w:val="2"/>
    <w:semiHidden/>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satMod val="300000"/>
                <a:tint val="50000"/>
              </a:schemeClr>
            </a:gs>
            <a:gs pos="35000">
              <a:schemeClr val="phClr">
                <a:satMod val="300000"/>
                <a:tint val="37000"/>
              </a:schemeClr>
            </a:gs>
            <a:gs pos="100000">
              <a:schemeClr val="phClr">
                <a:satMod val="350000"/>
                <a:tint val="15000"/>
              </a:schemeClr>
            </a:gs>
          </a:gsLst>
          <a:lin ang="16200000" scaled="true"/>
        </a:gradFill>
        <a:gradFill rotWithShape="true">
          <a:gsLst>
            <a:gs pos="0">
              <a:schemeClr val="phClr">
                <a:satMod val="130000"/>
                <a:shade val="51000"/>
              </a:schemeClr>
            </a:gs>
            <a:gs pos="80000">
              <a:schemeClr val="phClr">
                <a:satMod val="130000"/>
                <a:shade val="93000"/>
              </a:schemeClr>
            </a:gs>
            <a:gs pos="100000">
              <a:schemeClr val="phClr">
                <a:satMod val="135000"/>
                <a:shade val="94000"/>
              </a:schemeClr>
            </a:gs>
          </a:gsLst>
          <a:lin ang="16200000" scaled="false"/>
        </a:gradFill>
      </a:fillStyleLst>
      <a:lnStyleLst>
        <a:ln w="9525" cap="flat" cmpd="sng" algn="ctr">
          <a:solidFill>
            <a:schemeClr val="phClr">
              <a:satMod val="105000"/>
              <a:shade val="9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satMod val="350000"/>
                <a:tint val="40000"/>
              </a:schemeClr>
            </a:gs>
            <a:gs pos="40000">
              <a:schemeClr val="phClr">
                <a:satMod val="350000"/>
                <a:shade val="99000"/>
                <a:tint val="45000"/>
              </a:schemeClr>
            </a:gs>
            <a:gs pos="100000">
              <a:schemeClr val="phClr">
                <a:satMod val="255000"/>
                <a:shade val="20000"/>
              </a:schemeClr>
            </a:gs>
          </a:gsLst>
          <a:path path="circle">
            <a:fillToRect l="50000" t="-80000" r="50000" b="180000"/>
          </a:path>
        </a:gradFill>
        <a:gradFill rotWithShape="true">
          <a:gsLst>
            <a:gs pos="0">
              <a:schemeClr val="phClr">
                <a:satMod val="300000"/>
                <a:tint val="80000"/>
              </a:schemeClr>
            </a:gs>
            <a:gs pos="100000">
              <a:schemeClr val="phClr">
                <a:satMod val="200000"/>
                <a:shade val="3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153</Words>
  <Characters>878</Characters>
  <Lines>7</Lines>
  <Paragraphs>2</Paragraphs>
  <TotalTime>7</TotalTime>
  <ScaleCrop>false</ScaleCrop>
  <LinksUpToDate>false</LinksUpToDate>
  <CharactersWithSpaces>1029</CharactersWithSpaces>
  <Application>WPS Office_11.8.2.10505_F1E327BC-269C-435d-A152-05C5408002CA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2023-06-15T00:41:00Z</dcterms:created>
  <dc:creator>Wang</dc:creator>
  <cp:lastModifiedBy>王书瑜</cp:lastModifiedBy>
  <dcterms:modified xsi:type="dcterms:W3CDTF">2023-09-27T10:04:09Z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2052-11.8.2.10505</vt:lpwstr>
  </property>
</Properties>
</file>