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5F" w:rsidRPr="00E8345F" w:rsidRDefault="00E8345F" w:rsidP="00E8345F">
      <w:pPr>
        <w:spacing w:line="560" w:lineRule="exact"/>
        <w:rPr>
          <w:rFonts w:ascii="黑体" w:eastAsia="黑体" w:hint="eastAsia"/>
          <w:sz w:val="32"/>
          <w:szCs w:val="32"/>
        </w:rPr>
      </w:pPr>
      <w:proofErr w:type="gramStart"/>
      <w:r>
        <w:rPr>
          <w:rFonts w:ascii="黑体" w:eastAsia="黑体" w:hint="eastAsia"/>
          <w:sz w:val="32"/>
          <w:szCs w:val="32"/>
        </w:rPr>
        <w:t>泉教办</w:t>
      </w:r>
      <w:proofErr w:type="gramEnd"/>
      <w:r>
        <w:rPr>
          <w:rFonts w:ascii="黑体" w:eastAsia="黑体" w:hint="eastAsia"/>
          <w:sz w:val="32"/>
          <w:szCs w:val="32"/>
        </w:rPr>
        <w:t>〔2022〕2号附件3</w:t>
      </w:r>
    </w:p>
    <w:p w:rsidR="00E8345F" w:rsidRDefault="00E8345F" w:rsidP="00E8345F">
      <w:pPr>
        <w:spacing w:line="56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泉州市第五届中小学生“魅力海丝行”英语小导游</w:t>
      </w:r>
    </w:p>
    <w:p w:rsidR="00E8345F" w:rsidRDefault="00E8345F" w:rsidP="00E8345F">
      <w:pPr>
        <w:spacing w:line="56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网络公益活动评选标准</w:t>
      </w:r>
    </w:p>
    <w:p w:rsidR="00E8345F" w:rsidRDefault="00E8345F" w:rsidP="00E8345F">
      <w:pPr>
        <w:spacing w:line="560" w:lineRule="exact"/>
        <w:ind w:left="3960" w:hangingChars="1100" w:hanging="3960"/>
        <w:rPr>
          <w:rFonts w:ascii="黑体" w:eastAsia="黑体" w:hAnsi="黑体" w:cs="黑体" w:hint="eastAsia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4948"/>
        <w:gridCol w:w="859"/>
        <w:gridCol w:w="907"/>
        <w:gridCol w:w="908"/>
      </w:tblGrid>
      <w:tr w:rsidR="00E8345F" w:rsidTr="0077217E">
        <w:trPr>
          <w:trHeight w:val="560"/>
          <w:jc w:val="center"/>
        </w:trPr>
        <w:tc>
          <w:tcPr>
            <w:tcW w:w="1283" w:type="dxa"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评分项目</w:t>
            </w:r>
          </w:p>
        </w:tc>
        <w:tc>
          <w:tcPr>
            <w:tcW w:w="4948" w:type="dxa"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评分要求</w:t>
            </w:r>
          </w:p>
        </w:tc>
        <w:tc>
          <w:tcPr>
            <w:tcW w:w="859" w:type="dxa"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单项分值</w:t>
            </w:r>
          </w:p>
        </w:tc>
        <w:tc>
          <w:tcPr>
            <w:tcW w:w="907" w:type="dxa"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单项计分</w:t>
            </w:r>
          </w:p>
        </w:tc>
        <w:tc>
          <w:tcPr>
            <w:tcW w:w="908" w:type="dxa"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大项计分</w:t>
            </w:r>
          </w:p>
        </w:tc>
      </w:tr>
      <w:tr w:rsidR="00E8345F" w:rsidTr="0077217E">
        <w:trPr>
          <w:cantSplit/>
          <w:trHeight w:val="670"/>
          <w:jc w:val="center"/>
        </w:trPr>
        <w:tc>
          <w:tcPr>
            <w:tcW w:w="1283" w:type="dxa"/>
            <w:vMerge w:val="restart"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形象仪表（25分）</w:t>
            </w:r>
          </w:p>
        </w:tc>
        <w:tc>
          <w:tcPr>
            <w:tcW w:w="4948" w:type="dxa"/>
            <w:tcBorders>
              <w:bottom w:val="single" w:sz="4" w:space="0" w:color="auto"/>
            </w:tcBorders>
            <w:vAlign w:val="center"/>
          </w:tcPr>
          <w:p w:rsidR="00E8345F" w:rsidRDefault="00E8345F" w:rsidP="0077217E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</w:t>
            </w:r>
            <w:r>
              <w:rPr>
                <w:rFonts w:ascii="仿宋_GB2312" w:eastAsia="仿宋_GB2312" w:hint="eastAsia"/>
                <w:sz w:val="24"/>
              </w:rPr>
              <w:t>角度新颖，通俗易懂，生动幽默，富有感染力、亲和力。</w:t>
            </w:r>
          </w:p>
        </w:tc>
        <w:tc>
          <w:tcPr>
            <w:tcW w:w="859" w:type="dxa"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10分</w:t>
            </w:r>
          </w:p>
        </w:tc>
        <w:tc>
          <w:tcPr>
            <w:tcW w:w="907" w:type="dxa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908" w:type="dxa"/>
            <w:vMerge w:val="restart"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 xml:space="preserve"> </w:t>
            </w:r>
          </w:p>
        </w:tc>
      </w:tr>
      <w:tr w:rsidR="00E8345F" w:rsidTr="0077217E">
        <w:trPr>
          <w:cantSplit/>
          <w:trHeight w:val="704"/>
          <w:jc w:val="center"/>
        </w:trPr>
        <w:tc>
          <w:tcPr>
            <w:tcW w:w="1283" w:type="dxa"/>
            <w:vMerge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948" w:type="dxa"/>
            <w:tcBorders>
              <w:bottom w:val="single" w:sz="4" w:space="0" w:color="auto"/>
            </w:tcBorders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 穿着得体、着装整洁。</w:t>
            </w:r>
          </w:p>
        </w:tc>
        <w:tc>
          <w:tcPr>
            <w:tcW w:w="859" w:type="dxa"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5分</w:t>
            </w:r>
          </w:p>
        </w:tc>
        <w:tc>
          <w:tcPr>
            <w:tcW w:w="907" w:type="dxa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908" w:type="dxa"/>
            <w:vMerge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FF0000"/>
                <w:sz w:val="24"/>
              </w:rPr>
            </w:pPr>
          </w:p>
        </w:tc>
      </w:tr>
      <w:tr w:rsidR="00E8345F" w:rsidTr="0077217E">
        <w:trPr>
          <w:cantSplit/>
          <w:trHeight w:val="713"/>
          <w:jc w:val="center"/>
        </w:trPr>
        <w:tc>
          <w:tcPr>
            <w:tcW w:w="1283" w:type="dxa"/>
            <w:vMerge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948" w:type="dxa"/>
            <w:tcBorders>
              <w:bottom w:val="single" w:sz="4" w:space="0" w:color="auto"/>
            </w:tcBorders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 礼貌到位、精神饱满、言行举止大方，符合导游员职业规范要求。</w:t>
            </w:r>
          </w:p>
        </w:tc>
        <w:tc>
          <w:tcPr>
            <w:tcW w:w="859" w:type="dxa"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10分</w:t>
            </w:r>
          </w:p>
        </w:tc>
        <w:tc>
          <w:tcPr>
            <w:tcW w:w="907" w:type="dxa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908" w:type="dxa"/>
            <w:vMerge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FF0000"/>
                <w:sz w:val="24"/>
              </w:rPr>
            </w:pPr>
          </w:p>
        </w:tc>
      </w:tr>
      <w:tr w:rsidR="00E8345F" w:rsidTr="0077217E">
        <w:trPr>
          <w:cantSplit/>
          <w:trHeight w:val="713"/>
          <w:jc w:val="center"/>
        </w:trPr>
        <w:tc>
          <w:tcPr>
            <w:tcW w:w="1283" w:type="dxa"/>
            <w:vMerge w:val="restart"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流畅程度</w:t>
            </w:r>
          </w:p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（20分）</w:t>
            </w:r>
          </w:p>
        </w:tc>
        <w:tc>
          <w:tcPr>
            <w:tcW w:w="4948" w:type="dxa"/>
            <w:tcBorders>
              <w:bottom w:val="single" w:sz="4" w:space="0" w:color="auto"/>
            </w:tcBorders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 内容清晰、无卡顿 （卡顿两处不扣分，超过两处以上卡两次扣一分）。</w:t>
            </w:r>
          </w:p>
        </w:tc>
        <w:tc>
          <w:tcPr>
            <w:tcW w:w="859" w:type="dxa"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15分</w:t>
            </w:r>
          </w:p>
        </w:tc>
        <w:tc>
          <w:tcPr>
            <w:tcW w:w="907" w:type="dxa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FF0000"/>
                <w:sz w:val="24"/>
              </w:rPr>
            </w:pPr>
          </w:p>
        </w:tc>
        <w:tc>
          <w:tcPr>
            <w:tcW w:w="908" w:type="dxa"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FF0000"/>
                <w:sz w:val="24"/>
              </w:rPr>
            </w:pPr>
          </w:p>
        </w:tc>
      </w:tr>
      <w:tr w:rsidR="00E8345F" w:rsidTr="0077217E">
        <w:trPr>
          <w:cantSplit/>
          <w:trHeight w:val="713"/>
          <w:jc w:val="center"/>
        </w:trPr>
        <w:tc>
          <w:tcPr>
            <w:tcW w:w="1283" w:type="dxa"/>
            <w:vMerge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948" w:type="dxa"/>
            <w:tcBorders>
              <w:bottom w:val="single" w:sz="4" w:space="0" w:color="auto"/>
            </w:tcBorders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 语调和现场介绍自然、流畅、无差错，临场发挥稳定（两次以下不扣分，超过两次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以上⼀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1次扣1分）。</w:t>
            </w:r>
          </w:p>
        </w:tc>
        <w:tc>
          <w:tcPr>
            <w:tcW w:w="859" w:type="dxa"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5分</w:t>
            </w:r>
          </w:p>
        </w:tc>
        <w:tc>
          <w:tcPr>
            <w:tcW w:w="907" w:type="dxa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FF0000"/>
                <w:sz w:val="24"/>
              </w:rPr>
            </w:pPr>
          </w:p>
        </w:tc>
        <w:tc>
          <w:tcPr>
            <w:tcW w:w="908" w:type="dxa"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FF0000"/>
                <w:sz w:val="24"/>
              </w:rPr>
            </w:pPr>
          </w:p>
        </w:tc>
      </w:tr>
      <w:tr w:rsidR="00E8345F" w:rsidTr="0077217E">
        <w:trPr>
          <w:cantSplit/>
          <w:trHeight w:val="770"/>
          <w:jc w:val="center"/>
        </w:trPr>
        <w:tc>
          <w:tcPr>
            <w:tcW w:w="1283" w:type="dxa"/>
            <w:vMerge w:val="restart"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语言表达</w:t>
            </w:r>
          </w:p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（20分）</w:t>
            </w:r>
          </w:p>
        </w:tc>
        <w:tc>
          <w:tcPr>
            <w:tcW w:w="4948" w:type="dxa"/>
            <w:tcBorders>
              <w:bottom w:val="single" w:sz="4" w:space="0" w:color="auto"/>
            </w:tcBorders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 口齿清楚，发音标准，表达自然流畅。</w:t>
            </w:r>
          </w:p>
        </w:tc>
        <w:tc>
          <w:tcPr>
            <w:tcW w:w="859" w:type="dxa"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5分</w:t>
            </w:r>
          </w:p>
        </w:tc>
        <w:tc>
          <w:tcPr>
            <w:tcW w:w="907" w:type="dxa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908" w:type="dxa"/>
            <w:vMerge w:val="restart"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 xml:space="preserve"> </w:t>
            </w:r>
          </w:p>
        </w:tc>
      </w:tr>
      <w:tr w:rsidR="00E8345F" w:rsidTr="0077217E">
        <w:trPr>
          <w:cantSplit/>
          <w:trHeight w:val="693"/>
          <w:jc w:val="center"/>
        </w:trPr>
        <w:tc>
          <w:tcPr>
            <w:tcW w:w="1283" w:type="dxa"/>
            <w:vMerge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948" w:type="dxa"/>
            <w:tcBorders>
              <w:bottom w:val="single" w:sz="4" w:space="0" w:color="auto"/>
            </w:tcBorders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 语速适中，语调亲切。</w:t>
            </w:r>
          </w:p>
        </w:tc>
        <w:tc>
          <w:tcPr>
            <w:tcW w:w="859" w:type="dxa"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5分</w:t>
            </w:r>
          </w:p>
        </w:tc>
        <w:tc>
          <w:tcPr>
            <w:tcW w:w="907" w:type="dxa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908" w:type="dxa"/>
            <w:vMerge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FF0000"/>
                <w:sz w:val="24"/>
              </w:rPr>
            </w:pPr>
          </w:p>
        </w:tc>
      </w:tr>
      <w:tr w:rsidR="00E8345F" w:rsidTr="0077217E">
        <w:trPr>
          <w:cantSplit/>
          <w:trHeight w:val="724"/>
          <w:jc w:val="center"/>
        </w:trPr>
        <w:tc>
          <w:tcPr>
            <w:tcW w:w="1283" w:type="dxa"/>
            <w:vMerge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948" w:type="dxa"/>
            <w:tcBorders>
              <w:bottom w:val="single" w:sz="4" w:space="0" w:color="auto"/>
            </w:tcBorders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3.语法正确、恰当。</w:t>
            </w:r>
          </w:p>
        </w:tc>
        <w:tc>
          <w:tcPr>
            <w:tcW w:w="859" w:type="dxa"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5分</w:t>
            </w:r>
          </w:p>
        </w:tc>
        <w:tc>
          <w:tcPr>
            <w:tcW w:w="907" w:type="dxa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908" w:type="dxa"/>
            <w:vMerge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FF0000"/>
                <w:sz w:val="24"/>
              </w:rPr>
            </w:pPr>
          </w:p>
        </w:tc>
      </w:tr>
      <w:tr w:rsidR="00E8345F" w:rsidTr="0077217E">
        <w:trPr>
          <w:cantSplit/>
          <w:trHeight w:val="954"/>
          <w:jc w:val="center"/>
        </w:trPr>
        <w:tc>
          <w:tcPr>
            <w:tcW w:w="1283" w:type="dxa"/>
            <w:vMerge/>
            <w:tcBorders>
              <w:bottom w:val="single" w:sz="4" w:space="0" w:color="auto"/>
            </w:tcBorders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948" w:type="dxa"/>
            <w:tcBorders>
              <w:bottom w:val="single" w:sz="4" w:space="0" w:color="auto"/>
            </w:tcBorders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4. 表情及其他身体语言运用得当。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5分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908" w:type="dxa"/>
            <w:vMerge/>
            <w:tcBorders>
              <w:bottom w:val="single" w:sz="4" w:space="0" w:color="auto"/>
            </w:tcBorders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FF0000"/>
                <w:sz w:val="24"/>
              </w:rPr>
            </w:pPr>
          </w:p>
        </w:tc>
      </w:tr>
      <w:tr w:rsidR="00E8345F" w:rsidTr="0077217E">
        <w:trPr>
          <w:cantSplit/>
          <w:trHeight w:val="785"/>
          <w:jc w:val="center"/>
        </w:trPr>
        <w:tc>
          <w:tcPr>
            <w:tcW w:w="1283" w:type="dxa"/>
            <w:vMerge w:val="restart"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景点讲解</w:t>
            </w:r>
          </w:p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（35）</w:t>
            </w:r>
          </w:p>
        </w:tc>
        <w:tc>
          <w:tcPr>
            <w:tcW w:w="4948" w:type="dxa"/>
            <w:tcBorders>
              <w:bottom w:val="single" w:sz="4" w:space="0" w:color="auto"/>
            </w:tcBorders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 熟悉旅游景点和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世遗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点相关知识、讲解内容完整、准确，重点突出，紧扣主题。</w:t>
            </w:r>
          </w:p>
        </w:tc>
        <w:tc>
          <w:tcPr>
            <w:tcW w:w="859" w:type="dxa"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15分</w:t>
            </w:r>
          </w:p>
        </w:tc>
        <w:tc>
          <w:tcPr>
            <w:tcW w:w="907" w:type="dxa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908" w:type="dxa"/>
            <w:vMerge w:val="restart"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 xml:space="preserve"> </w:t>
            </w:r>
          </w:p>
        </w:tc>
      </w:tr>
      <w:tr w:rsidR="00E8345F" w:rsidTr="0077217E">
        <w:trPr>
          <w:cantSplit/>
          <w:trHeight w:val="845"/>
          <w:jc w:val="center"/>
        </w:trPr>
        <w:tc>
          <w:tcPr>
            <w:tcW w:w="1283" w:type="dxa"/>
            <w:vMerge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4948" w:type="dxa"/>
            <w:tcBorders>
              <w:bottom w:val="single" w:sz="4" w:space="0" w:color="auto"/>
            </w:tcBorders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 思路清晰，富于逻辑性条理清晰、详略得当，讲解方法感染力强。</w:t>
            </w:r>
          </w:p>
        </w:tc>
        <w:tc>
          <w:tcPr>
            <w:tcW w:w="859" w:type="dxa"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10分</w:t>
            </w:r>
          </w:p>
        </w:tc>
        <w:tc>
          <w:tcPr>
            <w:tcW w:w="907" w:type="dxa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908" w:type="dxa"/>
            <w:vMerge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FF0000"/>
                <w:sz w:val="24"/>
              </w:rPr>
            </w:pPr>
          </w:p>
        </w:tc>
      </w:tr>
      <w:tr w:rsidR="00E8345F" w:rsidTr="0077217E">
        <w:trPr>
          <w:cantSplit/>
          <w:trHeight w:val="702"/>
          <w:jc w:val="center"/>
        </w:trPr>
        <w:tc>
          <w:tcPr>
            <w:tcW w:w="1283" w:type="dxa"/>
            <w:vMerge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4948" w:type="dxa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 精神饱满、讲解生动、有感染力。</w:t>
            </w:r>
          </w:p>
        </w:tc>
        <w:tc>
          <w:tcPr>
            <w:tcW w:w="859" w:type="dxa"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10分</w:t>
            </w:r>
          </w:p>
        </w:tc>
        <w:tc>
          <w:tcPr>
            <w:tcW w:w="907" w:type="dxa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908" w:type="dxa"/>
            <w:vMerge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FF0000"/>
                <w:sz w:val="24"/>
              </w:rPr>
            </w:pPr>
          </w:p>
        </w:tc>
      </w:tr>
      <w:tr w:rsidR="00E8345F" w:rsidTr="0077217E">
        <w:trPr>
          <w:cantSplit/>
          <w:trHeight w:val="702"/>
          <w:jc w:val="center"/>
        </w:trPr>
        <w:tc>
          <w:tcPr>
            <w:tcW w:w="6231" w:type="dxa"/>
            <w:gridSpan w:val="2"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总分</w:t>
            </w:r>
          </w:p>
        </w:tc>
        <w:tc>
          <w:tcPr>
            <w:tcW w:w="2674" w:type="dxa"/>
            <w:gridSpan w:val="3"/>
            <w:vAlign w:val="center"/>
          </w:tcPr>
          <w:p w:rsidR="00E8345F" w:rsidRDefault="00E8345F" w:rsidP="007721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FF0000"/>
                <w:sz w:val="24"/>
              </w:rPr>
            </w:pPr>
          </w:p>
        </w:tc>
      </w:tr>
    </w:tbl>
    <w:p w:rsidR="00E678DD" w:rsidRDefault="00E678DD">
      <w:bookmarkStart w:id="0" w:name="_GoBack"/>
      <w:bookmarkEnd w:id="0"/>
    </w:p>
    <w:sectPr w:rsidR="00E67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5F"/>
    <w:rsid w:val="00E678DD"/>
    <w:rsid w:val="00E8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HP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2022-01-23T15:56:00Z</dcterms:created>
  <dcterms:modified xsi:type="dcterms:W3CDTF">2022-01-23T15:56:00Z</dcterms:modified>
</cp:coreProperties>
</file>