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lang w:eastAsia="zh-CN"/>
        </w:rPr>
        <w:t>鲤</w:t>
      </w:r>
      <w:r>
        <w:rPr>
          <w:rFonts w:hint="eastAsia" w:ascii="Times New Roman" w:eastAsia="方正小标宋简体"/>
          <w:bCs/>
          <w:color w:val="auto"/>
          <w:sz w:val="44"/>
          <w:szCs w:val="44"/>
        </w:rPr>
        <w:t>202</w:t>
      </w:r>
      <w:r>
        <w:rPr>
          <w:rFonts w:hint="eastAsia" w:ascii="Times New Roman" w:eastAsia="方正小标宋简体"/>
          <w:bCs/>
          <w:color w:val="auto"/>
          <w:sz w:val="44"/>
          <w:szCs w:val="44"/>
          <w:lang w:val="en-US" w:eastAsia="zh-CN"/>
        </w:rPr>
        <w:t>4</w:t>
      </w:r>
      <w:r>
        <w:rPr>
          <w:rFonts w:hint="eastAsia" w:ascii="Times New Roman" w:eastAsia="方正小标宋简体"/>
          <w:bCs/>
          <w:color w:val="auto"/>
          <w:sz w:val="44"/>
          <w:szCs w:val="44"/>
        </w:rPr>
        <w:t>-</w:t>
      </w:r>
      <w:r>
        <w:rPr>
          <w:rFonts w:hint="eastAsia" w:ascii="Times New Roman" w:eastAsia="方正小标宋简体"/>
          <w:bCs/>
          <w:color w:val="auto"/>
          <w:sz w:val="44"/>
          <w:szCs w:val="44"/>
          <w:lang w:val="en-US" w:eastAsia="zh-CN"/>
        </w:rPr>
        <w:t>7</w:t>
      </w:r>
      <w:r>
        <w:rPr>
          <w:rFonts w:hint="eastAsia" w:ascii="Times New Roman" w:eastAsia="方正小标宋简体"/>
          <w:bCs/>
          <w:color w:val="auto"/>
          <w:sz w:val="44"/>
          <w:szCs w:val="44"/>
        </w:rPr>
        <w:t>号</w:t>
      </w:r>
      <w:r>
        <w:rPr>
          <w:rFonts w:hint="eastAsia" w:ascii="Times New Roman" w:eastAsia="方正小标宋简体"/>
          <w:bCs/>
          <w:color w:val="auto"/>
          <w:sz w:val="44"/>
          <w:szCs w:val="44"/>
          <w:lang w:eastAsia="zh-CN"/>
        </w:rPr>
        <w:t>等</w:t>
      </w:r>
      <w:r>
        <w:rPr>
          <w:rFonts w:hint="eastAsia" w:ascii="Times New Roman" w:eastAsia="方正小标宋简体"/>
          <w:bCs/>
          <w:color w:val="auto"/>
          <w:sz w:val="44"/>
          <w:szCs w:val="44"/>
          <w:lang w:val="en-US" w:eastAsia="zh-CN"/>
        </w:rPr>
        <w:t>9宗</w:t>
      </w:r>
      <w:r>
        <w:rPr>
          <w:rFonts w:ascii="Times New Roman" w:eastAsia="方正小标宋简体"/>
          <w:bCs/>
          <w:color w:val="auto"/>
          <w:sz w:val="44"/>
          <w:szCs w:val="44"/>
        </w:rPr>
        <w:t>地块国有建设用地使用权</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bCs/>
          <w:color w:val="auto"/>
          <w:szCs w:val="32"/>
          <w:lang w:eastAsia="zh-CN"/>
        </w:rPr>
        <w:t>鲤</w:t>
      </w:r>
      <w:r>
        <w:rPr>
          <w:rFonts w:hint="eastAsia" w:ascii="Times New Roman" w:eastAsia="仿宋"/>
          <w:bCs/>
          <w:color w:val="auto"/>
          <w:szCs w:val="32"/>
        </w:rPr>
        <w:t>202</w:t>
      </w:r>
      <w:r>
        <w:rPr>
          <w:rFonts w:hint="eastAsia" w:ascii="Times New Roman" w:eastAsia="仿宋"/>
          <w:bCs/>
          <w:color w:val="auto"/>
          <w:szCs w:val="32"/>
          <w:lang w:val="en-US" w:eastAsia="zh-CN"/>
        </w:rPr>
        <w:t>4</w:t>
      </w:r>
      <w:r>
        <w:rPr>
          <w:rFonts w:hint="eastAsia" w:ascii="Times New Roman" w:eastAsia="仿宋"/>
          <w:bCs/>
          <w:color w:val="auto"/>
          <w:szCs w:val="32"/>
        </w:rPr>
        <w:t>-</w:t>
      </w:r>
      <w:r>
        <w:rPr>
          <w:rFonts w:hint="eastAsia" w:ascii="Times New Roman" w:eastAsia="仿宋"/>
          <w:bCs/>
          <w:color w:val="auto"/>
          <w:szCs w:val="32"/>
          <w:lang w:val="en-US" w:eastAsia="zh-CN"/>
        </w:rPr>
        <w:t>7</w:t>
      </w:r>
      <w:r>
        <w:rPr>
          <w:rFonts w:hint="eastAsia" w:ascii="Times New Roman" w:eastAsia="仿宋"/>
          <w:bCs/>
          <w:color w:val="auto"/>
          <w:szCs w:val="32"/>
        </w:rPr>
        <w:t>号</w:t>
      </w:r>
      <w:r>
        <w:rPr>
          <w:rFonts w:hint="eastAsia" w:ascii="Times New Roman" w:eastAsia="仿宋"/>
          <w:bCs/>
          <w:color w:val="auto"/>
          <w:szCs w:val="32"/>
          <w:lang w:eastAsia="zh-CN"/>
        </w:rPr>
        <w:t>等</w:t>
      </w:r>
      <w:r>
        <w:rPr>
          <w:rFonts w:hint="eastAsia" w:ascii="Times New Roman" w:eastAsia="仿宋"/>
          <w:bCs/>
          <w:color w:val="auto"/>
          <w:szCs w:val="32"/>
          <w:lang w:val="en-US" w:eastAsia="zh-CN"/>
        </w:rPr>
        <w:t>9宗</w:t>
      </w:r>
      <w:r>
        <w:rPr>
          <w:rFonts w:hint="eastAsia" w:ascii="Times New Roman" w:eastAsia="仿宋"/>
          <w:bCs/>
          <w:color w:val="auto"/>
          <w:szCs w:val="32"/>
        </w:rPr>
        <w:t>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2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lang w:val="en-US" w:eastAsia="zh-CN"/>
        </w:rPr>
        <w:t>5</w:t>
      </w:r>
      <w:r>
        <w:rPr>
          <w:rFonts w:ascii="Times New Roman" w:eastAsia="仿宋"/>
          <w:color w:val="auto"/>
          <w:sz w:val="30"/>
          <w:szCs w:val="30"/>
        </w:rPr>
        <w:t>年</w:t>
      </w:r>
      <w:r>
        <w:rPr>
          <w:rFonts w:hint="eastAsia" w:ascii="Times New Roman" w:eastAsia="仿宋"/>
          <w:color w:val="auto"/>
          <w:sz w:val="30"/>
          <w:szCs w:val="30"/>
          <w:lang w:val="en-US" w:eastAsia="zh-CN"/>
        </w:rPr>
        <w:t>3</w:t>
      </w:r>
      <w:r>
        <w:rPr>
          <w:rFonts w:ascii="Times New Roman" w:eastAsia="仿宋"/>
          <w:color w:val="auto"/>
          <w:sz w:val="30"/>
          <w:szCs w:val="30"/>
        </w:rPr>
        <w:t>月</w:t>
      </w:r>
      <w:r>
        <w:rPr>
          <w:rFonts w:hint="eastAsia" w:ascii="Times New Roman" w:eastAsia="仿宋"/>
          <w:color w:val="auto"/>
          <w:sz w:val="30"/>
          <w:szCs w:val="30"/>
        </w:rPr>
        <w:t>2</w:t>
      </w:r>
      <w:r>
        <w:rPr>
          <w:rFonts w:hint="eastAsia" w:ascii="Times New Roman" w:eastAsia="仿宋"/>
          <w:color w:val="auto"/>
          <w:sz w:val="30"/>
          <w:szCs w:val="30"/>
          <w:lang w:val="en-US" w:eastAsia="zh-CN"/>
        </w:rPr>
        <w:t>7</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（一）地块的基本情况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b/>
          <w:color w:val="auto"/>
          <w:szCs w:val="32"/>
          <w:lang w:val="en-US" w:eastAsia="zh-CN"/>
        </w:rPr>
        <w:t>1.</w:t>
      </w:r>
      <w:r>
        <w:rPr>
          <w:rFonts w:hint="default" w:ascii="Times New Roman" w:hAnsi="Times New Roman" w:eastAsia="仿宋_GB2312" w:cs="Times New Roman"/>
          <w:b/>
          <w:color w:val="auto"/>
          <w:szCs w:val="32"/>
          <w:lang w:eastAsia="zh-CN"/>
        </w:rPr>
        <w:t>鲤2024-7号地块。</w:t>
      </w:r>
      <w:r>
        <w:rPr>
          <w:rFonts w:hint="default" w:ascii="Times New Roman" w:hAnsi="Times New Roman" w:eastAsia="仿宋_GB2312" w:cs="Times New Roman"/>
          <w:color w:val="auto"/>
          <w:szCs w:val="32"/>
          <w:lang w:eastAsia="zh-CN"/>
        </w:rPr>
        <w:t>该宗地即2023-58号储备用地，位于鲤城区浮桥街道，用地面积89547.67平方米（约合134.32亩）。规划用途：二类城镇住宅用地、幼儿园用地。主要技术指标：住宅用地容积率2.8以下1.0以上，建筑密度18%以下，绿地率30%以上，建筑高度80米以下。幼儿园用地容积率0.8以下0.75以上，建筑密度35%以下，绿地率30%以上，建筑高度24米以下。建设内容为建设住宅及配套设施（其中商业配套设施计容建筑面积4100平方米，误差不超过±50平方米）、15班幼儿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Cs w:val="32"/>
          <w:lang w:val="en-US" w:eastAsia="zh-CN"/>
        </w:rPr>
      </w:pPr>
      <w:r>
        <w:rPr>
          <w:rFonts w:hint="default" w:ascii="Times New Roman" w:hAnsi="Times New Roman" w:eastAsia="仿宋_GB2312" w:cs="Times New Roman"/>
          <w:color w:val="auto"/>
          <w:szCs w:val="32"/>
          <w:lang w:val="en-US" w:eastAsia="zh-CN"/>
        </w:rPr>
        <w:t>2.</w:t>
      </w:r>
      <w:r>
        <w:rPr>
          <w:rFonts w:hint="default" w:ascii="Times New Roman" w:hAnsi="Times New Roman" w:eastAsia="仿宋_GB2312" w:cs="Times New Roman"/>
          <w:b/>
          <w:color w:val="auto"/>
          <w:sz w:val="32"/>
          <w:szCs w:val="32"/>
          <w:lang w:val="en-US" w:eastAsia="zh-CN"/>
        </w:rPr>
        <w:t>鲤2024-9号地块。</w:t>
      </w:r>
      <w:r>
        <w:rPr>
          <w:rFonts w:hint="default" w:ascii="Times New Roman" w:hAnsi="Times New Roman" w:eastAsia="仿宋_GB2312" w:cs="Times New Roman"/>
          <w:b w:val="0"/>
          <w:bCs/>
          <w:color w:val="auto"/>
          <w:sz w:val="32"/>
          <w:szCs w:val="32"/>
          <w:lang w:val="en-US" w:eastAsia="zh-CN"/>
        </w:rPr>
        <w:t>该宗地即2023-19号储备用地，</w:t>
      </w:r>
      <w:r>
        <w:rPr>
          <w:rFonts w:hint="default" w:ascii="Times New Roman" w:hAnsi="Times New Roman" w:eastAsia="仿宋_GB2312" w:cs="Times New Roman"/>
          <w:color w:val="auto"/>
          <w:kern w:val="0"/>
          <w:sz w:val="31"/>
          <w:szCs w:val="31"/>
          <w:lang w:val="en-US" w:eastAsia="zh-CN" w:bidi="ar"/>
        </w:rPr>
        <w:t>位于鲤城区江南新区培新路北侧、景山路西侧，用地面积34103.64平方米（约合 51.16亩）。规划用途：二类城镇住宅。主要技术指标：容积率2.9以下1.0以上，建筑密度20%以下，绿地率30%以上，建筑高度80米以下。建设内容为住宅及配套设施（其中商业配套设施计容建筑面积2000平方米，误差不超过士50平方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1"/>
          <w:szCs w:val="31"/>
          <w:lang w:bidi="ar"/>
        </w:rPr>
      </w:pPr>
      <w:r>
        <w:rPr>
          <w:rFonts w:hint="default" w:ascii="Times New Roman" w:hAnsi="Times New Roman" w:eastAsia="仿宋_GB2312" w:cs="Times New Roman"/>
          <w:color w:val="auto"/>
          <w:szCs w:val="32"/>
          <w:lang w:val="en-US" w:eastAsia="zh-CN"/>
        </w:rPr>
        <w:t>3.</w:t>
      </w:r>
      <w:r>
        <w:rPr>
          <w:rFonts w:hint="default" w:ascii="Times New Roman" w:hAnsi="Times New Roman" w:eastAsia="仿宋_GB2312" w:cs="Times New Roman"/>
          <w:b/>
          <w:color w:val="auto"/>
          <w:sz w:val="32"/>
          <w:szCs w:val="32"/>
        </w:rPr>
        <w:t>鲤2024-10号地块。</w:t>
      </w:r>
      <w:r>
        <w:rPr>
          <w:rFonts w:hint="default" w:ascii="Times New Roman" w:hAnsi="Times New Roman" w:eastAsia="仿宋_GB2312" w:cs="Times New Roman"/>
          <w:bCs/>
          <w:color w:val="auto"/>
          <w:sz w:val="32"/>
          <w:szCs w:val="32"/>
        </w:rPr>
        <w:t>该宗地即2023-20号储备用地，</w:t>
      </w:r>
      <w:r>
        <w:rPr>
          <w:rFonts w:hint="default" w:ascii="Times New Roman" w:hAnsi="Times New Roman" w:eastAsia="仿宋_GB2312" w:cs="Times New Roman"/>
          <w:color w:val="auto"/>
          <w:kern w:val="0"/>
          <w:sz w:val="31"/>
          <w:szCs w:val="31"/>
          <w:lang w:bidi="ar"/>
        </w:rPr>
        <w:t>位于鲤城区江南新区金鲤大道西侧、培新路北侧，用地面积42232平方米（约合63.34亩）。规划用途：二类城镇住宅用地。主要技术指标：容积率2.9以下1.0以上，建筑密度20%以下，绿地率30%以上，建筑高度80米以下。建设内容为住宅及配套设施（其中商业配套设施计容建筑面积3100平方米，误差不超过±50平方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b/>
          <w:color w:val="auto"/>
          <w:sz w:val="32"/>
          <w:szCs w:val="32"/>
          <w:lang w:val="en-US" w:eastAsia="zh-CN" w:bidi="ar-SA"/>
        </w:rPr>
        <w:t>4.鲤2024-11号地块。</w:t>
      </w:r>
      <w:r>
        <w:rPr>
          <w:rFonts w:hint="default" w:ascii="Times New Roman" w:hAnsi="Times New Roman" w:eastAsia="仿宋_GB2312" w:cs="Times New Roman"/>
          <w:b w:val="0"/>
          <w:bCs/>
          <w:color w:val="auto"/>
          <w:sz w:val="32"/>
          <w:szCs w:val="32"/>
          <w:lang w:val="en-US" w:eastAsia="zh-CN"/>
        </w:rPr>
        <w:t>该宗地即2023-37号储备用地，</w:t>
      </w:r>
      <w:r>
        <w:rPr>
          <w:rFonts w:hint="default" w:ascii="Times New Roman" w:hAnsi="Times New Roman" w:eastAsia="仿宋_GB2312" w:cs="Times New Roman"/>
          <w:color w:val="auto"/>
          <w:kern w:val="0"/>
          <w:sz w:val="31"/>
          <w:szCs w:val="31"/>
          <w:lang w:val="en-US" w:eastAsia="zh-CN" w:bidi="ar"/>
        </w:rPr>
        <w:t>位于鲤城区江南新区金鲤大道西侧、宝嘉誉峰东北侧，用地面积10069.45平方米（约合15.10亩）。规划用途：城镇住宅与商业混合用地。主要技术指标：容积率2.8以下1.0以上，建筑密度35%以下，绿地率30%以上，建筑高度80米以下。建设内容为住宅及配套设施、商业设施（其中商业配套设施计容建筑面积5640平方米，误差不超过士100平方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bidi="ar-SA"/>
        </w:rPr>
        <w:t>5.</w:t>
      </w:r>
      <w:r>
        <w:rPr>
          <w:rFonts w:hint="default" w:ascii="Times New Roman" w:hAnsi="Times New Roman" w:eastAsia="仿宋_GB2312" w:cs="Times New Roman"/>
          <w:b/>
          <w:color w:val="auto"/>
          <w:sz w:val="32"/>
          <w:szCs w:val="32"/>
        </w:rPr>
        <w:t>丰2023-24号地块。</w:t>
      </w:r>
      <w:r>
        <w:rPr>
          <w:rFonts w:hint="default" w:ascii="Times New Roman" w:hAnsi="Times New Roman" w:eastAsia="仿宋_GB2312" w:cs="Times New Roman"/>
          <w:color w:val="auto"/>
          <w:sz w:val="32"/>
          <w:szCs w:val="32"/>
        </w:rPr>
        <w:t>该宗地即</w:t>
      </w:r>
      <w:r>
        <w:rPr>
          <w:rFonts w:hint="default" w:ascii="Times New Roman" w:hAnsi="Times New Roman" w:eastAsia="仿宋_GB2312" w:cs="Times New Roman"/>
          <w:color w:val="auto"/>
          <w:sz w:val="32"/>
          <w:szCs w:val="32"/>
          <w:lang w:val="en-US" w:eastAsia="zh-CN"/>
        </w:rPr>
        <w:t>2023-40号</w:t>
      </w:r>
      <w:r>
        <w:rPr>
          <w:rFonts w:hint="default" w:ascii="Times New Roman" w:hAnsi="Times New Roman" w:eastAsia="仿宋_GB2312" w:cs="Times New Roman"/>
          <w:color w:val="auto"/>
          <w:sz w:val="32"/>
          <w:szCs w:val="32"/>
        </w:rPr>
        <w:t>储备用地，位于丰泽区</w:t>
      </w:r>
      <w:r>
        <w:rPr>
          <w:rFonts w:hint="default" w:ascii="Times New Roman" w:hAnsi="Times New Roman" w:eastAsia="仿宋_GB2312" w:cs="Times New Roman"/>
          <w:color w:val="auto"/>
          <w:sz w:val="32"/>
          <w:szCs w:val="32"/>
          <w:lang w:eastAsia="zh-CN"/>
        </w:rPr>
        <w:t>东海街道</w:t>
      </w:r>
      <w:r>
        <w:rPr>
          <w:rFonts w:hint="default" w:ascii="Times New Roman" w:hAnsi="Times New Roman" w:eastAsia="仿宋_GB2312" w:cs="Times New Roman"/>
          <w:color w:val="auto"/>
          <w:sz w:val="32"/>
          <w:szCs w:val="32"/>
        </w:rPr>
        <w:t>后埔片区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大兴路南侧、经五路东侧、后厝街北侧、经六路西侧，</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19071.39</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_GB2312" w:cs="Times New Roman"/>
          <w:color w:val="auto"/>
          <w:sz w:val="32"/>
          <w:szCs w:val="32"/>
          <w:lang w:val="en-US" w:eastAsia="zh-CN"/>
        </w:rPr>
        <w:t>28.6</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rPr>
        <w:t>规划用途为二类城镇住宅用地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以下，建筑密度</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w:t>
      </w:r>
      <w:r>
        <w:rPr>
          <w:rFonts w:hint="default" w:ascii="Times New Roman" w:hAnsi="Times New Roman" w:eastAsia="仿宋_GB2312" w:cs="Times New Roman"/>
          <w:color w:val="auto"/>
          <w:sz w:val="32"/>
          <w:szCs w:val="32"/>
          <w:lang w:eastAsia="zh-CN"/>
        </w:rPr>
        <w:t>商品</w:t>
      </w:r>
      <w:r>
        <w:rPr>
          <w:rFonts w:hint="default" w:ascii="Times New Roman" w:hAnsi="Times New Roman" w:eastAsia="仿宋_GB2312" w:cs="Times New Roman"/>
          <w:color w:val="auto"/>
          <w:sz w:val="32"/>
          <w:szCs w:val="32"/>
        </w:rPr>
        <w:t>住宅。</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丰202</w:t>
      </w:r>
      <w:r>
        <w:rPr>
          <w:rFonts w:hint="default" w:ascii="Times New Roman" w:hAnsi="Times New Roman" w:eastAsia="仿宋_GB2312" w:cs="Times New Roman"/>
          <w:b/>
          <w:color w:val="auto"/>
          <w:sz w:val="32"/>
          <w:szCs w:val="32"/>
          <w:lang w:val="en-US" w:eastAsia="zh-CN"/>
        </w:rPr>
        <w:t>3-28</w:t>
      </w:r>
      <w:r>
        <w:rPr>
          <w:rFonts w:hint="default" w:ascii="Times New Roman" w:hAnsi="Times New Roman" w:eastAsia="仿宋_GB2312" w:cs="Times New Roman"/>
          <w:b/>
          <w:color w:val="auto"/>
          <w:sz w:val="32"/>
          <w:szCs w:val="32"/>
        </w:rPr>
        <w:t>号地块。</w:t>
      </w:r>
      <w:r>
        <w:rPr>
          <w:rFonts w:hint="default" w:ascii="Times New Roman" w:hAnsi="Times New Roman" w:eastAsia="仿宋_GB2312" w:cs="Times New Roman"/>
          <w:color w:val="auto"/>
          <w:sz w:val="32"/>
          <w:szCs w:val="32"/>
        </w:rPr>
        <w:t>该宗地即</w:t>
      </w:r>
      <w:r>
        <w:rPr>
          <w:rFonts w:hint="default" w:ascii="Times New Roman" w:hAnsi="Times New Roman" w:eastAsia="仿宋_GB2312" w:cs="Times New Roman"/>
          <w:color w:val="auto"/>
          <w:sz w:val="32"/>
          <w:szCs w:val="32"/>
          <w:lang w:val="en-US" w:eastAsia="zh-CN"/>
        </w:rPr>
        <w:t>2023-73号</w:t>
      </w:r>
      <w:r>
        <w:rPr>
          <w:rFonts w:hint="default" w:ascii="Times New Roman" w:hAnsi="Times New Roman" w:eastAsia="仿宋_GB2312" w:cs="Times New Roman"/>
          <w:color w:val="auto"/>
          <w:sz w:val="32"/>
          <w:szCs w:val="32"/>
        </w:rPr>
        <w:t>储备用地，位于丰泽区祥远路西北侧、刺桐北路东侧，</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地面积4276.1 平方米（约合6.4亩）</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规划用途为城镇住宅用地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3.4</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1.0以上</w:t>
      </w:r>
      <w:r>
        <w:rPr>
          <w:rFonts w:hint="default" w:ascii="Times New Roman" w:hAnsi="Times New Roman" w:eastAsia="仿宋_GB2312" w:cs="Times New Roman"/>
          <w:color w:val="auto"/>
          <w:sz w:val="32"/>
          <w:szCs w:val="32"/>
        </w:rPr>
        <w:t>，建筑密度</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建设内容为住宅及商业等配套设施，其中商业设施计容建筑面积</w:t>
      </w:r>
      <w:r>
        <w:rPr>
          <w:rFonts w:hint="default" w:ascii="Times New Roman" w:hAnsi="Times New Roman" w:eastAsia="仿宋_GB2312" w:cs="Times New Roman"/>
          <w:color w:val="auto"/>
          <w:sz w:val="32"/>
          <w:szCs w:val="32"/>
          <w:lang w:val="en-US" w:eastAsia="zh-CN"/>
        </w:rPr>
        <w:t>150</w:t>
      </w:r>
      <w:r>
        <w:rPr>
          <w:rFonts w:hint="default" w:ascii="Times New Roman" w:hAnsi="Times New Roman" w:eastAsia="仿宋_GB2312" w:cs="Times New Roman"/>
          <w:color w:val="auto"/>
          <w:sz w:val="32"/>
          <w:szCs w:val="32"/>
        </w:rPr>
        <w:t>平方米。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7.</w:t>
      </w:r>
      <w:r>
        <w:rPr>
          <w:rFonts w:hint="default" w:ascii="Times New Roman" w:hAnsi="Times New Roman" w:eastAsia="仿宋_GB2312" w:cs="Times New Roman"/>
          <w:b/>
          <w:color w:val="auto"/>
          <w:sz w:val="32"/>
          <w:szCs w:val="32"/>
        </w:rPr>
        <w:t>丰2024-28号地块。</w:t>
      </w:r>
      <w:r>
        <w:rPr>
          <w:rFonts w:hint="default" w:ascii="Times New Roman" w:hAnsi="Times New Roman" w:eastAsia="仿宋_GB2312" w:cs="Times New Roman"/>
          <w:color w:val="auto"/>
          <w:sz w:val="32"/>
          <w:szCs w:val="32"/>
        </w:rPr>
        <w:t>该宗地即</w:t>
      </w:r>
      <w:r>
        <w:rPr>
          <w:rFonts w:hint="default" w:ascii="Times New Roman" w:hAnsi="Times New Roman" w:eastAsia="仿宋_GB2312" w:cs="Times New Roman"/>
          <w:color w:val="auto"/>
          <w:sz w:val="32"/>
          <w:szCs w:val="32"/>
          <w:lang w:val="en-US" w:eastAsia="zh-CN"/>
        </w:rPr>
        <w:t>2024-49号</w:t>
      </w:r>
      <w:r>
        <w:rPr>
          <w:rFonts w:hint="default" w:ascii="Times New Roman" w:hAnsi="Times New Roman" w:eastAsia="仿宋_GB2312" w:cs="Times New Roman"/>
          <w:color w:val="auto"/>
          <w:sz w:val="32"/>
          <w:szCs w:val="32"/>
        </w:rPr>
        <w:t>储备用地，位于丰泽区</w:t>
      </w:r>
      <w:r>
        <w:rPr>
          <w:rFonts w:hint="default" w:ascii="Times New Roman" w:hAnsi="Times New Roman" w:eastAsia="仿宋_GB2312" w:cs="Times New Roman"/>
          <w:color w:val="auto"/>
          <w:sz w:val="32"/>
          <w:szCs w:val="32"/>
          <w:lang w:eastAsia="zh-CN"/>
        </w:rPr>
        <w:t>东海街道</w:t>
      </w:r>
      <w:r>
        <w:rPr>
          <w:rFonts w:hint="default" w:ascii="Times New Roman" w:hAnsi="Times New Roman" w:eastAsia="仿宋_GB2312" w:cs="Times New Roman"/>
          <w:color w:val="auto"/>
          <w:sz w:val="32"/>
          <w:szCs w:val="32"/>
        </w:rPr>
        <w:t>，中央活力区二期经十四路东侧、大兴街北侧、规划中小学西侧，</w:t>
      </w:r>
      <w:r>
        <w:rPr>
          <w:rFonts w:hint="default" w:ascii="Times New Roman" w:hAnsi="Times New Roman" w:eastAsia="仿宋_GB2312" w:cs="Times New Roman"/>
          <w:color w:val="auto"/>
          <w:sz w:val="32"/>
          <w:szCs w:val="32"/>
          <w:lang w:eastAsia="zh-CN"/>
        </w:rPr>
        <w:t>用</w:t>
      </w:r>
      <w:r>
        <w:rPr>
          <w:rFonts w:hint="default" w:ascii="Times New Roman" w:hAnsi="Times New Roman" w:eastAsia="仿宋_GB2312" w:cs="Times New Roman"/>
          <w:color w:val="auto"/>
          <w:sz w:val="32"/>
          <w:szCs w:val="32"/>
        </w:rPr>
        <w:t>地面积</w:t>
      </w:r>
      <w:r>
        <w:rPr>
          <w:rFonts w:hint="default" w:ascii="Times New Roman" w:hAnsi="Times New Roman" w:eastAsia="仿宋_GB2312" w:cs="Times New Roman"/>
          <w:color w:val="auto"/>
          <w:sz w:val="32"/>
          <w:szCs w:val="32"/>
          <w:lang w:val="en-US" w:eastAsia="zh-CN"/>
        </w:rPr>
        <w:t>21349.1</w:t>
      </w:r>
      <w:r>
        <w:rPr>
          <w:rFonts w:hint="default" w:ascii="Times New Roman" w:hAnsi="Times New Roman" w:eastAsia="仿宋_GB2312" w:cs="Times New Roman"/>
          <w:bCs/>
          <w:color w:val="auto"/>
          <w:sz w:val="32"/>
          <w:szCs w:val="32"/>
          <w:lang w:val="zh-CN"/>
        </w:rPr>
        <w:t>平方米（约合</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bCs/>
          <w:color w:val="auto"/>
          <w:sz w:val="32"/>
          <w:szCs w:val="32"/>
          <w:lang w:val="zh-CN"/>
        </w:rPr>
        <w:t>亩）。</w:t>
      </w:r>
      <w:r>
        <w:rPr>
          <w:rFonts w:hint="default" w:ascii="Times New Roman" w:hAnsi="Times New Roman" w:eastAsia="仿宋_GB2312" w:cs="Times New Roman"/>
          <w:color w:val="auto"/>
          <w:sz w:val="32"/>
          <w:szCs w:val="32"/>
        </w:rPr>
        <w:t>规划用途为商业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二类城镇住宅用地</w:t>
      </w:r>
      <w:r>
        <w:rPr>
          <w:rFonts w:hint="default" w:ascii="Times New Roman" w:hAnsi="Times New Roman" w:eastAsia="仿宋_GB2312" w:cs="Times New Roman"/>
          <w:bCs/>
          <w:color w:val="auto"/>
          <w:sz w:val="32"/>
          <w:szCs w:val="32"/>
          <w:lang w:val="zh-CN"/>
        </w:rPr>
        <w:t>。</w:t>
      </w:r>
      <w:r>
        <w:rPr>
          <w:rFonts w:hint="default" w:ascii="Times New Roman" w:hAnsi="Times New Roman" w:eastAsia="仿宋_GB2312" w:cs="Times New Roman"/>
          <w:color w:val="auto"/>
          <w:sz w:val="32"/>
          <w:szCs w:val="32"/>
        </w:rPr>
        <w:t>主要技术指标为：容积率</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以下，建筑密度</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%以下，绿地率</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%以上，建筑高度</w:t>
      </w:r>
      <w:r>
        <w:rPr>
          <w:rFonts w:hint="default"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米以下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80米以上住宅楼栋应征得住建部门、消防救援机构同意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，并满足航空限高要求。</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建设内容为安置型商品房，及配套商业设施。其中，商业计容建筑面积不小于7000平方米。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bidi="ar-SA"/>
        </w:rPr>
        <w:t>8.洛2023-5号地块。</w:t>
      </w:r>
      <w:r>
        <w:rPr>
          <w:rFonts w:hint="default" w:ascii="Times New Roman" w:hAnsi="Times New Roman" w:eastAsia="仿宋_GB2312" w:cs="Times New Roman"/>
          <w:color w:val="auto"/>
          <w:sz w:val="32"/>
          <w:szCs w:val="32"/>
        </w:rPr>
        <w:t>该宗地即2024-L05号储备用地，位于洛江区双阳街道，恒泰路东侧，土地面积40140平方米（约合60.21亩）。规划用途为二类城镇住宅用地、城镇社区服务设施用地、公园绿地。主要技术指标为：容积率2.9以下1.0以上，建筑密度18%以下，绿地率35%以上，建筑高度80米以下。建设内容为住宅及民俗用房、商业、公园绿地等配套设施。其中商业的计容建筑面积为3500（±200）平方米。</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color w:val="auto"/>
          <w:sz w:val="32"/>
          <w:szCs w:val="32"/>
          <w:lang w:val="en-US" w:eastAsia="zh-CN" w:bidi="ar-SA"/>
        </w:rPr>
        <w:t>9.丰2025-2号地块</w:t>
      </w:r>
      <w:r>
        <w:rPr>
          <w:rFonts w:hint="default" w:ascii="Times New Roman" w:hAnsi="Times New Roman" w:eastAsia="仿宋_GB2312" w:cs="Times New Roman"/>
          <w:b/>
          <w:color w:val="auto"/>
          <w:sz w:val="32"/>
          <w:szCs w:val="32"/>
          <w:lang w:val="en-US" w:eastAsia="zh-CN" w:bidi="ar-SA"/>
        </w:rPr>
        <w:t>。</w:t>
      </w:r>
      <w:r>
        <w:rPr>
          <w:rFonts w:hint="default" w:ascii="Times New Roman" w:hAnsi="Times New Roman" w:eastAsia="仿宋_GB2312" w:cs="Times New Roman"/>
          <w:color w:val="auto"/>
          <w:sz w:val="32"/>
          <w:szCs w:val="32"/>
          <w:lang w:val="en-US" w:eastAsia="zh-CN"/>
        </w:rPr>
        <w:t>该宗地即2025-3</w:t>
      </w:r>
      <w:r>
        <w:rPr>
          <w:rFonts w:hint="eastAsia"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color w:val="auto"/>
          <w:sz w:val="32"/>
          <w:szCs w:val="32"/>
          <w:lang w:val="en-US" w:eastAsia="zh-CN"/>
        </w:rPr>
        <w:t>储备用地，位于</w:t>
      </w:r>
      <w:r>
        <w:rPr>
          <w:rFonts w:hint="eastAsia" w:ascii="Times New Roman" w:hAnsi="Times New Roman" w:eastAsia="仿宋_GB2312" w:cs="Times New Roman"/>
          <w:color w:val="auto"/>
          <w:sz w:val="32"/>
          <w:szCs w:val="32"/>
          <w:lang w:val="en-US" w:eastAsia="zh-CN"/>
        </w:rPr>
        <w:t>丰泽区泉州东海中央活力区海丝大街北侧、经十路东侧、经十一路西侧，用</w:t>
      </w:r>
      <w:r>
        <w:rPr>
          <w:rFonts w:hint="default" w:ascii="Times New Roman" w:hAnsi="Times New Roman" w:eastAsia="仿宋_GB2312" w:cs="Times New Roman"/>
          <w:color w:val="auto"/>
          <w:sz w:val="32"/>
          <w:szCs w:val="32"/>
          <w:lang w:val="en-US" w:eastAsia="zh-CN"/>
        </w:rPr>
        <w:t>地面积</w:t>
      </w:r>
      <w:r>
        <w:rPr>
          <w:rFonts w:hint="eastAsia" w:ascii="Times New Roman" w:hAnsi="Times New Roman" w:eastAsia="仿宋_GB2312" w:cs="Times New Roman"/>
          <w:color w:val="auto"/>
          <w:sz w:val="32"/>
          <w:szCs w:val="32"/>
          <w:lang w:val="en-US" w:eastAsia="zh-CN"/>
        </w:rPr>
        <w:t>7713.86</w:t>
      </w:r>
      <w:r>
        <w:rPr>
          <w:rFonts w:hint="default" w:ascii="Times New Roman" w:hAnsi="Times New Roman" w:eastAsia="仿宋_GB2312" w:cs="Times New Roman"/>
          <w:color w:val="auto"/>
          <w:sz w:val="32"/>
          <w:szCs w:val="32"/>
          <w:lang w:val="zh-CN" w:eastAsia="zh-CN"/>
        </w:rPr>
        <w:t>平方米（</w:t>
      </w:r>
      <w:r>
        <w:rPr>
          <w:rFonts w:hint="eastAsia" w:ascii="Times New Roman" w:hAnsi="Times New Roman" w:eastAsia="仿宋_GB2312" w:cs="Times New Roman"/>
          <w:color w:val="auto"/>
          <w:sz w:val="32"/>
          <w:szCs w:val="32"/>
          <w:lang w:val="zh-CN" w:eastAsia="zh-CN"/>
        </w:rPr>
        <w:t>约合</w:t>
      </w:r>
      <w:r>
        <w:rPr>
          <w:rFonts w:hint="eastAsia" w:ascii="Times New Roman" w:hAnsi="Times New Roman" w:eastAsia="仿宋_GB2312" w:cs="Times New Roman"/>
          <w:color w:val="auto"/>
          <w:sz w:val="32"/>
          <w:szCs w:val="32"/>
          <w:lang w:val="en-US" w:eastAsia="zh-CN"/>
        </w:rPr>
        <w:t>11.57</w:t>
      </w:r>
      <w:r>
        <w:rPr>
          <w:rFonts w:hint="eastAsia" w:ascii="Times New Roman" w:hAnsi="Times New Roman" w:eastAsia="仿宋_GB2312" w:cs="Times New Roman"/>
          <w:color w:val="auto"/>
          <w:sz w:val="32"/>
          <w:szCs w:val="32"/>
          <w:lang w:val="zh-CN" w:eastAsia="zh-CN"/>
        </w:rPr>
        <w:t>亩</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规划用</w:t>
      </w:r>
      <w:r>
        <w:rPr>
          <w:rFonts w:hint="eastAsia" w:ascii="Times New Roman" w:hAnsi="Times New Roman" w:eastAsia="仿宋_GB2312" w:cs="Times New Roman"/>
          <w:color w:val="auto"/>
          <w:sz w:val="32"/>
          <w:szCs w:val="32"/>
          <w:lang w:val="en-US" w:eastAsia="zh-CN"/>
        </w:rPr>
        <w:t>途为商务金融用地</w:t>
      </w:r>
      <w:r>
        <w:rPr>
          <w:rFonts w:hint="default" w:ascii="Times New Roman" w:hAnsi="Times New Roman" w:eastAsia="仿宋_GB2312" w:cs="Times New Roman"/>
          <w:color w:val="auto"/>
          <w:sz w:val="32"/>
          <w:szCs w:val="32"/>
          <w:lang w:val="zh-CN" w:eastAsia="zh-CN"/>
        </w:rPr>
        <w:t>。</w:t>
      </w:r>
      <w:r>
        <w:rPr>
          <w:rFonts w:hint="default" w:ascii="Times New Roman" w:hAnsi="Times New Roman" w:eastAsia="仿宋_GB2312" w:cs="Times New Roman"/>
          <w:color w:val="auto"/>
          <w:sz w:val="32"/>
          <w:szCs w:val="32"/>
          <w:lang w:val="en-US" w:eastAsia="zh-CN"/>
        </w:rPr>
        <w:t>主要技术指标为：容积率</w:t>
      </w:r>
      <w:r>
        <w:rPr>
          <w:rFonts w:hint="eastAsia" w:ascii="Times New Roman" w:hAnsi="Times New Roman" w:eastAsia="仿宋_GB2312" w:cs="Times New Roman"/>
          <w:color w:val="auto"/>
          <w:sz w:val="32"/>
          <w:szCs w:val="32"/>
          <w:lang w:val="en-US" w:eastAsia="zh-CN"/>
        </w:rPr>
        <w:t>3.5</w:t>
      </w:r>
      <w:r>
        <w:rPr>
          <w:rFonts w:hint="default" w:ascii="Times New Roman" w:hAnsi="Times New Roman" w:eastAsia="仿宋_GB2312" w:cs="Times New Roman"/>
          <w:color w:val="auto"/>
          <w:sz w:val="32"/>
          <w:szCs w:val="32"/>
          <w:lang w:val="en-US" w:eastAsia="zh-CN"/>
        </w:rPr>
        <w:t>以下，建筑密度</w:t>
      </w:r>
      <w:r>
        <w:rPr>
          <w:rFonts w:hint="eastAsia"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以下，绿地率</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以上，建筑高度</w:t>
      </w:r>
      <w:r>
        <w:rPr>
          <w:rFonts w:hint="eastAsia" w:ascii="Times New Roman" w:hAnsi="Times New Roman" w:eastAsia="仿宋_GB2312" w:cs="Times New Roman"/>
          <w:color w:val="auto"/>
          <w:sz w:val="32"/>
          <w:szCs w:val="32"/>
          <w:lang w:val="en-US" w:eastAsia="zh-CN"/>
        </w:rPr>
        <w:t>60</w:t>
      </w:r>
      <w:r>
        <w:rPr>
          <w:rFonts w:hint="default" w:ascii="Times New Roman" w:hAnsi="Times New Roman" w:eastAsia="仿宋_GB2312" w:cs="Times New Roman"/>
          <w:color w:val="auto"/>
          <w:sz w:val="32"/>
          <w:szCs w:val="32"/>
          <w:lang w:val="en-US" w:eastAsia="zh-CN"/>
        </w:rPr>
        <w:t>米以下</w:t>
      </w:r>
      <w:r>
        <w:rPr>
          <w:rFonts w:hint="eastAsia" w:ascii="Times New Roman" w:hAnsi="Times New Roman" w:eastAsia="仿宋_GB2312" w:cs="Times New Roman"/>
          <w:color w:val="auto"/>
          <w:sz w:val="32"/>
          <w:szCs w:val="32"/>
          <w:lang w:val="en-US" w:eastAsia="zh-CN"/>
        </w:rPr>
        <w:t>，并满足航空限高要求</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lang w:val="en-US" w:eastAsia="zh-CN"/>
        </w:rPr>
        <w:t>建设内容为</w:t>
      </w:r>
      <w:r>
        <w:rPr>
          <w:rFonts w:hint="eastAsia" w:ascii="Times New Roman" w:hAnsi="Times New Roman" w:eastAsia="仿宋_GB2312" w:cs="Times New Roman"/>
          <w:color w:val="auto"/>
          <w:sz w:val="32"/>
          <w:szCs w:val="32"/>
          <w:lang w:val="en-US" w:eastAsia="zh-CN"/>
        </w:rPr>
        <w:t>商务办公大楼。</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w:t>
      </w:r>
      <w:r>
        <w:rPr>
          <w:rFonts w:hint="default" w:ascii="Times New Roman" w:hAnsi="Times New Roman" w:eastAsia="仿宋_GB2312" w:cs="Times New Roman"/>
          <w:color w:val="auto"/>
          <w:szCs w:val="32"/>
          <w:lang w:eastAsia="zh-CN"/>
        </w:rPr>
        <w:t>上述</w:t>
      </w:r>
      <w:r>
        <w:rPr>
          <w:rFonts w:hint="default" w:ascii="Times New Roman" w:hAnsi="Times New Roman" w:eastAsia="仿宋_GB2312" w:cs="Times New Roman"/>
          <w:color w:val="auto"/>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Cs w:val="32"/>
        </w:rPr>
        <w:t>2.</w:t>
      </w:r>
      <w:r>
        <w:rPr>
          <w:rFonts w:hint="default" w:ascii="Times New Roman" w:hAnsi="Times New Roman" w:eastAsia="仿宋_GB2312" w:cs="Times New Roman"/>
          <w:color w:val="auto"/>
          <w:sz w:val="32"/>
          <w:szCs w:val="32"/>
          <w:lang w:val="en-US" w:eastAsia="zh-CN"/>
        </w:rPr>
        <w:t>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2023-58号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294</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3.鲤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2023-19号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309</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Cs w:val="32"/>
          <w:lang w:val="en-US" w:eastAsia="zh-CN"/>
        </w:rPr>
        <w:t>4</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 w:val="32"/>
          <w:szCs w:val="32"/>
          <w:lang w:val="en-US" w:eastAsia="zh-CN"/>
        </w:rPr>
        <w:t>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2023-20号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val="en-US" w:eastAsia="zh-CN"/>
        </w:rPr>
        <w:t>5.鲤</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号地块竞得人须按有关规范要求配套建设相应的公共配套服务设施，包括：社区管理服务用房、社区医疗服务站、居家养老服务站等设施[具体规划要求详见《泉州市自然资源和规划局关于下达</w:t>
      </w:r>
      <w:r>
        <w:rPr>
          <w:rFonts w:hint="default" w:ascii="Times New Roman" w:hAnsi="Times New Roman" w:eastAsia="仿宋_GB2312" w:cs="Times New Roman"/>
          <w:color w:val="auto"/>
          <w:sz w:val="32"/>
          <w:szCs w:val="32"/>
          <w:lang w:val="en-US" w:eastAsia="zh-CN"/>
        </w:rPr>
        <w:t>2023-37号</w:t>
      </w:r>
      <w:r>
        <w:rPr>
          <w:rFonts w:hint="default" w:ascii="Times New Roman" w:hAnsi="Times New Roman" w:eastAsia="仿宋_GB2312" w:cs="Times New Roman"/>
          <w:color w:val="auto"/>
          <w:sz w:val="32"/>
          <w:szCs w:val="32"/>
        </w:rPr>
        <w:t>储备用地规划条件的通知》（泉资规〔202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307</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3-24</w:t>
      </w:r>
      <w:r>
        <w:rPr>
          <w:rFonts w:hint="default" w:ascii="Times New Roman" w:hAnsi="Times New Roman" w:eastAsia="仿宋_GB2312" w:cs="Times New Roman"/>
          <w:color w:val="auto"/>
          <w:sz w:val="32"/>
          <w:szCs w:val="32"/>
        </w:rPr>
        <w:t>号地块竞得人须按有关规范要求配套建设相应的公共配套服务设施，包括：</w:t>
      </w:r>
      <w:r>
        <w:rPr>
          <w:rFonts w:hint="default" w:ascii="Times New Roman" w:hAnsi="Times New Roman" w:eastAsia="仿宋_GB2312" w:cs="Times New Roman"/>
          <w:color w:val="auto"/>
          <w:sz w:val="32"/>
          <w:szCs w:val="32"/>
          <w:lang w:eastAsia="zh-CN"/>
        </w:rPr>
        <w:t>社区管理服务用房、</w:t>
      </w:r>
      <w:r>
        <w:rPr>
          <w:rFonts w:hint="default" w:ascii="Times New Roman" w:hAnsi="Times New Roman" w:eastAsia="仿宋_GB2312" w:cs="Times New Roman"/>
          <w:color w:val="auto"/>
          <w:sz w:val="32"/>
          <w:szCs w:val="32"/>
        </w:rPr>
        <w:t>居家养老服务</w:t>
      </w:r>
      <w:r>
        <w:rPr>
          <w:rFonts w:hint="default" w:ascii="Times New Roman" w:hAnsi="Times New Roman" w:eastAsia="仿宋_GB2312" w:cs="Times New Roman"/>
          <w:color w:val="auto"/>
          <w:sz w:val="32"/>
          <w:szCs w:val="32"/>
          <w:lang w:eastAsia="zh-CN"/>
        </w:rPr>
        <w:t>点</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2023-40</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217</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丰2023-28号地块竞得人须按有关规范要求配套建设相应的公共配套服务设施，包括：社区服务用房、社区医疗服务站、居家养老服务站等设施[具体规划要求详见《泉州市自然资源和规划局关于下达2023-73号储备用地规划条件的通知》（泉资规〔2025〕3号）]，且上述公共配套服务设施应相对集中布置在交通便利、方便群众使用的地方，与项目主体建筑同时设计、同时建设，否则住建部门不予核发预售证，建成后无偿将产权、使用权移交给政府指定的有权机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丰202</w:t>
      </w:r>
      <w:r>
        <w:rPr>
          <w:rFonts w:hint="default" w:ascii="Times New Roman" w:hAnsi="Times New Roman" w:eastAsia="仿宋_GB2312" w:cs="Times New Roman"/>
          <w:color w:val="auto"/>
          <w:sz w:val="32"/>
          <w:szCs w:val="32"/>
          <w:lang w:val="en-US" w:eastAsia="zh-CN"/>
        </w:rPr>
        <w:t>4-28</w:t>
      </w:r>
      <w:r>
        <w:rPr>
          <w:rFonts w:hint="default" w:ascii="Times New Roman" w:hAnsi="Times New Roman" w:eastAsia="仿宋_GB2312" w:cs="Times New Roman"/>
          <w:color w:val="auto"/>
          <w:sz w:val="32"/>
          <w:szCs w:val="32"/>
        </w:rPr>
        <w:t>号地块竞得人须按有关规范要求配套建设相应的公共配套服务设施，包括：社区管理服务站</w:t>
      </w:r>
      <w:r>
        <w:rPr>
          <w:rFonts w:hint="default" w:ascii="Times New Roman" w:hAnsi="Times New Roman" w:eastAsia="仿宋_GB2312" w:cs="Times New Roman"/>
          <w:color w:val="auto"/>
          <w:sz w:val="32"/>
          <w:szCs w:val="32"/>
          <w:lang w:eastAsia="zh-CN"/>
        </w:rPr>
        <w:t>、居家养老服务点、菜市场</w:t>
      </w:r>
      <w:r>
        <w:rPr>
          <w:rFonts w:hint="default" w:ascii="Times New Roman" w:hAnsi="Times New Roman" w:eastAsia="仿宋_GB2312" w:cs="Times New Roman"/>
          <w:color w:val="auto"/>
          <w:sz w:val="32"/>
          <w:szCs w:val="32"/>
        </w:rPr>
        <w:t>等设施[具体规划要求详见《泉州市自然资源和规划局关于下达</w:t>
      </w:r>
      <w:r>
        <w:rPr>
          <w:rFonts w:hint="default" w:ascii="Times New Roman" w:hAnsi="Times New Roman" w:eastAsia="仿宋_GB2312" w:cs="Times New Roman"/>
          <w:color w:val="auto"/>
          <w:sz w:val="32"/>
          <w:szCs w:val="32"/>
          <w:lang w:val="en-US" w:eastAsia="zh-CN"/>
        </w:rPr>
        <w:t>2024-49</w:t>
      </w:r>
      <w:r>
        <w:rPr>
          <w:rFonts w:hint="default" w:ascii="Times New Roman" w:hAnsi="Times New Roman" w:eastAsia="仿宋_GB2312" w:cs="Times New Roman"/>
          <w:color w:val="auto"/>
          <w:sz w:val="32"/>
          <w:szCs w:val="32"/>
        </w:rPr>
        <w:t>号储备用地规划条件的通知》（泉资规〔202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洛2023-5号地块竞得人须按有关规范要求配套建设相应的公共配套服务设施，包括：社区管理服务用房、社区医疗服务站、居家养老服务站等设施[具体规划要求详见《泉州市自然资源和规划局关于下达2024-L05号储备用地规划条件的通知》（泉资规〔2024〕248号）]，且上述公共配套服务设施应相对集中布置在交通便利、方便群众使用的地方，与项目主体建筑同时设计、同时建设，否则住建部门不予核发预售证，建成后无偿将产权、使用权移交给政府指定</w:t>
      </w:r>
      <w:r>
        <w:rPr>
          <w:rFonts w:hint="default" w:ascii="Times New Roman" w:hAnsi="Times New Roman" w:eastAsia="仿宋_GB2312" w:cs="Times New Roman"/>
          <w:color w:val="auto"/>
          <w:spacing w:val="6"/>
          <w:sz w:val="32"/>
          <w:szCs w:val="32"/>
        </w:rPr>
        <w:t>的有权机构</w:t>
      </w:r>
      <w:r>
        <w:rPr>
          <w:rFonts w:hint="default" w:ascii="Times New Roman" w:hAnsi="Times New Roman" w:eastAsia="仿宋_GB2312" w:cs="Times New Roman"/>
          <w:color w:val="auto"/>
          <w:sz w:val="32"/>
          <w:szCs w:val="32"/>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10.鲤2024-7号地块配建幼儿园建成后无偿将产权、使用权移交给政府指定的有权机构。</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lang w:val="en-US" w:eastAsia="zh-CN"/>
        </w:rPr>
        <w:t>11.</w:t>
      </w:r>
      <w:r>
        <w:rPr>
          <w:rFonts w:hint="default" w:ascii="Times New Roman" w:hAnsi="Times New Roman" w:eastAsia="仿宋_GB2312" w:cs="Times New Roman"/>
          <w:color w:val="auto"/>
          <w:sz w:val="32"/>
          <w:szCs w:val="32"/>
          <w:lang w:val="en-US" w:eastAsia="zh-CN"/>
        </w:rPr>
        <w:t>鲤2024-10号地块红线内有1宗需原址保留建筑（谢天良宅）需按相关规定进行原址保护，并无偿移交给泉州城建城市开发建设有限公司。原址保留建筑的建筑面积（370.5平方米）不计入容积率。</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Cs w:val="32"/>
        </w:rPr>
        <w:t>鲤2024-7号地块</w:t>
      </w:r>
      <w:r>
        <w:rPr>
          <w:rFonts w:hint="default" w:ascii="Times New Roman" w:hAnsi="Times New Roman" w:eastAsia="仿宋_GB2312" w:cs="Times New Roman"/>
          <w:color w:val="auto"/>
          <w:szCs w:val="32"/>
          <w:lang w:eastAsia="zh-CN"/>
        </w:rPr>
        <w:t>竞</w:t>
      </w:r>
      <w:r>
        <w:rPr>
          <w:rFonts w:hint="default" w:ascii="Times New Roman" w:hAnsi="Times New Roman" w:eastAsia="仿宋_GB2312" w:cs="Times New Roman"/>
          <w:color w:val="auto"/>
          <w:szCs w:val="32"/>
        </w:rPr>
        <w:t>得人应在与我局签订《国有建设用地使用权出让合同》之日起5个工作日内，与泉州市鲤城江南新区城市开发有限公司签订上述地块定向定价商品房代购协议。该地块建成后定向定价商品房、地下室非人防车位、社区商业及办公用房、邻里商业由泉州市鲤城江南新区城市开发有限公司全部代购，定向定价商品房代购价为6720</w:t>
      </w:r>
      <w:r>
        <w:rPr>
          <w:rFonts w:hint="eastAsia" w:ascii="Times New Roman" w:cs="Times New Roman"/>
          <w:color w:val="auto"/>
          <w:szCs w:val="32"/>
          <w:lang w:eastAsia="zh-CN"/>
        </w:rPr>
        <w:t>元</w:t>
      </w:r>
      <w:r>
        <w:rPr>
          <w:rFonts w:hint="default" w:ascii="Times New Roman" w:hAnsi="Times New Roman" w:eastAsia="仿宋_GB2312" w:cs="Times New Roman"/>
          <w:color w:val="auto"/>
          <w:szCs w:val="32"/>
        </w:rPr>
        <w:t>/平方米，地下室非人防车位代购价为100000元/个，社区商业及办公用房代购价为5000元/平方米，邻里商业代购价为15000元/平方米。</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lang w:val="en-US" w:eastAsia="zh-CN"/>
        </w:rPr>
        <w:t>13.</w:t>
      </w:r>
      <w:r>
        <w:rPr>
          <w:rFonts w:hint="default" w:ascii="Times New Roman" w:hAnsi="Times New Roman" w:eastAsia="仿宋_GB2312" w:cs="Times New Roman"/>
          <w:color w:val="auto"/>
          <w:sz w:val="32"/>
          <w:szCs w:val="32"/>
        </w:rPr>
        <w:t>鲤2024-</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、鲤</w:t>
      </w:r>
      <w:r>
        <w:rPr>
          <w:rFonts w:hint="default" w:ascii="Times New Roman" w:hAnsi="Times New Roman" w:eastAsia="仿宋_GB2312" w:cs="Times New Roman"/>
          <w:color w:val="auto"/>
          <w:sz w:val="32"/>
          <w:szCs w:val="32"/>
          <w:lang w:val="en-US" w:eastAsia="zh-CN"/>
        </w:rPr>
        <w:t>2024-10号、鲤2024-11号</w:t>
      </w:r>
      <w:r>
        <w:rPr>
          <w:rFonts w:hint="default" w:ascii="Times New Roman" w:hAnsi="Times New Roman" w:eastAsia="仿宋_GB2312" w:cs="Times New Roman"/>
          <w:color w:val="auto"/>
          <w:sz w:val="32"/>
          <w:szCs w:val="32"/>
        </w:rPr>
        <w:t>地块竞得人应在与我局签订《国有建设用地使用权出让合同》之日起5个工作日内，与泉州市住宅建设开发有限公司签订</w:t>
      </w:r>
      <w:r>
        <w:rPr>
          <w:rFonts w:hint="default" w:ascii="Times New Roman" w:hAnsi="Times New Roman" w:eastAsia="仿宋_GB2312" w:cs="Times New Roman"/>
          <w:color w:val="auto"/>
          <w:sz w:val="32"/>
          <w:szCs w:val="32"/>
          <w:lang w:eastAsia="zh-CN"/>
        </w:rPr>
        <w:t>相应</w:t>
      </w:r>
      <w:r>
        <w:rPr>
          <w:rFonts w:hint="default" w:ascii="Times New Roman" w:hAnsi="Times New Roman" w:eastAsia="仿宋_GB2312" w:cs="Times New Roman"/>
          <w:color w:val="auto"/>
          <w:sz w:val="32"/>
          <w:szCs w:val="32"/>
        </w:rPr>
        <w:t>地块定向定价商品房代购协议。</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地块建成后定向定价商品房面积由泉州市住宅建设开发有限公司全部代购，定向定价商品房代购价为6550元/平方米，商业用房不进行代购。</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14.丰2023-28号地块竞得人应在与我局签订《国有建设用地使用权出让合同》之日起5个工作日内，与泉州丰泽城建鑫丰投资有限公司签订该地块安置型商品房回购协议。安置型商品房、商业及地下停车位由泉州丰泽城建鑫丰投资有限公司全部回购，安置型商品房回购价为6500元/平方米，商业回购价为5500元/平方米，地下室停车位回购价为16万元/个（标准车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color w:val="000000"/>
          <w:sz w:val="32"/>
          <w:szCs w:val="32"/>
          <w:lang w:eastAsia="zh-CN"/>
        </w:rPr>
        <w:t>丰</w:t>
      </w:r>
      <w:r>
        <w:rPr>
          <w:rFonts w:hint="default" w:ascii="Times New Roman" w:hAnsi="Times New Roman" w:eastAsia="仿宋_GB2312" w:cs="Times New Roman"/>
          <w:color w:val="000000"/>
          <w:sz w:val="32"/>
          <w:szCs w:val="32"/>
          <w:lang w:val="en-US" w:eastAsia="zh-CN"/>
        </w:rPr>
        <w:t>2024-28号</w:t>
      </w:r>
      <w:r>
        <w:rPr>
          <w:rFonts w:hint="default" w:ascii="Times New Roman" w:hAnsi="Times New Roman" w:eastAsia="仿宋_GB2312" w:cs="Times New Roman"/>
          <w:color w:val="000000"/>
          <w:sz w:val="32"/>
          <w:szCs w:val="32"/>
        </w:rPr>
        <w:t>地块竞得人应在与我局签订《国有建设用地使用权出让合同》之日起5个工作日内，与</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签订</w:t>
      </w:r>
      <w:r>
        <w:rPr>
          <w:rFonts w:hint="default" w:ascii="Times New Roman" w:hAnsi="Times New Roman" w:eastAsia="仿宋_GB2312" w:cs="Times New Roman"/>
          <w:sz w:val="32"/>
          <w:szCs w:val="32"/>
          <w:lang w:eastAsia="zh-CN"/>
        </w:rPr>
        <w:t>该</w:t>
      </w:r>
      <w:r>
        <w:rPr>
          <w:rFonts w:hint="default" w:ascii="Times New Roman" w:hAnsi="Times New Roman" w:eastAsia="仿宋_GB2312" w:cs="Times New Roman"/>
          <w:sz w:val="32"/>
          <w:szCs w:val="32"/>
        </w:rPr>
        <w:t>地块</w:t>
      </w:r>
      <w:r>
        <w:rPr>
          <w:rFonts w:hint="default" w:ascii="Times New Roman" w:hAnsi="Times New Roman" w:eastAsia="仿宋_GB2312" w:cs="Times New Roman"/>
          <w:sz w:val="32"/>
          <w:szCs w:val="32"/>
          <w:lang w:eastAsia="zh-CN"/>
        </w:rPr>
        <w:t>定向定价</w:t>
      </w:r>
      <w:r>
        <w:rPr>
          <w:rFonts w:hint="default" w:ascii="Times New Roman" w:hAnsi="Times New Roman" w:eastAsia="仿宋_GB2312" w:cs="Times New Roman"/>
          <w:sz w:val="32"/>
          <w:szCs w:val="32"/>
        </w:rPr>
        <w:t>商品房</w:t>
      </w:r>
      <w:r>
        <w:rPr>
          <w:rFonts w:hint="default" w:ascii="Times New Roman" w:hAnsi="Times New Roman" w:eastAsia="仿宋_GB2312" w:cs="Times New Roman"/>
          <w:sz w:val="32"/>
          <w:szCs w:val="32"/>
          <w:lang w:eastAsia="zh-CN"/>
        </w:rPr>
        <w:t>代购</w:t>
      </w:r>
      <w:r>
        <w:rPr>
          <w:rFonts w:hint="default" w:ascii="Times New Roman" w:hAnsi="Times New Roman" w:eastAsia="仿宋_GB2312" w:cs="Times New Roman"/>
          <w:sz w:val="32"/>
          <w:szCs w:val="32"/>
        </w:rPr>
        <w:t>协议。定向定价商品房</w:t>
      </w:r>
      <w:r>
        <w:rPr>
          <w:rFonts w:hint="default" w:ascii="Times New Roman" w:hAnsi="Times New Roman" w:eastAsia="仿宋_GB2312" w:cs="Times New Roman"/>
          <w:sz w:val="32"/>
          <w:szCs w:val="32"/>
          <w:lang w:eastAsia="zh-CN"/>
        </w:rPr>
        <w:t>住宅、商业</w:t>
      </w:r>
      <w:r>
        <w:rPr>
          <w:rFonts w:hint="default" w:ascii="Times New Roman" w:hAnsi="Times New Roman" w:eastAsia="仿宋_GB2312" w:cs="Times New Roman"/>
          <w:sz w:val="32"/>
          <w:szCs w:val="32"/>
        </w:rPr>
        <w:t>由</w:t>
      </w:r>
      <w:r>
        <w:rPr>
          <w:rFonts w:hint="default" w:ascii="Times New Roman" w:hAnsi="Times New Roman" w:eastAsia="仿宋_GB2312" w:cs="Times New Roman"/>
          <w:color w:val="000000"/>
          <w:sz w:val="32"/>
          <w:szCs w:val="32"/>
          <w:lang w:eastAsia="zh-CN"/>
        </w:rPr>
        <w:t>泉州市东海投资管理有限公司</w:t>
      </w:r>
      <w:r>
        <w:rPr>
          <w:rFonts w:hint="default" w:ascii="Times New Roman" w:hAnsi="Times New Roman" w:eastAsia="仿宋_GB2312" w:cs="Times New Roman"/>
          <w:sz w:val="32"/>
          <w:szCs w:val="32"/>
        </w:rPr>
        <w:t>全部代购，定向定价商品房代购价为</w:t>
      </w:r>
      <w:r>
        <w:rPr>
          <w:rFonts w:hint="default" w:ascii="Times New Roman" w:hAnsi="Times New Roman" w:eastAsia="仿宋_GB2312" w:cs="Times New Roman"/>
          <w:sz w:val="32"/>
          <w:szCs w:val="32"/>
          <w:lang w:val="en-US" w:eastAsia="zh-CN"/>
        </w:rPr>
        <w:t>10447</w:t>
      </w:r>
      <w:r>
        <w:rPr>
          <w:rFonts w:hint="default" w:ascii="Times New Roman" w:hAnsi="Times New Roman" w:eastAsia="仿宋_GB2312" w:cs="Times New Roman"/>
          <w:sz w:val="32"/>
          <w:szCs w:val="32"/>
        </w:rPr>
        <w:t>元/平方米，</w:t>
      </w:r>
      <w:r>
        <w:rPr>
          <w:rFonts w:hint="default" w:ascii="Times New Roman" w:hAnsi="Times New Roman" w:eastAsia="仿宋_GB2312" w:cs="Times New Roman"/>
          <w:sz w:val="32"/>
          <w:szCs w:val="32"/>
          <w:lang w:eastAsia="zh-CN"/>
        </w:rPr>
        <w:t>商业代购价为</w:t>
      </w:r>
      <w:r>
        <w:rPr>
          <w:rFonts w:hint="default" w:ascii="Times New Roman" w:hAnsi="Times New Roman" w:eastAsia="仿宋_GB2312" w:cs="Times New Roman"/>
          <w:sz w:val="32"/>
          <w:szCs w:val="32"/>
          <w:lang w:val="en-US" w:eastAsia="zh-CN"/>
        </w:rPr>
        <w:t>8000</w:t>
      </w:r>
      <w:r>
        <w:rPr>
          <w:rFonts w:hint="default" w:ascii="Times New Roman" w:hAnsi="Times New Roman" w:eastAsia="仿宋_GB2312" w:cs="Times New Roman"/>
          <w:sz w:val="32"/>
          <w:szCs w:val="32"/>
        </w:rPr>
        <w:t>元/平方</w:t>
      </w:r>
      <w:r>
        <w:rPr>
          <w:rFonts w:hint="default" w:ascii="Times New Roman" w:hAnsi="Times New Roman" w:eastAsia="仿宋_GB2312" w:cs="Times New Roman"/>
          <w:color w:val="000000"/>
          <w:sz w:val="32"/>
          <w:szCs w:val="32"/>
          <w:lang w:eastAsia="zh-CN"/>
        </w:rPr>
        <w:t>米，地下室停车位代购价为16万元/个（标准车位），车位需先预留不少于100个非人防标准车位供泉州市东海投资管理有限公司代购（根据实际需求结算代购个数）。</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sz w:val="32"/>
          <w:szCs w:val="32"/>
        </w:rPr>
        <w:t>洛2023-5号地块竞得人应在与我局签订《国有建设用地使用权出让合同》之日起5个工作日内，与泉州市洛江双阳华侨经济开发区开发建设有限公司签订该地块定向定价商品房代购协议。洛2023-5号地块需代购部分商品房作为新阳片区（一期）征迁定向定价商品房房源，由洛江区区属国企万投集团名下权属公司泉州市洛江双阳华侨经济开发区开发建设有限公司作为代购主体，拟代购定向定价商品房住宅面积约55689平方米，地下室车位约350个；住宅代购单价为每平方米6409元，地下室标准车位代购单价为每位64090元。</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eastAsia="zh-CN"/>
        </w:rPr>
        <w:t>丰</w:t>
      </w:r>
      <w:r>
        <w:rPr>
          <w:rFonts w:hint="default" w:ascii="Times New Roman" w:hAnsi="Times New Roman" w:eastAsia="仿宋_GB2312" w:cs="Times New Roman"/>
          <w:color w:val="auto"/>
          <w:sz w:val="32"/>
          <w:szCs w:val="32"/>
          <w:lang w:val="en-US" w:eastAsia="zh-CN"/>
        </w:rPr>
        <w:t>2023-24号地块相邻西侧规划建设有泉州第五中学海丝校区，东北侧规划建设有泉州市实验小学东海分校。关于学区划分事宜，需待当年度片区摸底生源数，并结合新建学校投用情况后确定，具体以当年度的招生政策为准。</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val="en-US" w:eastAsia="zh-CN"/>
        </w:rPr>
      </w:pPr>
      <w:r>
        <w:rPr>
          <w:rFonts w:hint="eastAsia" w:ascii="Times New Roman" w:cs="Times New Roman"/>
          <w:color w:val="auto"/>
          <w:szCs w:val="32"/>
          <w:lang w:val="en-US" w:eastAsia="zh-CN"/>
        </w:rPr>
        <w:t>18.</w:t>
      </w:r>
      <w:r>
        <w:rPr>
          <w:rFonts w:hint="default" w:ascii="Times New Roman" w:hAnsi="Times New Roman" w:eastAsia="仿宋_GB2312" w:cs="Times New Roman"/>
          <w:color w:val="auto"/>
          <w:szCs w:val="32"/>
        </w:rPr>
        <w:t>洛2023-5号</w:t>
      </w:r>
      <w:r>
        <w:rPr>
          <w:rFonts w:hint="default" w:ascii="Times New Roman" w:hAnsi="Times New Roman" w:eastAsia="仿宋_GB2312" w:cs="Times New Roman"/>
          <w:color w:val="auto"/>
        </w:rPr>
        <w:t>地块南侧为泉州市洛江区第二实验幼儿园、泉州市洛江区第五实验小学，周边1000米范围有双阳中学，北侧还规划有一所公办完全中学（洛江区中部功能区中学）。该地块的学区划分在当前洛江区招生政策未改变的情况下为属地“三一致”原则，具体方案需待当年度片区摸底生源数，并结合新建学校投用情况后确定，以当年度洛江区的小学和初中招生政策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bidi="ar"/>
        </w:rPr>
      </w:pPr>
      <w:r>
        <w:rPr>
          <w:rFonts w:hint="eastAsia" w:ascii="Times New Roman" w:cs="Times New Roman"/>
          <w:lang w:val="en-US" w:eastAsia="zh-CN"/>
        </w:rPr>
        <w:t>19</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kern w:val="0"/>
          <w:sz w:val="32"/>
          <w:szCs w:val="32"/>
          <w:lang w:bidi="ar"/>
        </w:rPr>
        <w:t>鲤</w:t>
      </w:r>
      <w:r>
        <w:rPr>
          <w:rFonts w:hint="default" w:ascii="Times New Roman" w:hAnsi="Times New Roman" w:eastAsia="仿宋_GB2312" w:cs="Times New Roman"/>
          <w:sz w:val="32"/>
          <w:szCs w:val="32"/>
        </w:rPr>
        <w:t>2024-7号</w:t>
      </w:r>
      <w:r>
        <w:rPr>
          <w:rFonts w:hint="default" w:ascii="Times New Roman" w:hAnsi="Times New Roman" w:eastAsia="仿宋_GB2312" w:cs="Times New Roman"/>
          <w:color w:val="000000"/>
          <w:kern w:val="0"/>
          <w:sz w:val="32"/>
          <w:szCs w:val="32"/>
          <w:lang w:bidi="ar"/>
        </w:rPr>
        <w:t>地块商业配套设施计容建筑面积4100平方米</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其中3100平方米计容建筑面积应整体经营，不可分割销售，不可分割转让</w:t>
      </w:r>
      <w:r>
        <w:rPr>
          <w:rFonts w:hint="default" w:ascii="Times New Roman" w:hAnsi="Times New Roman" w:eastAsia="仿宋_GB2312" w:cs="Times New Roman"/>
          <w:color w:val="000000"/>
          <w:kern w:val="0"/>
          <w:sz w:val="32"/>
          <w:szCs w:val="32"/>
          <w:lang w:eastAsia="zh-CN" w:bidi="ar"/>
        </w:rPr>
        <w:t>；</w:t>
      </w:r>
      <w:r>
        <w:rPr>
          <w:rFonts w:hint="default" w:ascii="Times New Roman" w:hAnsi="Times New Roman" w:eastAsia="仿宋_GB2312" w:cs="Times New Roman"/>
          <w:color w:val="000000"/>
          <w:kern w:val="0"/>
          <w:sz w:val="32"/>
          <w:szCs w:val="32"/>
          <w:lang w:bidi="ar"/>
        </w:rPr>
        <w:t>1000平方米计容建筑面积可分割销售。</w:t>
      </w:r>
      <w:r>
        <w:rPr>
          <w:rFonts w:hint="default" w:ascii="Times New Roman" w:hAnsi="Times New Roman" w:eastAsia="仿宋_GB2312" w:cs="Times New Roman"/>
          <w:color w:val="000000"/>
          <w:sz w:val="32"/>
          <w:szCs w:val="32"/>
          <w:lang w:val="en-US" w:eastAsia="zh-CN"/>
        </w:rPr>
        <w:t>丰2024-28号地块商业建筑为可分割且最小分割面积不小于300平方米。</w:t>
      </w:r>
      <w:r>
        <w:rPr>
          <w:rFonts w:hint="default" w:ascii="Times New Roman" w:hAnsi="Times New Roman" w:eastAsia="仿宋_GB2312" w:cs="Times New Roman"/>
          <w:szCs w:val="32"/>
        </w:rPr>
        <w:t>洛2023-5号地块商业</w:t>
      </w:r>
      <w:r>
        <w:rPr>
          <w:rFonts w:hint="default" w:ascii="Times New Roman" w:hAnsi="Times New Roman" w:eastAsia="仿宋_GB2312" w:cs="Times New Roman"/>
          <w:szCs w:val="32"/>
          <w:lang w:eastAsia="zh-CN"/>
        </w:rPr>
        <w:t>建筑</w:t>
      </w:r>
      <w:r>
        <w:rPr>
          <w:rFonts w:hint="default" w:ascii="Times New Roman" w:hAnsi="Times New Roman" w:eastAsia="仿宋_GB2312" w:cs="Times New Roman"/>
          <w:szCs w:val="32"/>
        </w:rPr>
        <w:t>为可分割销售、可分割转让，且最小分割面积不小于300平方米。</w:t>
      </w:r>
      <w:r>
        <w:rPr>
          <w:rFonts w:hint="default" w:ascii="Times New Roman" w:hAnsi="Times New Roman" w:eastAsia="仿宋_GB2312" w:cs="Times New Roman"/>
          <w:color w:val="000000"/>
          <w:kern w:val="0"/>
          <w:sz w:val="32"/>
          <w:szCs w:val="32"/>
          <w:lang w:bidi="ar"/>
        </w:rPr>
        <w:t>鲤</w:t>
      </w:r>
      <w:r>
        <w:rPr>
          <w:rFonts w:hint="default" w:ascii="Times New Roman" w:hAnsi="Times New Roman" w:eastAsia="仿宋_GB2312" w:cs="Times New Roman"/>
          <w:sz w:val="32"/>
          <w:szCs w:val="32"/>
        </w:rPr>
        <w:t>2024-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lang w:val="en-US" w:eastAsia="zh-CN"/>
        </w:rPr>
        <w:t>2024-10号、鲤2024-11号、丰2023-28号</w:t>
      </w:r>
      <w:r>
        <w:rPr>
          <w:rFonts w:hint="default" w:ascii="Times New Roman" w:hAnsi="Times New Roman" w:eastAsia="仿宋_GB2312" w:cs="Times New Roman"/>
          <w:color w:val="000000"/>
          <w:kern w:val="0"/>
          <w:sz w:val="32"/>
          <w:szCs w:val="32"/>
          <w:lang w:bidi="ar"/>
        </w:rPr>
        <w:t>地块商业建筑应整体经营，不可分割销售，不可分割转让。</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cs="Times New Roman"/>
          <w:color w:val="000000"/>
          <w:kern w:val="0"/>
          <w:sz w:val="32"/>
          <w:szCs w:val="32"/>
          <w:lang w:val="en-US" w:eastAsia="zh-CN" w:bidi="ar"/>
        </w:rPr>
        <w:t>20</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auto"/>
          <w:sz w:val="32"/>
          <w:szCs w:val="32"/>
          <w:lang w:val="en-US" w:eastAsia="zh-CN"/>
        </w:rPr>
        <w:t>丰2023-24号地块在办理商品房预售许可（现售备案）时，优先安排10%的房源套数作为高层次人才房源，10%的房源套数作为中央活力区政策配套房源。</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lang w:val="en-US" w:eastAsia="zh-CN"/>
        </w:rPr>
      </w:pPr>
      <w:r>
        <w:rPr>
          <w:rFonts w:hint="eastAsia" w:ascii="Times New Roman" w:cs="Times New Roman"/>
          <w:sz w:val="32"/>
          <w:szCs w:val="32"/>
          <w:lang w:val="en-US" w:eastAsia="zh-CN"/>
        </w:rPr>
        <w:t>21</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洛2023-5号地块内应预留用地面积不少于1340平方米作为双阳街道新阳社区民俗用房用地（相关建筑面积不计入容积率），由新阳社区自行建设。</w:t>
      </w:r>
    </w:p>
    <w:p>
      <w:pPr>
        <w:keepNext w:val="0"/>
        <w:keepLines w:val="0"/>
        <w:pageBreakBefore w:val="0"/>
        <w:kinsoku/>
        <w:wordWrap/>
        <w:overflowPunct/>
        <w:topLinePunct w:val="0"/>
        <w:autoSpaceDE/>
        <w:autoSpaceDN/>
        <w:bidi w:val="0"/>
        <w:adjustRightInd/>
        <w:snapToGrid/>
        <w:spacing w:line="560" w:lineRule="exact"/>
        <w:ind w:firstLine="636" w:firstLineChars="199"/>
        <w:textAlignment w:val="auto"/>
        <w:rPr>
          <w:rFonts w:hint="default" w:ascii="Times New Roman" w:hAnsi="Times New Roman" w:eastAsia="仿宋_GB2312" w:cs="Times New Roman"/>
          <w:sz w:val="32"/>
          <w:szCs w:val="32"/>
        </w:rPr>
      </w:pPr>
      <w:r>
        <w:rPr>
          <w:rFonts w:hint="eastAsia" w:ascii="Times New Roman" w:cs="Times New Roman"/>
          <w:lang w:val="en-US" w:eastAsia="zh-CN"/>
        </w:rPr>
        <w:t>22</w:t>
      </w:r>
      <w:r>
        <w:rPr>
          <w:rFonts w:hint="default" w:ascii="Times New Roman" w:hAnsi="Times New Roman" w:eastAsia="仿宋_GB2312" w:cs="Times New Roman"/>
          <w:color w:val="000000"/>
          <w:sz w:val="32"/>
          <w:szCs w:val="32"/>
          <w:lang w:val="en-US" w:eastAsia="zh-CN"/>
        </w:rPr>
        <w:t>.丰2023-24号、</w:t>
      </w:r>
      <w:r>
        <w:rPr>
          <w:rFonts w:hint="default" w:ascii="Times New Roman" w:hAnsi="Times New Roman" w:eastAsia="仿宋_GB2312" w:cs="Times New Roman"/>
          <w:sz w:val="32"/>
          <w:szCs w:val="32"/>
        </w:rPr>
        <w:t>洛2023-5号地块商品住宅部分不设最高销售限价，由企业根据市场情况自主定价，销售价格接受主管部门指导、监督。</w:t>
      </w:r>
    </w:p>
    <w:p>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pacing w:val="6"/>
          <w:szCs w:val="32"/>
        </w:rPr>
      </w:pPr>
      <w:r>
        <w:rPr>
          <w:rFonts w:hint="eastAsia" w:ascii="Times New Roman" w:cs="Times New Roman"/>
          <w:szCs w:val="32"/>
          <w:lang w:val="en-US" w:eastAsia="zh-CN"/>
        </w:rPr>
        <w:t>23</w:t>
      </w:r>
      <w:r>
        <w:rPr>
          <w:rFonts w:hint="default" w:ascii="Times New Roman" w:hAnsi="Times New Roman" w:eastAsia="仿宋_GB2312" w:cs="Times New Roman"/>
          <w:color w:val="000000"/>
          <w:sz w:val="32"/>
          <w:szCs w:val="32"/>
          <w:lang w:val="en-US" w:eastAsia="zh-CN"/>
        </w:rPr>
        <w:t>.丰2023-24号、</w:t>
      </w:r>
      <w:r>
        <w:rPr>
          <w:rFonts w:hint="default" w:ascii="Times New Roman" w:hAnsi="Times New Roman" w:eastAsia="仿宋_GB2312" w:cs="Times New Roman"/>
          <w:szCs w:val="32"/>
        </w:rPr>
        <w:t>洛2023-5号地块的可销售房源应全部按程序办理预（现）售手续并向社会公开销售。严禁采取“以房抵债”、</w:t>
      </w:r>
      <w:r>
        <w:rPr>
          <w:rFonts w:hint="default" w:ascii="Times New Roman" w:hAnsi="Times New Roman" w:eastAsia="仿宋_GB2312" w:cs="Times New Roman"/>
          <w:spacing w:val="6"/>
          <w:szCs w:val="32"/>
        </w:rPr>
        <w:t>股东或特定全体垄断房源、办理自有产权等方式逃避公开销售，否则住建部门不予办理合同网签备案，产权登记部门不予办理产权。</w:t>
      </w:r>
    </w:p>
    <w:p>
      <w:pPr>
        <w:keepNext w:val="0"/>
        <w:keepLines w:val="0"/>
        <w:pageBreakBefore w:val="0"/>
        <w:kinsoku/>
        <w:wordWrap/>
        <w:overflowPunct/>
        <w:topLinePunct w:val="0"/>
        <w:autoSpaceDE/>
        <w:autoSpaceDN/>
        <w:bidi w:val="0"/>
        <w:adjustRightInd/>
        <w:snapToGrid/>
        <w:spacing w:line="560" w:lineRule="exact"/>
        <w:ind w:firstLine="660" w:firstLineChars="199"/>
        <w:textAlignment w:val="auto"/>
        <w:rPr>
          <w:rFonts w:hint="default" w:ascii="Times New Roman" w:hAnsi="Times New Roman" w:eastAsia="仿宋_GB2312" w:cs="Times New Roman"/>
          <w:sz w:val="32"/>
          <w:szCs w:val="32"/>
        </w:rPr>
      </w:pPr>
      <w:r>
        <w:rPr>
          <w:rFonts w:hint="eastAsia" w:ascii="Times New Roman" w:cs="Times New Roman"/>
          <w:spacing w:val="6"/>
          <w:szCs w:val="32"/>
          <w:lang w:val="en-US" w:eastAsia="zh-CN"/>
        </w:rPr>
        <w:t>24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、鲤</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号地块由非泉州市</w:t>
      </w:r>
      <w:r>
        <w:rPr>
          <w:rFonts w:hint="default" w:ascii="Times New Roman" w:hAnsi="Times New Roman" w:eastAsia="仿宋_GB2312" w:cs="Times New Roman"/>
          <w:sz w:val="32"/>
          <w:szCs w:val="32"/>
          <w:lang w:eastAsia="zh-CN"/>
        </w:rPr>
        <w:t>鲤城</w:t>
      </w:r>
      <w:r>
        <w:rPr>
          <w:rFonts w:hint="default" w:ascii="Times New Roman" w:hAnsi="Times New Roman" w:eastAsia="仿宋_GB2312" w:cs="Times New Roman"/>
          <w:sz w:val="32"/>
          <w:szCs w:val="32"/>
        </w:rPr>
        <w:t>区的法人竞得的，须在泉州市</w:t>
      </w:r>
      <w:r>
        <w:rPr>
          <w:rFonts w:hint="default" w:ascii="Times New Roman" w:hAnsi="Times New Roman" w:eastAsia="仿宋_GB2312" w:cs="Times New Roman"/>
          <w:sz w:val="32"/>
          <w:szCs w:val="32"/>
          <w:lang w:eastAsia="zh-CN"/>
        </w:rPr>
        <w:t>鲤城</w:t>
      </w:r>
      <w:r>
        <w:rPr>
          <w:rFonts w:hint="default" w:ascii="Times New Roman" w:hAnsi="Times New Roman" w:eastAsia="仿宋_GB2312" w:cs="Times New Roman"/>
          <w:sz w:val="32"/>
          <w:szCs w:val="32"/>
        </w:rPr>
        <w:t>区注册成立新公司，所有税收应在当地缴纳。</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、丰</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号地块由非泉州市</w:t>
      </w:r>
      <w:r>
        <w:rPr>
          <w:rFonts w:hint="default" w:ascii="Times New Roman" w:hAnsi="Times New Roman" w:eastAsia="仿宋_GB2312" w:cs="Times New Roman"/>
          <w:sz w:val="32"/>
          <w:szCs w:val="32"/>
          <w:lang w:eastAsia="zh-CN"/>
        </w:rPr>
        <w:t>丰泽</w:t>
      </w:r>
      <w:r>
        <w:rPr>
          <w:rFonts w:hint="default" w:ascii="Times New Roman" w:hAnsi="Times New Roman" w:eastAsia="仿宋_GB2312" w:cs="Times New Roman"/>
          <w:sz w:val="32"/>
          <w:szCs w:val="32"/>
        </w:rPr>
        <w:t>区的法人竞得的，须在泉州市</w:t>
      </w:r>
      <w:r>
        <w:rPr>
          <w:rFonts w:hint="default" w:ascii="Times New Roman" w:hAnsi="Times New Roman" w:eastAsia="仿宋_GB2312" w:cs="Times New Roman"/>
          <w:sz w:val="32"/>
          <w:szCs w:val="32"/>
          <w:lang w:eastAsia="zh-CN"/>
        </w:rPr>
        <w:t>丰泽</w:t>
      </w:r>
      <w:r>
        <w:rPr>
          <w:rFonts w:hint="default" w:ascii="Times New Roman" w:hAnsi="Times New Roman" w:eastAsia="仿宋_GB2312" w:cs="Times New Roman"/>
          <w:sz w:val="32"/>
          <w:szCs w:val="32"/>
        </w:rPr>
        <w:t>区注册成立新公司，所有税收应在当地缴纳。洛2023-5号地块由非泉州市洛江区的法人竞得的，须在泉州市洛江区注册成立新公司，所有税收应在当地缴纳。</w:t>
      </w:r>
    </w:p>
    <w:p>
      <w:pPr>
        <w:keepNext w:val="0"/>
        <w:keepLines w:val="0"/>
        <w:pageBreakBefore w:val="0"/>
        <w:kinsoku/>
        <w:wordWrap/>
        <w:overflowPunct/>
        <w:topLinePunct w:val="0"/>
        <w:autoSpaceDE/>
        <w:autoSpaceDN/>
        <w:bidi w:val="0"/>
        <w:adjustRightInd/>
        <w:snapToGrid/>
        <w:spacing w:line="560" w:lineRule="exact"/>
        <w:ind w:firstLine="660" w:firstLineChars="199"/>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lang w:val="en-US" w:eastAsia="zh-CN"/>
        </w:rPr>
        <w:t>2</w:t>
      </w:r>
      <w:r>
        <w:rPr>
          <w:rFonts w:hint="eastAsia" w:ascii="Times New Roman" w:cs="Times New Roman"/>
          <w:spacing w:val="6"/>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eastAsia="zh-CN"/>
        </w:rPr>
        <w:t>上述</w:t>
      </w:r>
      <w:r>
        <w:rPr>
          <w:rFonts w:hint="default" w:ascii="Times New Roman" w:hAnsi="Times New Roman" w:eastAsia="仿宋_GB2312" w:cs="Times New Roman"/>
          <w:sz w:val="32"/>
          <w:szCs w:val="32"/>
        </w:rPr>
        <w:t>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按照《泉州市人民政府办公室关于印发泉州市2023年促进房地产市场平稳健康发展工作方案的通知》（泉政办〔2023〕11号）要求，上述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充电桩车位配建比例不低于50%。按照《泉州市住房和城乡建设局等4部门关于规范住宅小区电动汽车充电设施建设管理的通知》（泉建规〔2023〕3号）要求，严格落实新建住宅小区固定车位100%建设充电设施或预留安装条件，预留安装条件时需将管线（含低压电缆、电缆分支箱、计量表箱）和桥架等供电设施建设到车位，以满足直接装表接电需求。根据《泉州市人民政府办公室关于印发泉州市电动自行车安全隐患全链条整治行动实施方案的通知》（泉政办〔2024〕17号）要求，严格新建居住项目规划审批管理，将电动自行车停放充电设施纳入项目配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按照《泉州市住房和城乡建设局等三部门关于加快推动新型建筑工业化发展的通知》（泉建规〔2022〕3号）要求，上述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地块的装配式建筑应占新建建筑面积40%以上。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8</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按照《泉州市人民政府关于印发泉州市促进房地产市场持续健康稳定发展若干意见（2018—2025年）的通知》（泉政文〔2018〕87号）要求，上述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地块的建筑单体质量要求达到泉州市优质工程及以上。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eastAsia" w:ascii="Times New Roman" w:cs="Times New Roman"/>
          <w:sz w:val="32"/>
          <w:szCs w:val="32"/>
          <w:lang w:val="en-US" w:eastAsia="zh-CN"/>
        </w:rPr>
        <w:t>9</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rPr>
        <w:t>按照《泉州市人民政府办公室转发泉州市住房和城乡建设局 泉州市自然资源和规划局关于加强新建商品住宅及商办类建筑建设管理的通知》（泉政办明传〔2021〕75号）要求，上述</w:t>
      </w:r>
      <w:r>
        <w:rPr>
          <w:rFonts w:hint="eastAsia" w:ascii="Times New Roman" w:cs="Times New Roman"/>
          <w:sz w:val="32"/>
          <w:szCs w:val="32"/>
          <w:lang w:eastAsia="zh-CN"/>
        </w:rPr>
        <w:t>住宅</w:t>
      </w:r>
      <w:r>
        <w:rPr>
          <w:rFonts w:hint="default" w:ascii="Times New Roman" w:hAnsi="Times New Roman" w:eastAsia="仿宋_GB2312" w:cs="Times New Roman"/>
          <w:sz w:val="32"/>
          <w:szCs w:val="32"/>
        </w:rPr>
        <w:t>地块开发建设应符合《新建商品住宅建设品质提升事项》。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rPr>
      </w:pPr>
      <w:r>
        <w:rPr>
          <w:rFonts w:hint="eastAsia" w:ascii="Times New Roman" w:cs="Times New Roman"/>
          <w:sz w:val="32"/>
          <w:szCs w:val="32"/>
          <w:lang w:val="en-US" w:eastAsia="zh-CN"/>
        </w:rPr>
        <w:t>30.</w:t>
      </w:r>
      <w:r>
        <w:rPr>
          <w:rFonts w:hint="eastAsia" w:ascii="Times New Roman" w:hAnsi="Times New Roman" w:eastAsia="仿宋_GB2312" w:cs="Times New Roman"/>
          <w:sz w:val="32"/>
          <w:szCs w:val="32"/>
        </w:rPr>
        <w:t>丰2025-2号地块商务金融建筑应整体经营，不可分割销售、不可分割转让。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eastAsia="仿宋_GB2312"/>
          <w:lang w:val="en-US" w:eastAsia="zh-CN"/>
        </w:rPr>
      </w:pPr>
      <w:r>
        <w:rPr>
          <w:rFonts w:hint="eastAsia" w:ascii="Times New Roman" w:hAnsi="Times New Roman" w:eastAsia="仿宋_GB2312" w:cs="Times New Roman"/>
          <w:sz w:val="32"/>
          <w:szCs w:val="32"/>
          <w:lang w:val="en-US" w:eastAsia="zh-CN"/>
        </w:rPr>
        <w:t>3</w:t>
      </w:r>
      <w:r>
        <w:rPr>
          <w:rFonts w:hint="eastAsia" w:ascii="Times New Roman"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丰2025-2号地块竞得人应在与我局签订《国有建设用地使用权出让合同》之日起5个工作日内，与泉州市丰泽区人民政府签订地块纳税监管协议。（</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w:t>
      </w:r>
      <w:r>
        <w:rPr>
          <w:rFonts w:hint="eastAsia" w:ascii="Times New Roman" w:cs="Times New Roman"/>
          <w:sz w:val="32"/>
          <w:szCs w:val="32"/>
          <w:lang w:eastAsia="zh-CN"/>
        </w:rPr>
        <w:t>竞得人</w:t>
      </w:r>
      <w:r>
        <w:rPr>
          <w:rFonts w:hint="eastAsia" w:ascii="Times New Roman" w:hAnsi="Times New Roman" w:eastAsia="仿宋_GB2312" w:cs="Times New Roman"/>
          <w:sz w:val="32"/>
          <w:szCs w:val="32"/>
        </w:rPr>
        <w:t>如非注册在丰泽区的法人，须在丰泽区注册成立新公司，并由在丰泽区注册成立的公司履行下款税收要求。（</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cs="Times New Roman"/>
          <w:sz w:val="32"/>
          <w:szCs w:val="32"/>
          <w:lang w:eastAsia="zh-CN"/>
        </w:rPr>
        <w:t>竞得人</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竞</w:t>
      </w:r>
      <w:r>
        <w:rPr>
          <w:rFonts w:hint="eastAsia" w:ascii="Times New Roman" w:hAnsi="Times New Roman" w:eastAsia="仿宋_GB2312" w:cs="Times New Roman"/>
          <w:sz w:val="32"/>
          <w:szCs w:val="32"/>
        </w:rPr>
        <w:t>得丰2025-2号地块的三个年度内，在丰泽区纳税总额不低于9000万元，其中竞得的当年度在丰泽区纳税总额不低于3500万元，竞得后的第二年在丰泽区纳税总额不低于2750万元，竞得后的第三年在丰泽区纳税总额不低于2750万元</w:t>
      </w:r>
      <w:r>
        <w:rPr>
          <w:rFonts w:hint="eastAsia" w:ascii="Times New Roman" w:hAnsi="Times New Roman" w:eastAsia="仿宋_GB2312" w:cs="Times New Roman"/>
          <w:sz w:val="32"/>
          <w:szCs w:val="32"/>
          <w:lang w:eastAsia="zh-CN"/>
        </w:rPr>
        <w:t>。</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bookmarkStart w:id="0"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w:t>
      </w:r>
      <w:r>
        <w:rPr>
          <w:rFonts w:hint="eastAsia" w:ascii="Times New Roman" w:eastAsia="仿宋"/>
          <w:color w:val="auto"/>
          <w:szCs w:val="32"/>
        </w:rPr>
        <w:t>和自然人</w:t>
      </w:r>
      <w:r>
        <w:rPr>
          <w:rFonts w:ascii="Times New Roman" w:eastAsia="仿宋"/>
          <w:color w:val="auto"/>
          <w:szCs w:val="32"/>
        </w:rPr>
        <w:t>、全国法院失信被执行人（包括法人或其他组织）以及法律法规另有规定外，均可申请参加竞买。</w:t>
      </w:r>
      <w:bookmarkEnd w:id="0"/>
      <w:r>
        <w:rPr>
          <w:rFonts w:ascii="Times New Roman" w:eastAsia="仿宋"/>
          <w:color w:val="auto"/>
          <w:szCs w:val="32"/>
        </w:rPr>
        <w:t>竞买申请人应当单独申请。</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鲤2024-7号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贰亿捌仟伍佰万元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¥285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鲤2024-9号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玖仟柒佰伍拾万元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¥97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鲤2024-10号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壹亿贰仟叁佰万元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鲤2024-11号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叁仟叁佰万元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丰2023-24号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叁亿肆仟伍佰万元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¥345</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丰2023-28号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壹仟捌佰贰拾伍万元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丰2024-28号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壹亿陆仟柒佰万元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¥167</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洛2023-5号</w:t>
      </w:r>
      <w:r>
        <w:rPr>
          <w:rFonts w:hint="default" w:ascii="Times New Roman" w:hAnsi="Times New Roman" w:eastAsia="仿宋_GB2312" w:cs="Times New Roman"/>
          <w:sz w:val="32"/>
          <w:szCs w:val="32"/>
          <w:lang w:val="en-US" w:eastAsia="zh-CN"/>
        </w:rPr>
        <w:t>地块的竞买保证金为人民币（大写）</w:t>
      </w:r>
      <w:r>
        <w:rPr>
          <w:rFonts w:hint="eastAsia" w:ascii="Times New Roman" w:hAnsi="Times New Roman" w:eastAsia="仿宋_GB2312" w:cs="Times New Roman"/>
          <w:sz w:val="32"/>
          <w:szCs w:val="32"/>
          <w:lang w:val="en-US" w:eastAsia="zh-CN"/>
        </w:rPr>
        <w:t>壹亿叁仟肆佰伍拾万元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¥134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丰2025-2号地块</w:t>
      </w:r>
      <w:r>
        <w:rPr>
          <w:rFonts w:hint="default" w:ascii="Times New Roman" w:hAnsi="Times New Roman" w:eastAsia="仿宋_GB2312" w:cs="Times New Roman"/>
          <w:sz w:val="32"/>
          <w:szCs w:val="32"/>
          <w:lang w:val="en-US" w:eastAsia="zh-CN"/>
        </w:rPr>
        <w:t>的竞买保证金为人民币（大写）</w:t>
      </w:r>
      <w:r>
        <w:rPr>
          <w:rFonts w:hint="eastAsia" w:ascii="Times New Roman" w:hAnsi="Times New Roman" w:eastAsia="仿宋_GB2312" w:cs="Times New Roman"/>
          <w:sz w:val="32"/>
          <w:szCs w:val="32"/>
          <w:lang w:val="en-US" w:eastAsia="zh-CN"/>
        </w:rPr>
        <w:t>叁仟壹佰伍拾万元</w:t>
      </w:r>
      <w:r>
        <w:rPr>
          <w:rFonts w:hint="default" w:ascii="Times New Roman" w:hAnsi="Times New Roman" w:eastAsia="仿宋_GB2312" w:cs="Times New Roman"/>
          <w:sz w:val="32"/>
          <w:szCs w:val="32"/>
          <w:lang w:val="en-US" w:eastAsia="zh-CN"/>
        </w:rPr>
        <w:t>整（</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00,000.00）</w:t>
      </w:r>
      <w:r>
        <w:rPr>
          <w:rFonts w:hint="eastAsia" w:ascii="Times New Roman" w:hAnsi="Times New Roman" w:eastAsia="仿宋_GB2312" w:cs="Times New Roman"/>
          <w:sz w:val="32"/>
          <w:szCs w:val="32"/>
          <w:lang w:val="en-US" w:eastAsia="zh-CN"/>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11</w:t>
      </w:r>
      <w:r>
        <w:rPr>
          <w:rFonts w:ascii="Times New Roman" w:eastAsia="仿宋"/>
          <w:color w:val="auto"/>
          <w:szCs w:val="32"/>
        </w:rPr>
        <w:t>日至202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hint="eastAsia" w:ascii="Times New Roman" w:eastAsia="仿宋"/>
          <w:color w:val="auto"/>
          <w:szCs w:val="32"/>
          <w:lang w:eastAsia="zh-CN"/>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w:t>
      </w:r>
      <w:r>
        <w:rPr>
          <w:rFonts w:hint="eastAsia" w:ascii="Times New Roman" w:eastAsia="仿宋"/>
          <w:color w:val="auto"/>
          <w:szCs w:val="32"/>
          <w:lang w:eastAsia="zh-CN"/>
        </w:rPr>
        <w:t>（</w:t>
      </w:r>
      <w:r>
        <w:rPr>
          <w:rFonts w:ascii="Times New Roman" w:eastAsia="仿宋"/>
          <w:color w:val="auto"/>
          <w:szCs w:val="32"/>
        </w:rPr>
        <w:t>泉自然资告字〔202</w:t>
      </w:r>
      <w:r>
        <w:rPr>
          <w:rFonts w:hint="eastAsia" w:ascii="Times New Roman" w:eastAsia="仿宋"/>
          <w:color w:val="auto"/>
          <w:szCs w:val="32"/>
          <w:lang w:val="en-US" w:eastAsia="zh-CN"/>
        </w:rPr>
        <w:t>5</w:t>
      </w:r>
      <w:r>
        <w:rPr>
          <w:rFonts w:ascii="Times New Roman" w:eastAsia="仿宋"/>
          <w:color w:val="auto"/>
          <w:szCs w:val="32"/>
        </w:rPr>
        <w:t>〕</w:t>
      </w:r>
      <w:r>
        <w:rPr>
          <w:rFonts w:hint="eastAsia" w:ascii="Times New Roman" w:eastAsia="仿宋"/>
          <w:color w:val="auto"/>
          <w:szCs w:val="32"/>
          <w:lang w:val="en-US" w:eastAsia="zh-CN"/>
        </w:rPr>
        <w:t>2</w:t>
      </w:r>
      <w:r>
        <w:rPr>
          <w:rFonts w:ascii="Times New Roman" w:eastAsia="仿宋"/>
          <w:color w:val="auto"/>
          <w:szCs w:val="32"/>
        </w:rPr>
        <w:t>号</w:t>
      </w:r>
      <w:r>
        <w:rPr>
          <w:rFonts w:hint="eastAsia" w:ascii="Times New Roman" w:eastAsia="仿宋"/>
          <w:color w:val="auto"/>
          <w:szCs w:val="32"/>
          <w:lang w:eastAsia="zh-CN"/>
        </w:rPr>
        <w:t>）</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12.《竞买保证金/成交价款来源情况申报表》</w:t>
      </w:r>
    </w:p>
    <w:p>
      <w:pPr>
        <w:spacing w:line="620" w:lineRule="exact"/>
        <w:ind w:firstLine="640" w:firstLineChars="200"/>
        <w:jc w:val="left"/>
        <w:rPr>
          <w:rFonts w:hint="default" w:ascii="Times New Roman" w:eastAsia="仿宋"/>
          <w:bCs/>
          <w:color w:val="auto"/>
          <w:szCs w:val="32"/>
          <w:lang w:val="en-US" w:eastAsia="zh-CN"/>
        </w:rPr>
      </w:pPr>
      <w:r>
        <w:rPr>
          <w:rFonts w:hint="eastAsia" w:ascii="Times New Roman" w:eastAsia="仿宋"/>
          <w:bCs/>
          <w:color w:val="auto"/>
          <w:szCs w:val="32"/>
          <w:lang w:val="en-US" w:eastAsia="zh-CN"/>
        </w:rPr>
        <w:t>13.各相关地块定向定价商品房代购协议、安置型商品房回购协议</w:t>
      </w:r>
    </w:p>
    <w:p>
      <w:pPr>
        <w:spacing w:line="620" w:lineRule="exact"/>
        <w:ind w:firstLine="640" w:firstLineChars="200"/>
        <w:jc w:val="left"/>
        <w:rPr>
          <w:color w:val="auto"/>
        </w:rPr>
      </w:pPr>
      <w:r>
        <w:rPr>
          <w:rFonts w:hint="eastAsia" w:ascii="Times New Roman" w:eastAsia="仿宋"/>
          <w:bCs/>
          <w:color w:val="auto"/>
          <w:szCs w:val="32"/>
          <w:lang w:val="en-US" w:eastAsia="zh-CN"/>
        </w:rPr>
        <w:t>14.《</w:t>
      </w:r>
      <w:r>
        <w:rPr>
          <w:rFonts w:hint="eastAsia" w:ascii="Times New Roman" w:hAnsi="Times New Roman" w:eastAsia="仿宋_GB2312" w:cs="Times New Roman"/>
          <w:color w:val="auto"/>
          <w:sz w:val="32"/>
          <w:szCs w:val="32"/>
        </w:rPr>
        <w:t>丰2025-2号地块纳税监管协议</w:t>
      </w:r>
      <w:r>
        <w:rPr>
          <w:rFonts w:hint="eastAsia" w:ascii="Times New Roman" w:eastAsia="仿宋"/>
          <w:bCs/>
          <w:color w:val="auto"/>
          <w:szCs w:val="32"/>
          <w:lang w:val="en-US" w:eastAsia="zh-CN"/>
        </w:rPr>
        <w:t>》</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（3）银行资信证明；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13</w:t>
      </w:r>
      <w:r>
        <w:rPr>
          <w:rFonts w:ascii="Times New Roman" w:eastAsia="仿宋"/>
          <w:color w:val="auto"/>
          <w:szCs w:val="32"/>
        </w:rPr>
        <w:t>日至202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14</w:t>
      </w:r>
      <w:r>
        <w:rPr>
          <w:rFonts w:ascii="Times New Roman" w:eastAsia="仿宋"/>
          <w:color w:val="auto"/>
          <w:szCs w:val="32"/>
        </w:rPr>
        <w:t>日组织竞买人对拟出让地块进行现场踏勘。需由我局派员陪同实地踏勘的，请提前与我局联系（联系电话：0595－22769</w:t>
      </w:r>
      <w:r>
        <w:rPr>
          <w:rFonts w:hint="eastAsia" w:ascii="Times New Roman" w:eastAsia="仿宋"/>
          <w:color w:val="auto"/>
          <w:szCs w:val="32"/>
        </w:rPr>
        <w:t>01</w:t>
      </w:r>
      <w:r>
        <w:rPr>
          <w:rFonts w:ascii="Times New Roman" w:eastAsia="仿宋"/>
          <w:color w:val="auto"/>
          <w:szCs w:val="32"/>
        </w:rPr>
        <w:t>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鲤</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7</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伍亿陆仟玖佰万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569</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贰</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lang w:val="en-US" w:eastAsia="zh-CN"/>
        </w:rPr>
        <w:t>2</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2</w:t>
      </w:r>
      <w:r>
        <w:rPr>
          <w:rFonts w:hint="eastAsia" w:ascii="Times New Roman" w:eastAsia="仿宋"/>
          <w:color w:val="auto"/>
          <w:szCs w:val="32"/>
        </w:rPr>
        <w:t>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鲤</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9</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壹亿玖仟伍佰万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195</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鲤</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10</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贰亿肆仟肆佰贰拾万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244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鲤</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11</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陆仟陆佰万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66</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丰2023-</w:t>
      </w:r>
      <w:r>
        <w:rPr>
          <w:rFonts w:hint="eastAsia" w:ascii="Times New Roman" w:eastAsia="仿宋"/>
          <w:color w:val="auto"/>
          <w:szCs w:val="32"/>
          <w:lang w:val="en-US" w:eastAsia="zh-CN"/>
        </w:rPr>
        <w:t>24</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陆亿玖仟万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690</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贰</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lang w:val="en-US" w:eastAsia="zh-CN"/>
        </w:rPr>
        <w:t>2</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2</w:t>
      </w:r>
      <w:r>
        <w:rPr>
          <w:rFonts w:hint="eastAsia" w:ascii="Times New Roman" w:eastAsia="仿宋"/>
          <w:color w:val="auto"/>
          <w:szCs w:val="32"/>
        </w:rPr>
        <w:t>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丰2023-</w:t>
      </w:r>
      <w:r>
        <w:rPr>
          <w:rFonts w:hint="eastAsia" w:ascii="Times New Roman" w:eastAsia="仿宋"/>
          <w:color w:val="auto"/>
          <w:szCs w:val="32"/>
          <w:lang w:val="en-US" w:eastAsia="zh-CN"/>
        </w:rPr>
        <w:t>2</w:t>
      </w:r>
      <w:r>
        <w:rPr>
          <w:rFonts w:hint="eastAsia" w:ascii="Times New Roman" w:eastAsia="仿宋"/>
          <w:color w:val="auto"/>
          <w:szCs w:val="32"/>
        </w:rPr>
        <w:t>8号</w:t>
      </w:r>
      <w:r>
        <w:rPr>
          <w:rFonts w:ascii="Times New Roman" w:eastAsia="仿宋"/>
          <w:color w:val="auto"/>
          <w:szCs w:val="32"/>
        </w:rPr>
        <w:t>地块，起叫价为人民币（大写）</w:t>
      </w:r>
      <w:r>
        <w:rPr>
          <w:rFonts w:hint="eastAsia" w:ascii="Times New Roman" w:eastAsia="仿宋"/>
          <w:color w:val="auto"/>
          <w:szCs w:val="32"/>
          <w:lang w:eastAsia="zh-CN"/>
        </w:rPr>
        <w:t>叁仟陆佰伍拾万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36</w:t>
      </w:r>
      <w:r>
        <w:rPr>
          <w:rFonts w:hint="eastAsia" w:ascii="Times New Roman" w:eastAsia="仿宋"/>
          <w:color w:val="auto"/>
          <w:szCs w:val="32"/>
        </w:rPr>
        <w:t>,</w:t>
      </w:r>
      <w:r>
        <w:rPr>
          <w:rFonts w:hint="eastAsia" w:ascii="Times New Roman" w:eastAsia="仿宋"/>
          <w:color w:val="auto"/>
          <w:szCs w:val="32"/>
          <w:lang w:val="en-US" w:eastAsia="zh-CN"/>
        </w:rPr>
        <w:t>5</w:t>
      </w:r>
      <w:r>
        <w:rPr>
          <w:rFonts w:hint="eastAsia" w:ascii="Times New Roman" w:eastAsia="仿宋"/>
          <w:color w:val="auto"/>
          <w:szCs w:val="32"/>
        </w:rPr>
        <w:t>0</w:t>
      </w:r>
      <w:r>
        <w:rPr>
          <w:rFonts w:ascii="Times New Roman" w:eastAsia="仿宋"/>
          <w:color w:val="auto"/>
          <w:szCs w:val="32"/>
        </w:rPr>
        <w:t>0,000.00），增价幅度为人民币（大写）</w:t>
      </w:r>
      <w:r>
        <w:rPr>
          <w:rFonts w:hint="eastAsia" w:ascii="Times New Roman" w:eastAsia="仿宋"/>
          <w:color w:val="auto"/>
          <w:szCs w:val="32"/>
          <w:lang w:eastAsia="zh-CN"/>
        </w:rPr>
        <w:t>伍拾</w:t>
      </w:r>
      <w:r>
        <w:rPr>
          <w:rFonts w:hint="eastAsia" w:ascii="Times New Roman" w:eastAsia="仿宋"/>
          <w:color w:val="auto"/>
          <w:szCs w:val="32"/>
        </w:rPr>
        <w:t>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lang w:val="en-US" w:eastAsia="zh-CN"/>
        </w:rPr>
        <w:t>5</w:t>
      </w:r>
      <w:r>
        <w:rPr>
          <w:rFonts w:hint="eastAsia" w:ascii="Times New Roman" w:eastAsia="仿宋"/>
          <w:color w:val="auto"/>
          <w:szCs w:val="32"/>
        </w:rPr>
        <w:t>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5</w:t>
      </w:r>
      <w:r>
        <w:rPr>
          <w:rFonts w:hint="eastAsia" w:ascii="Times New Roman" w:eastAsia="仿宋"/>
          <w:color w:val="auto"/>
          <w:szCs w:val="32"/>
        </w:rPr>
        <w:t>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丰202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8号</w:t>
      </w:r>
      <w:r>
        <w:rPr>
          <w:rFonts w:ascii="Times New Roman" w:eastAsia="仿宋"/>
          <w:color w:val="auto"/>
          <w:szCs w:val="32"/>
        </w:rPr>
        <w:t>地块，起叫价为人民币（大写）</w:t>
      </w:r>
      <w:r>
        <w:rPr>
          <w:rFonts w:hint="eastAsia" w:ascii="Times New Roman" w:eastAsia="仿宋"/>
          <w:color w:val="auto"/>
          <w:szCs w:val="32"/>
          <w:lang w:eastAsia="zh-CN"/>
        </w:rPr>
        <w:t>叁亿叁仟肆佰万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334</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贰</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lang w:val="en-US" w:eastAsia="zh-CN"/>
        </w:rPr>
        <w:t>2</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2</w:t>
      </w:r>
      <w:r>
        <w:rPr>
          <w:rFonts w:hint="eastAsia" w:ascii="Times New Roman" w:eastAsia="仿宋"/>
          <w:color w:val="auto"/>
          <w:szCs w:val="32"/>
        </w:rPr>
        <w:t>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洛</w:t>
      </w:r>
      <w:r>
        <w:rPr>
          <w:rFonts w:hint="eastAsia" w:ascii="Times New Roman" w:eastAsia="仿宋"/>
          <w:color w:val="auto"/>
          <w:szCs w:val="32"/>
        </w:rPr>
        <w:t>2023-</w:t>
      </w:r>
      <w:r>
        <w:rPr>
          <w:rFonts w:hint="eastAsia" w:ascii="Times New Roman" w:eastAsia="仿宋"/>
          <w:color w:val="auto"/>
          <w:szCs w:val="32"/>
          <w:lang w:val="en-US" w:eastAsia="zh-CN"/>
        </w:rPr>
        <w:t>5</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贰亿陆仟玖佰万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269</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rPr>
        <w:t>丰202</w:t>
      </w:r>
      <w:r>
        <w:rPr>
          <w:rFonts w:hint="eastAsia" w:ascii="Times New Roman" w:eastAsia="仿宋"/>
          <w:color w:val="auto"/>
          <w:szCs w:val="32"/>
          <w:lang w:val="en-US" w:eastAsia="zh-CN"/>
        </w:rPr>
        <w:t>5</w:t>
      </w:r>
      <w:r>
        <w:rPr>
          <w:rFonts w:hint="eastAsia" w:ascii="Times New Roman" w:eastAsia="仿宋"/>
          <w:color w:val="auto"/>
          <w:szCs w:val="32"/>
        </w:rPr>
        <w:t>-</w:t>
      </w:r>
      <w:r>
        <w:rPr>
          <w:rFonts w:hint="eastAsia" w:ascii="Times New Roman" w:eastAsia="仿宋"/>
          <w:color w:val="auto"/>
          <w:szCs w:val="32"/>
          <w:lang w:val="en-US" w:eastAsia="zh-CN"/>
        </w:rPr>
        <w:t>2</w:t>
      </w:r>
      <w:r>
        <w:rPr>
          <w:rFonts w:hint="eastAsia" w:ascii="Times New Roman" w:eastAsia="仿宋"/>
          <w:color w:val="auto"/>
          <w:szCs w:val="32"/>
        </w:rPr>
        <w:t>号</w:t>
      </w:r>
      <w:r>
        <w:rPr>
          <w:rFonts w:ascii="Times New Roman" w:eastAsia="仿宋"/>
          <w:color w:val="auto"/>
          <w:szCs w:val="32"/>
        </w:rPr>
        <w:t>地块，起叫价为人民币（大写）</w:t>
      </w:r>
      <w:r>
        <w:rPr>
          <w:rFonts w:hint="eastAsia" w:ascii="Times New Roman" w:eastAsia="仿宋"/>
          <w:color w:val="auto"/>
          <w:szCs w:val="32"/>
          <w:lang w:eastAsia="zh-CN"/>
        </w:rPr>
        <w:t>陆仟叁佰万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eastAsia="zh-CN"/>
        </w:rPr>
        <w:t>¥</w:t>
      </w:r>
      <w:r>
        <w:rPr>
          <w:rFonts w:hint="eastAsia" w:ascii="Times New Roman" w:eastAsia="仿宋"/>
          <w:color w:val="auto"/>
          <w:szCs w:val="32"/>
          <w:lang w:val="en-US" w:eastAsia="zh-CN"/>
        </w:rPr>
        <w:t>63</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伍拾</w:t>
      </w:r>
      <w:r>
        <w:rPr>
          <w:rFonts w:hint="eastAsia" w:ascii="Times New Roman" w:eastAsia="仿宋"/>
          <w:color w:val="auto"/>
          <w:szCs w:val="32"/>
        </w:rPr>
        <w:t>万</w:t>
      </w:r>
      <w:r>
        <w:rPr>
          <w:rFonts w:ascii="Times New Roman" w:eastAsia="仿宋"/>
          <w:color w:val="auto"/>
          <w:szCs w:val="32"/>
        </w:rPr>
        <w:t>元整（</w:t>
      </w:r>
      <w:r>
        <w:rPr>
          <w:rFonts w:hint="eastAsia" w:ascii="Times New Roman" w:eastAsia="仿宋"/>
          <w:color w:val="auto"/>
          <w:szCs w:val="32"/>
          <w:lang w:eastAsia="zh-CN"/>
        </w:rPr>
        <w:t>¥</w:t>
      </w:r>
      <w:r>
        <w:rPr>
          <w:rFonts w:hint="eastAsia" w:ascii="Times New Roman" w:eastAsia="仿宋"/>
          <w:color w:val="auto"/>
          <w:szCs w:val="32"/>
          <w:lang w:val="en-US" w:eastAsia="zh-CN"/>
        </w:rPr>
        <w:t>5</w:t>
      </w:r>
      <w:r>
        <w:rPr>
          <w:rFonts w:hint="eastAsia" w:ascii="Times New Roman" w:eastAsia="仿宋"/>
          <w:color w:val="auto"/>
          <w:szCs w:val="32"/>
        </w:rPr>
        <w:t>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5</w:t>
      </w:r>
      <w:r>
        <w:rPr>
          <w:rFonts w:hint="eastAsia" w:ascii="Times New Roman" w:eastAsia="仿宋"/>
          <w:color w:val="auto"/>
          <w:szCs w:val="32"/>
        </w:rPr>
        <w:t>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27</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lang w:eastAsia="zh-CN"/>
        </w:rPr>
        <w:t>上述地块</w:t>
      </w:r>
      <w:r>
        <w:rPr>
          <w:rFonts w:ascii="Times New Roman" w:eastAsia="仿宋"/>
          <w:color w:val="auto"/>
          <w:kern w:val="10"/>
          <w:szCs w:val="32"/>
        </w:rPr>
        <w:t>竞买保证金转作受让地块的定金，抵作土地出让价款</w:t>
      </w:r>
      <w:r>
        <w:rPr>
          <w:rFonts w:hint="eastAsia" w:ascii="Times New Roman" w:eastAsia="仿宋"/>
          <w:color w:val="auto"/>
          <w:kern w:val="10"/>
          <w:szCs w:val="32"/>
          <w:lang w:eastAsia="zh-CN"/>
        </w:rPr>
        <w:t>；</w:t>
      </w:r>
      <w:r>
        <w:rPr>
          <w:rFonts w:hint="eastAsia" w:ascii="Times New Roman" w:eastAsia="仿宋"/>
          <w:color w:val="auto"/>
          <w:kern w:val="10"/>
          <w:szCs w:val="32"/>
        </w:rPr>
        <w:t>鲤2024-7</w:t>
      </w:r>
      <w:r>
        <w:rPr>
          <w:rFonts w:ascii="Times New Roman" w:eastAsia="仿宋"/>
          <w:color w:val="auto"/>
          <w:kern w:val="10"/>
          <w:szCs w:val="32"/>
        </w:rPr>
        <w:t>号地块余款自竞得之日起</w:t>
      </w:r>
      <w:r>
        <w:rPr>
          <w:rFonts w:hint="eastAsia" w:ascii="Times New Roman" w:eastAsia="仿宋"/>
          <w:color w:val="auto"/>
          <w:kern w:val="10"/>
          <w:szCs w:val="32"/>
        </w:rPr>
        <w:t>1年</w:t>
      </w:r>
      <w:r>
        <w:rPr>
          <w:rFonts w:ascii="Times New Roman" w:eastAsia="仿宋"/>
          <w:color w:val="auto"/>
          <w:kern w:val="10"/>
          <w:szCs w:val="32"/>
        </w:rPr>
        <w:t>内</w:t>
      </w:r>
      <w:r>
        <w:rPr>
          <w:rFonts w:hint="eastAsia" w:ascii="Times New Roman" w:eastAsia="仿宋"/>
          <w:color w:val="auto"/>
          <w:kern w:val="10"/>
          <w:szCs w:val="32"/>
        </w:rPr>
        <w:t>交</w:t>
      </w:r>
      <w:r>
        <w:rPr>
          <w:rFonts w:ascii="Times New Roman" w:eastAsia="仿宋"/>
          <w:color w:val="auto"/>
          <w:kern w:val="10"/>
          <w:szCs w:val="32"/>
        </w:rPr>
        <w:t>清</w:t>
      </w:r>
      <w:r>
        <w:rPr>
          <w:rFonts w:hint="eastAsia" w:ascii="Times New Roman" w:eastAsia="仿宋"/>
          <w:color w:val="auto"/>
          <w:kern w:val="10"/>
          <w:szCs w:val="32"/>
          <w:lang w:eastAsia="zh-CN"/>
        </w:rPr>
        <w:t>，丰</w:t>
      </w:r>
      <w:r>
        <w:rPr>
          <w:rFonts w:hint="eastAsia" w:ascii="Times New Roman" w:eastAsia="仿宋"/>
          <w:color w:val="auto"/>
          <w:kern w:val="10"/>
          <w:szCs w:val="32"/>
          <w:lang w:val="en-US" w:eastAsia="zh-CN"/>
        </w:rPr>
        <w:t>2025-2号地块</w:t>
      </w:r>
      <w:r>
        <w:rPr>
          <w:rFonts w:ascii="Times New Roman" w:eastAsia="仿宋"/>
          <w:color w:val="auto"/>
          <w:kern w:val="10"/>
          <w:szCs w:val="32"/>
        </w:rPr>
        <w:t>余款自竞得之日起</w:t>
      </w:r>
      <w:r>
        <w:rPr>
          <w:rFonts w:hint="eastAsia" w:ascii="Times New Roman" w:eastAsia="仿宋"/>
          <w:color w:val="auto"/>
          <w:kern w:val="10"/>
          <w:szCs w:val="32"/>
        </w:rPr>
        <w:t>1</w:t>
      </w:r>
      <w:r>
        <w:rPr>
          <w:rFonts w:hint="eastAsia" w:ascii="Times New Roman" w:eastAsia="仿宋"/>
          <w:color w:val="auto"/>
          <w:kern w:val="10"/>
          <w:szCs w:val="32"/>
          <w:lang w:eastAsia="zh-CN"/>
        </w:rPr>
        <w:t>个月</w:t>
      </w:r>
      <w:r>
        <w:rPr>
          <w:rFonts w:ascii="Times New Roman" w:eastAsia="仿宋"/>
          <w:color w:val="auto"/>
          <w:kern w:val="10"/>
          <w:szCs w:val="32"/>
        </w:rPr>
        <w:t>内</w:t>
      </w:r>
      <w:r>
        <w:rPr>
          <w:rFonts w:hint="eastAsia" w:ascii="Times New Roman" w:eastAsia="仿宋"/>
          <w:color w:val="auto"/>
          <w:kern w:val="10"/>
          <w:szCs w:val="32"/>
        </w:rPr>
        <w:t>交</w:t>
      </w:r>
      <w:r>
        <w:rPr>
          <w:rFonts w:ascii="Times New Roman" w:eastAsia="仿宋"/>
          <w:color w:val="auto"/>
          <w:kern w:val="10"/>
          <w:szCs w:val="32"/>
        </w:rPr>
        <w:t>清</w:t>
      </w:r>
      <w:r>
        <w:rPr>
          <w:rFonts w:hint="eastAsia" w:ascii="Times New Roman" w:eastAsia="仿宋"/>
          <w:color w:val="auto"/>
          <w:kern w:val="10"/>
          <w:szCs w:val="32"/>
          <w:lang w:eastAsia="zh-CN"/>
        </w:rPr>
        <w:t>，其余地块</w:t>
      </w:r>
      <w:r>
        <w:rPr>
          <w:rFonts w:ascii="Times New Roman" w:eastAsia="仿宋"/>
          <w:color w:val="auto"/>
          <w:kern w:val="10"/>
          <w:szCs w:val="32"/>
        </w:rPr>
        <w:t>余款自竞得之日起</w:t>
      </w:r>
      <w:r>
        <w:rPr>
          <w:rFonts w:hint="eastAsia" w:ascii="Times New Roman" w:eastAsia="仿宋"/>
          <w:color w:val="auto"/>
          <w:kern w:val="10"/>
          <w:szCs w:val="32"/>
          <w:lang w:val="en-US" w:eastAsia="zh-CN"/>
        </w:rPr>
        <w:t>3</w:t>
      </w:r>
      <w:r>
        <w:rPr>
          <w:rFonts w:ascii="Times New Roman" w:eastAsia="仿宋"/>
          <w:color w:val="auto"/>
          <w:kern w:val="10"/>
          <w:szCs w:val="32"/>
        </w:rPr>
        <w:t>个月内</w:t>
      </w:r>
      <w:r>
        <w:rPr>
          <w:rFonts w:hint="eastAsia" w:ascii="Times New Roman" w:eastAsia="仿宋"/>
          <w:color w:val="auto"/>
          <w:kern w:val="10"/>
          <w:szCs w:val="32"/>
        </w:rPr>
        <w:t>交</w:t>
      </w:r>
      <w:r>
        <w:rPr>
          <w:rFonts w:ascii="Times New Roman" w:eastAsia="仿宋"/>
          <w:color w:val="auto"/>
          <w:kern w:val="10"/>
          <w:szCs w:val="32"/>
        </w:rPr>
        <w:t>清。</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1" w:name="_Hlk85133807"/>
      <w:r>
        <w:rPr>
          <w:rFonts w:ascii="Times New Roman" w:eastAsia="仿宋"/>
          <w:color w:val="auto"/>
          <w:szCs w:val="32"/>
        </w:rPr>
        <w:t>竞买人</w:t>
      </w:r>
      <w:bookmarkEnd w:id="1"/>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2" w:name="OLE_LINK2"/>
      <w:r>
        <w:rPr>
          <w:rFonts w:ascii="Times New Roman" w:eastAsia="仿宋"/>
          <w:color w:val="auto"/>
          <w:szCs w:val="32"/>
        </w:rPr>
        <w:t>．</w:t>
      </w:r>
      <w:bookmarkEnd w:id="2"/>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firstLine="3680" w:firstLineChars="1150"/>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center"/>
        <w:rPr>
          <w:rFonts w:ascii="Times New Roman" w:eastAsia="仿宋"/>
          <w:color w:val="auto"/>
          <w:szCs w:val="32"/>
        </w:rPr>
      </w:pPr>
      <w:r>
        <w:rPr>
          <w:rFonts w:hint="eastAsia" w:ascii="Times New Roman" w:eastAsia="仿宋"/>
          <w:color w:val="auto"/>
          <w:szCs w:val="32"/>
        </w:rPr>
        <w:t xml:space="preserve">                           </w:t>
      </w:r>
      <w:r>
        <w:rPr>
          <w:rFonts w:ascii="Times New Roman" w:eastAsia="仿宋"/>
          <w:color w:val="auto"/>
          <w:szCs w:val="32"/>
        </w:rPr>
        <w:t>202</w:t>
      </w:r>
      <w:r>
        <w:rPr>
          <w:rFonts w:hint="eastAsia" w:ascii="Times New Roman" w:eastAsia="仿宋"/>
          <w:color w:val="auto"/>
          <w:szCs w:val="32"/>
          <w:lang w:val="en-US" w:eastAsia="zh-CN"/>
        </w:rPr>
        <w:t>5</w:t>
      </w:r>
      <w:r>
        <w:rPr>
          <w:rFonts w:ascii="Times New Roman" w:eastAsia="仿宋"/>
          <w:color w:val="auto"/>
          <w:szCs w:val="32"/>
        </w:rPr>
        <w:t>年</w:t>
      </w:r>
      <w:r>
        <w:rPr>
          <w:rFonts w:hint="eastAsia" w:ascii="Times New Roman" w:eastAsia="仿宋"/>
          <w:color w:val="auto"/>
          <w:szCs w:val="32"/>
          <w:lang w:val="en-US" w:eastAsia="zh-CN"/>
        </w:rPr>
        <w:t>3</w:t>
      </w:r>
      <w:r>
        <w:rPr>
          <w:rFonts w:ascii="Times New Roman" w:eastAsia="仿宋"/>
          <w:color w:val="auto"/>
          <w:szCs w:val="32"/>
        </w:rPr>
        <w:t>月</w:t>
      </w:r>
      <w:r>
        <w:rPr>
          <w:rFonts w:hint="eastAsia" w:ascii="Times New Roman" w:eastAsia="仿宋"/>
          <w:color w:val="auto"/>
          <w:szCs w:val="32"/>
          <w:lang w:val="en-US" w:eastAsia="zh-CN"/>
        </w:rPr>
        <w:t>7</w:t>
      </w:r>
      <w:bookmarkStart w:id="3" w:name="_GoBack"/>
      <w:bookmarkEnd w:id="3"/>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A72EF"/>
    <w:rsid w:val="000B3E98"/>
    <w:rsid w:val="000B4D15"/>
    <w:rsid w:val="000C1454"/>
    <w:rsid w:val="000C1A61"/>
    <w:rsid w:val="000C6FCF"/>
    <w:rsid w:val="000D514D"/>
    <w:rsid w:val="000D619C"/>
    <w:rsid w:val="000E5F80"/>
    <w:rsid w:val="000F39AF"/>
    <w:rsid w:val="000F404B"/>
    <w:rsid w:val="00102501"/>
    <w:rsid w:val="00106113"/>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3BB3"/>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3CF0"/>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D5ABF"/>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6F2BC4"/>
    <w:rsid w:val="00713120"/>
    <w:rsid w:val="00713844"/>
    <w:rsid w:val="0072372E"/>
    <w:rsid w:val="0072663C"/>
    <w:rsid w:val="0073786C"/>
    <w:rsid w:val="0074100E"/>
    <w:rsid w:val="00755099"/>
    <w:rsid w:val="00756046"/>
    <w:rsid w:val="00757C1E"/>
    <w:rsid w:val="007749B1"/>
    <w:rsid w:val="00775DC5"/>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35E13"/>
    <w:rsid w:val="00847922"/>
    <w:rsid w:val="00850065"/>
    <w:rsid w:val="008517E3"/>
    <w:rsid w:val="0085420B"/>
    <w:rsid w:val="00862867"/>
    <w:rsid w:val="00863E20"/>
    <w:rsid w:val="008841F6"/>
    <w:rsid w:val="00887210"/>
    <w:rsid w:val="00894E0F"/>
    <w:rsid w:val="00896A2D"/>
    <w:rsid w:val="008B2511"/>
    <w:rsid w:val="008D158E"/>
    <w:rsid w:val="008E5CE5"/>
    <w:rsid w:val="008F0766"/>
    <w:rsid w:val="008F4899"/>
    <w:rsid w:val="008F7A37"/>
    <w:rsid w:val="009019DF"/>
    <w:rsid w:val="00901AA0"/>
    <w:rsid w:val="0090207D"/>
    <w:rsid w:val="00920F22"/>
    <w:rsid w:val="00924A79"/>
    <w:rsid w:val="00935354"/>
    <w:rsid w:val="00935CB2"/>
    <w:rsid w:val="00937CF1"/>
    <w:rsid w:val="009422A5"/>
    <w:rsid w:val="00952239"/>
    <w:rsid w:val="00962E9F"/>
    <w:rsid w:val="00966B58"/>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8612F"/>
    <w:rsid w:val="00A94A16"/>
    <w:rsid w:val="00AA65C2"/>
    <w:rsid w:val="00AC04CF"/>
    <w:rsid w:val="00AC1FCD"/>
    <w:rsid w:val="00AD702F"/>
    <w:rsid w:val="00AD7B4E"/>
    <w:rsid w:val="00AE5BED"/>
    <w:rsid w:val="00AF5B6E"/>
    <w:rsid w:val="00AF7651"/>
    <w:rsid w:val="00B06973"/>
    <w:rsid w:val="00B107AE"/>
    <w:rsid w:val="00B132D7"/>
    <w:rsid w:val="00B25F0C"/>
    <w:rsid w:val="00B27BF3"/>
    <w:rsid w:val="00B31F50"/>
    <w:rsid w:val="00B41844"/>
    <w:rsid w:val="00B4347F"/>
    <w:rsid w:val="00B54A29"/>
    <w:rsid w:val="00B638CC"/>
    <w:rsid w:val="00B80B67"/>
    <w:rsid w:val="00BA0963"/>
    <w:rsid w:val="00BA0DB2"/>
    <w:rsid w:val="00BA2D61"/>
    <w:rsid w:val="00BA6B08"/>
    <w:rsid w:val="00BB0A74"/>
    <w:rsid w:val="00BC044D"/>
    <w:rsid w:val="00BC1079"/>
    <w:rsid w:val="00BC7642"/>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15EA"/>
    <w:rsid w:val="00D31A40"/>
    <w:rsid w:val="00D3252E"/>
    <w:rsid w:val="00D33604"/>
    <w:rsid w:val="00D45A0E"/>
    <w:rsid w:val="00D53E6B"/>
    <w:rsid w:val="00D72D0D"/>
    <w:rsid w:val="00D87F25"/>
    <w:rsid w:val="00D90B10"/>
    <w:rsid w:val="00D945ED"/>
    <w:rsid w:val="00D948CE"/>
    <w:rsid w:val="00D94B4A"/>
    <w:rsid w:val="00DA4E52"/>
    <w:rsid w:val="00DB2006"/>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4BC1"/>
    <w:rsid w:val="00EA7921"/>
    <w:rsid w:val="00EC40B9"/>
    <w:rsid w:val="00ED3292"/>
    <w:rsid w:val="00ED52FA"/>
    <w:rsid w:val="00EE6903"/>
    <w:rsid w:val="00EF11C3"/>
    <w:rsid w:val="00EF6658"/>
    <w:rsid w:val="00F03043"/>
    <w:rsid w:val="00F05F6E"/>
    <w:rsid w:val="00F11FD8"/>
    <w:rsid w:val="00F13C00"/>
    <w:rsid w:val="00F32C7A"/>
    <w:rsid w:val="00F34FF9"/>
    <w:rsid w:val="00F41DC9"/>
    <w:rsid w:val="00F44D61"/>
    <w:rsid w:val="00F45686"/>
    <w:rsid w:val="00F5404E"/>
    <w:rsid w:val="00F63CF4"/>
    <w:rsid w:val="00F8173E"/>
    <w:rsid w:val="00F914F5"/>
    <w:rsid w:val="00F95305"/>
    <w:rsid w:val="00FA22AF"/>
    <w:rsid w:val="00FA6633"/>
    <w:rsid w:val="00FB0A85"/>
    <w:rsid w:val="00FC5629"/>
    <w:rsid w:val="00FE7CC7"/>
    <w:rsid w:val="00FF0D97"/>
    <w:rsid w:val="00FF7CF7"/>
    <w:rsid w:val="01AEFAFA"/>
    <w:rsid w:val="03D0075A"/>
    <w:rsid w:val="060058D9"/>
    <w:rsid w:val="076B4F50"/>
    <w:rsid w:val="0A050A0A"/>
    <w:rsid w:val="105D2635"/>
    <w:rsid w:val="10801B04"/>
    <w:rsid w:val="13867A9F"/>
    <w:rsid w:val="14C702EB"/>
    <w:rsid w:val="157435CA"/>
    <w:rsid w:val="15956862"/>
    <w:rsid w:val="17646D55"/>
    <w:rsid w:val="17861AEB"/>
    <w:rsid w:val="185C25B1"/>
    <w:rsid w:val="19460CD8"/>
    <w:rsid w:val="1AB322F0"/>
    <w:rsid w:val="1ABFBFC4"/>
    <w:rsid w:val="1F351FAF"/>
    <w:rsid w:val="1F86792F"/>
    <w:rsid w:val="1FD91CFB"/>
    <w:rsid w:val="1FF746DA"/>
    <w:rsid w:val="20772D49"/>
    <w:rsid w:val="20B024A1"/>
    <w:rsid w:val="25205CF8"/>
    <w:rsid w:val="25E129FE"/>
    <w:rsid w:val="28F60D53"/>
    <w:rsid w:val="29535BBE"/>
    <w:rsid w:val="2BD42381"/>
    <w:rsid w:val="2E9F243D"/>
    <w:rsid w:val="2EE17814"/>
    <w:rsid w:val="2FEF7D77"/>
    <w:rsid w:val="2FF9249F"/>
    <w:rsid w:val="3566232B"/>
    <w:rsid w:val="37BAD263"/>
    <w:rsid w:val="3A314ED2"/>
    <w:rsid w:val="3A7D040E"/>
    <w:rsid w:val="3B0E44F4"/>
    <w:rsid w:val="3DB14890"/>
    <w:rsid w:val="3E8C3A26"/>
    <w:rsid w:val="3EBFD039"/>
    <w:rsid w:val="3F73645C"/>
    <w:rsid w:val="3F7D38D0"/>
    <w:rsid w:val="412A0477"/>
    <w:rsid w:val="42041D48"/>
    <w:rsid w:val="45D07A7B"/>
    <w:rsid w:val="45FB48A4"/>
    <w:rsid w:val="48DB5365"/>
    <w:rsid w:val="4BDF7549"/>
    <w:rsid w:val="4DF37842"/>
    <w:rsid w:val="4E6B71A3"/>
    <w:rsid w:val="4F46621E"/>
    <w:rsid w:val="53417DE8"/>
    <w:rsid w:val="545D6861"/>
    <w:rsid w:val="551E49A7"/>
    <w:rsid w:val="565C1810"/>
    <w:rsid w:val="58805E0B"/>
    <w:rsid w:val="59FFFD36"/>
    <w:rsid w:val="5A100A69"/>
    <w:rsid w:val="5AC66E6D"/>
    <w:rsid w:val="5AD69939"/>
    <w:rsid w:val="5BEE6592"/>
    <w:rsid w:val="5C2F2B85"/>
    <w:rsid w:val="5D711BC1"/>
    <w:rsid w:val="5DC00719"/>
    <w:rsid w:val="5E5F6D4F"/>
    <w:rsid w:val="5E6370DC"/>
    <w:rsid w:val="5E6C2FD2"/>
    <w:rsid w:val="5E7210B7"/>
    <w:rsid w:val="5EBE1F44"/>
    <w:rsid w:val="5EF61BEE"/>
    <w:rsid w:val="5FBBD4DE"/>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26B0913"/>
    <w:rsid w:val="735B762D"/>
    <w:rsid w:val="75BE6923"/>
    <w:rsid w:val="75DE796D"/>
    <w:rsid w:val="772C6592"/>
    <w:rsid w:val="7C614DBC"/>
    <w:rsid w:val="7CED3003"/>
    <w:rsid w:val="7CFE5411"/>
    <w:rsid w:val="7D9FED00"/>
    <w:rsid w:val="7DC16531"/>
    <w:rsid w:val="7DFD2408"/>
    <w:rsid w:val="7F3F1968"/>
    <w:rsid w:val="7F5F1419"/>
    <w:rsid w:val="9FFFC79F"/>
    <w:rsid w:val="B6F5B665"/>
    <w:rsid w:val="BDBDB6D9"/>
    <w:rsid w:val="BFAF6639"/>
    <w:rsid w:val="CFB30E3E"/>
    <w:rsid w:val="DDB545D1"/>
    <w:rsid w:val="DFBE7DA6"/>
    <w:rsid w:val="E7F5A2DA"/>
    <w:rsid w:val="EE6FCE32"/>
    <w:rsid w:val="F33752BE"/>
    <w:rsid w:val="F7FFAF4F"/>
    <w:rsid w:val="FBBFE06A"/>
    <w:rsid w:val="FD9FE1A1"/>
    <w:rsid w:val="FED7EB8E"/>
    <w:rsid w:val="FF7D2145"/>
    <w:rsid w:val="FFF71578"/>
    <w:rsid w:val="FFFB8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next w:val="4"/>
    <w:qFormat/>
    <w:uiPriority w:val="0"/>
    <w:pPr>
      <w:ind w:firstLine="640" w:firstLineChars="200"/>
    </w:pPr>
    <w:rPr>
      <w:rFonts w:eastAsia="仿宋_GB2312"/>
      <w:sz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dfdf</Company>
  <Pages>23</Pages>
  <Words>1114</Words>
  <Characters>6354</Characters>
  <Lines>52</Lines>
  <Paragraphs>14</Paragraphs>
  <TotalTime>3</TotalTime>
  <ScaleCrop>false</ScaleCrop>
  <LinksUpToDate>false</LinksUpToDate>
  <CharactersWithSpaces>7454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2019-12-12T23:04:00Z</dcterms:created>
  <dc:creator>未羽</dc:creator>
  <cp:lastModifiedBy>user</cp:lastModifiedBy>
  <cp:lastPrinted>2021-12-02T07:02:00Z</cp:lastPrinted>
  <dcterms:modified xsi:type="dcterms:W3CDTF">2025-03-06T23:16:06Z</dcterms:modified>
  <dc:title>国有建设用地使用权拍卖出让须知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147DB053FB7B4A7CAC58A0FE60B8BF0F</vt:lpwstr>
  </property>
</Properties>
</file>