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lang w:eastAsia="zh-CN"/>
        </w:rPr>
        <w:t>丰</w:t>
      </w:r>
      <w:r>
        <w:rPr>
          <w:rFonts w:hint="eastAsia" w:ascii="Times New Roman" w:eastAsia="方正小标宋简体"/>
          <w:bCs/>
          <w:color w:val="auto"/>
          <w:sz w:val="44"/>
          <w:szCs w:val="44"/>
          <w:lang w:val="en-US" w:eastAsia="zh-CN"/>
        </w:rPr>
        <w:t>2024-19号等3宗</w:t>
      </w:r>
      <w:r>
        <w:rPr>
          <w:rFonts w:ascii="Times New Roman" w:eastAsia="方正小标宋简体"/>
          <w:bCs/>
          <w:color w:val="auto"/>
          <w:sz w:val="44"/>
          <w:szCs w:val="44"/>
        </w:rPr>
        <w:t>地块国有建设用地</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使</w:t>
      </w:r>
      <w:r>
        <w:rPr>
          <w:rFonts w:hint="eastAsia" w:ascii="Times New Roman" w:eastAsia="方正小标宋简体"/>
          <w:bCs/>
          <w:color w:val="auto"/>
          <w:sz w:val="44"/>
          <w:szCs w:val="44"/>
          <w:lang w:eastAsia="zh-CN"/>
        </w:rPr>
        <w:t>用</w:t>
      </w:r>
      <w:r>
        <w:rPr>
          <w:rFonts w:ascii="Times New Roman" w:eastAsia="方正小标宋简体"/>
          <w:bCs/>
          <w:color w:val="auto"/>
          <w:sz w:val="44"/>
          <w:szCs w:val="44"/>
        </w:rPr>
        <w:t>权拍卖出让须知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lang w:eastAsia="zh-CN"/>
        </w:rPr>
        <w:t>丰</w:t>
      </w:r>
      <w:r>
        <w:rPr>
          <w:rFonts w:hint="eastAsia" w:ascii="Times New Roman" w:eastAsia="仿宋"/>
          <w:color w:val="auto"/>
          <w:szCs w:val="32"/>
          <w:lang w:val="en-US" w:eastAsia="zh-CN"/>
        </w:rPr>
        <w:t>2024-19号等3宗</w:t>
      </w:r>
      <w:r>
        <w:rPr>
          <w:rFonts w:ascii="Times New Roman" w:eastAsia="仿宋"/>
          <w:color w:val="auto"/>
          <w:szCs w:val="32"/>
        </w:rPr>
        <w:t>地块国有建设用地使用权。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eastAsia" w:ascii="Times New Roman" w:eastAsia="仿宋"/>
          <w:color w:val="auto"/>
          <w:sz w:val="30"/>
          <w:szCs w:val="30"/>
          <w:lang w:val="en-US" w:eastAsia="zh-CN"/>
        </w:rPr>
        <w:t>9</w:t>
      </w:r>
      <w:r>
        <w:rPr>
          <w:rFonts w:ascii="Times New Roman" w:eastAsia="仿宋"/>
          <w:color w:val="auto"/>
          <w:sz w:val="30"/>
          <w:szCs w:val="30"/>
        </w:rPr>
        <w:t>月</w:t>
      </w:r>
      <w:r>
        <w:rPr>
          <w:rFonts w:hint="eastAsia" w:ascii="Times New Roman" w:eastAsia="仿宋"/>
          <w:color w:val="auto"/>
          <w:sz w:val="30"/>
          <w:szCs w:val="30"/>
          <w:lang w:val="en-US" w:eastAsia="zh-CN"/>
        </w:rPr>
        <w:t>12</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w:t>
      </w:r>
      <w:r>
        <w:rPr>
          <w:rFonts w:ascii="Times New Roman" w:eastAsia="仿宋"/>
          <w:color w:val="auto"/>
          <w:szCs w:val="32"/>
        </w:rPr>
        <w:t>本次国有建设用地使用权</w:t>
      </w:r>
      <w:r>
        <w:rPr>
          <w:rFonts w:hint="eastAsia" w:ascii="Times New Roman" w:eastAsia="仿宋"/>
          <w:color w:val="auto"/>
          <w:szCs w:val="32"/>
        </w:rPr>
        <w:t>采用</w:t>
      </w:r>
      <w:r>
        <w:rPr>
          <w:rFonts w:ascii="Times New Roman" w:eastAsia="仿宋"/>
          <w:color w:val="auto"/>
          <w:szCs w:val="32"/>
        </w:rPr>
        <w:t>拍卖</w:t>
      </w:r>
      <w:r>
        <w:rPr>
          <w:rFonts w:hint="eastAsia" w:ascii="Times New Roman" w:eastAsia="仿宋"/>
          <w:color w:val="auto"/>
          <w:szCs w:val="32"/>
        </w:rPr>
        <w:t>方式</w:t>
      </w:r>
      <w:r>
        <w:rPr>
          <w:rFonts w:ascii="Times New Roman" w:eastAsia="仿宋"/>
          <w:color w:val="auto"/>
          <w:szCs w:val="32"/>
        </w:rPr>
        <w:t>出让，</w:t>
      </w:r>
      <w:r>
        <w:rPr>
          <w:rFonts w:hint="eastAsia" w:ascii="Times New Roman" w:eastAsia="仿宋"/>
          <w:color w:val="auto"/>
          <w:szCs w:val="32"/>
        </w:rPr>
        <w:t>按照“价高者得”的原则确定竞得人，</w:t>
      </w:r>
      <w:r>
        <w:rPr>
          <w:rFonts w:ascii="Times New Roman" w:eastAsia="仿宋"/>
          <w:color w:val="auto"/>
          <w:szCs w:val="32"/>
        </w:rPr>
        <w:t>不设保留价</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60" w:lineRule="exact"/>
        <w:ind w:firstLine="643" w:firstLineChars="200"/>
        <w:rPr>
          <w:rFonts w:hint="eastAsia" w:eastAsia="仿宋_GB2312"/>
          <w:color w:val="auto"/>
          <w:sz w:val="32"/>
          <w:szCs w:val="32"/>
        </w:rPr>
      </w:pPr>
      <w:r>
        <w:rPr>
          <w:rFonts w:hint="eastAsia" w:eastAsia="楷体_GB2312"/>
          <w:b/>
          <w:sz w:val="32"/>
          <w:szCs w:val="32"/>
          <w:lang w:val="en-US" w:eastAsia="zh-CN"/>
        </w:rPr>
        <w:t>1.</w:t>
      </w:r>
      <w:r>
        <w:rPr>
          <w:rFonts w:hint="eastAsia" w:eastAsia="楷体_GB2312"/>
          <w:b/>
          <w:sz w:val="32"/>
          <w:szCs w:val="32"/>
        </w:rPr>
        <w:t>丰202</w:t>
      </w:r>
      <w:r>
        <w:rPr>
          <w:rFonts w:hint="eastAsia" w:eastAsia="楷体_GB2312"/>
          <w:b/>
          <w:sz w:val="32"/>
          <w:szCs w:val="32"/>
          <w:lang w:val="en-US" w:eastAsia="zh-CN"/>
        </w:rPr>
        <w:t>4-19</w:t>
      </w:r>
      <w:r>
        <w:rPr>
          <w:rFonts w:hint="eastAsia" w:eastAsia="楷体_GB2312"/>
          <w:b/>
          <w:sz w:val="32"/>
          <w:szCs w:val="32"/>
        </w:rPr>
        <w:t>号地块</w:t>
      </w:r>
      <w:r>
        <w:rPr>
          <w:rFonts w:hint="eastAsia" w:eastAsia="楷体_GB2312"/>
          <w:b/>
          <w:sz w:val="32"/>
          <w:szCs w:val="32"/>
          <w:lang w:val="en-US" w:eastAsia="zh-CN"/>
        </w:rPr>
        <w:t>。</w:t>
      </w:r>
      <w:r>
        <w:rPr>
          <w:rFonts w:eastAsia="仿宋_GB2312"/>
          <w:sz w:val="32"/>
          <w:szCs w:val="32"/>
        </w:rPr>
        <w:t>该宗地即</w:t>
      </w:r>
      <w:r>
        <w:rPr>
          <w:rFonts w:hint="eastAsia" w:eastAsia="仿宋_GB2312"/>
          <w:color w:val="auto"/>
          <w:sz w:val="32"/>
          <w:szCs w:val="32"/>
          <w:lang w:val="en-US" w:eastAsia="zh-CN"/>
        </w:rPr>
        <w:t>2024-28号</w:t>
      </w:r>
      <w:r>
        <w:rPr>
          <w:rFonts w:eastAsia="仿宋_GB2312"/>
          <w:color w:val="auto"/>
          <w:sz w:val="32"/>
          <w:szCs w:val="32"/>
        </w:rPr>
        <w:t>储备用地，位于</w:t>
      </w:r>
      <w:r>
        <w:rPr>
          <w:rFonts w:hint="eastAsia" w:eastAsia="仿宋_GB2312"/>
          <w:color w:val="auto"/>
          <w:sz w:val="32"/>
          <w:szCs w:val="32"/>
        </w:rPr>
        <w:t>丰泽区东海街道，晋江大桥东侧、大兴街北侧，</w:t>
      </w:r>
      <w:r>
        <w:rPr>
          <w:rFonts w:hint="eastAsia" w:eastAsia="仿宋_GB2312"/>
          <w:color w:val="auto"/>
          <w:sz w:val="32"/>
          <w:szCs w:val="32"/>
          <w:lang w:eastAsia="zh-CN"/>
        </w:rPr>
        <w:t>用</w:t>
      </w:r>
      <w:r>
        <w:rPr>
          <w:rFonts w:eastAsia="仿宋_GB2312"/>
          <w:color w:val="auto"/>
          <w:sz w:val="32"/>
          <w:szCs w:val="32"/>
        </w:rPr>
        <w:t>地面积</w:t>
      </w:r>
      <w:r>
        <w:rPr>
          <w:rFonts w:hint="eastAsia" w:eastAsia="仿宋"/>
          <w:color w:val="auto"/>
          <w:sz w:val="32"/>
          <w:szCs w:val="32"/>
          <w:lang w:val="zh-CN"/>
        </w:rPr>
        <w:t>18872.47</w:t>
      </w:r>
      <w:r>
        <w:rPr>
          <w:rFonts w:eastAsia="仿宋_GB2312"/>
          <w:bCs/>
          <w:color w:val="auto"/>
          <w:sz w:val="32"/>
          <w:szCs w:val="32"/>
          <w:lang w:val="zh-CN"/>
        </w:rPr>
        <w:t>平方米（</w:t>
      </w:r>
      <w:r>
        <w:rPr>
          <w:rFonts w:hint="eastAsia" w:eastAsia="仿宋_GB2312"/>
          <w:bCs/>
          <w:color w:val="auto"/>
          <w:sz w:val="32"/>
          <w:szCs w:val="32"/>
          <w:lang w:val="zh-CN"/>
        </w:rPr>
        <w:t>约合</w:t>
      </w:r>
      <w:r>
        <w:rPr>
          <w:rFonts w:hint="eastAsia" w:eastAsia="仿宋"/>
          <w:color w:val="auto"/>
          <w:sz w:val="32"/>
          <w:szCs w:val="32"/>
          <w:lang w:val="zh-CN"/>
        </w:rPr>
        <w:t>28.3</w:t>
      </w:r>
      <w:r>
        <w:rPr>
          <w:rFonts w:hint="eastAsia" w:eastAsia="仿宋_GB2312"/>
          <w:bCs/>
          <w:color w:val="auto"/>
          <w:sz w:val="32"/>
          <w:szCs w:val="32"/>
          <w:lang w:val="zh-CN"/>
        </w:rPr>
        <w:t>亩</w:t>
      </w:r>
      <w:r>
        <w:rPr>
          <w:rFonts w:eastAsia="仿宋_GB2312"/>
          <w:bCs/>
          <w:color w:val="auto"/>
          <w:sz w:val="32"/>
          <w:szCs w:val="32"/>
          <w:lang w:val="zh-CN"/>
        </w:rPr>
        <w:t>）。</w:t>
      </w:r>
      <w:r>
        <w:rPr>
          <w:rFonts w:eastAsia="仿宋_GB2312"/>
          <w:color w:val="auto"/>
          <w:sz w:val="32"/>
          <w:szCs w:val="32"/>
        </w:rPr>
        <w:t>规划用途为</w:t>
      </w:r>
      <w:r>
        <w:rPr>
          <w:rFonts w:hint="eastAsia" w:eastAsia="仿宋_GB2312"/>
          <w:color w:val="auto"/>
          <w:sz w:val="32"/>
          <w:szCs w:val="32"/>
          <w:lang w:eastAsia="zh-CN"/>
        </w:rPr>
        <w:t>二类</w:t>
      </w:r>
      <w:r>
        <w:rPr>
          <w:rFonts w:hint="eastAsia" w:eastAsia="仿宋_GB2312"/>
          <w:color w:val="auto"/>
          <w:sz w:val="32"/>
          <w:szCs w:val="32"/>
        </w:rPr>
        <w:t>城镇住宅用地</w:t>
      </w:r>
      <w:r>
        <w:rPr>
          <w:rFonts w:eastAsia="仿宋_GB2312"/>
          <w:bCs/>
          <w:color w:val="auto"/>
          <w:sz w:val="32"/>
          <w:szCs w:val="32"/>
          <w:lang w:val="zh-CN"/>
        </w:rPr>
        <w:t>。</w:t>
      </w:r>
      <w:r>
        <w:rPr>
          <w:rFonts w:eastAsia="仿宋_GB2312"/>
          <w:color w:val="auto"/>
          <w:sz w:val="32"/>
          <w:szCs w:val="32"/>
        </w:rPr>
        <w:t>主要技术指标为：容积率</w:t>
      </w:r>
      <w:r>
        <w:rPr>
          <w:rFonts w:hint="eastAsia" w:eastAsia="仿宋_GB2312"/>
          <w:color w:val="auto"/>
          <w:sz w:val="32"/>
          <w:szCs w:val="32"/>
          <w:lang w:val="en-US" w:eastAsia="zh-CN"/>
        </w:rPr>
        <w:t>3.1</w:t>
      </w:r>
      <w:r>
        <w:rPr>
          <w:rFonts w:eastAsia="仿宋_GB2312"/>
          <w:color w:val="auto"/>
          <w:sz w:val="32"/>
          <w:szCs w:val="32"/>
        </w:rPr>
        <w:t>以下，建筑密度</w:t>
      </w:r>
      <w:r>
        <w:rPr>
          <w:rFonts w:hint="eastAsia" w:eastAsia="仿宋_GB2312"/>
          <w:color w:val="auto"/>
          <w:sz w:val="32"/>
          <w:szCs w:val="32"/>
          <w:lang w:val="en-US" w:eastAsia="zh-CN"/>
        </w:rPr>
        <w:t>3</w:t>
      </w:r>
      <w:r>
        <w:rPr>
          <w:rFonts w:hint="eastAsia" w:eastAsia="仿宋_GB2312"/>
          <w:color w:val="auto"/>
          <w:sz w:val="32"/>
          <w:szCs w:val="32"/>
        </w:rPr>
        <w:t>0%</w:t>
      </w:r>
      <w:r>
        <w:rPr>
          <w:rFonts w:eastAsia="仿宋_GB2312"/>
          <w:color w:val="auto"/>
          <w:sz w:val="32"/>
          <w:szCs w:val="32"/>
        </w:rPr>
        <w:t>以下，绿地率</w:t>
      </w:r>
      <w:r>
        <w:rPr>
          <w:rFonts w:hint="eastAsia" w:eastAsia="仿宋_GB2312"/>
          <w:color w:val="auto"/>
          <w:sz w:val="32"/>
          <w:szCs w:val="32"/>
          <w:lang w:val="en-US" w:eastAsia="zh-CN"/>
        </w:rPr>
        <w:t>30</w:t>
      </w:r>
      <w:r>
        <w:rPr>
          <w:rFonts w:hint="eastAsia" w:eastAsia="仿宋_GB2312"/>
          <w:color w:val="auto"/>
          <w:sz w:val="32"/>
          <w:szCs w:val="32"/>
        </w:rPr>
        <w:t>%</w:t>
      </w:r>
      <w:r>
        <w:rPr>
          <w:rFonts w:eastAsia="仿宋_GB2312"/>
          <w:color w:val="auto"/>
          <w:sz w:val="32"/>
          <w:szCs w:val="32"/>
        </w:rPr>
        <w:t>以上，建筑高度</w:t>
      </w:r>
      <w:r>
        <w:rPr>
          <w:rFonts w:hint="eastAsia" w:eastAsia="仿宋_GB2312"/>
          <w:color w:val="auto"/>
          <w:sz w:val="32"/>
          <w:szCs w:val="32"/>
        </w:rPr>
        <w:t>80</w:t>
      </w:r>
      <w:r>
        <w:rPr>
          <w:rFonts w:eastAsia="仿宋_GB2312"/>
          <w:color w:val="auto"/>
          <w:sz w:val="32"/>
          <w:szCs w:val="32"/>
        </w:rPr>
        <w:t>米以下。</w:t>
      </w:r>
      <w:r>
        <w:rPr>
          <w:rFonts w:hint="eastAsia" w:eastAsia="仿宋_GB2312"/>
          <w:color w:val="auto"/>
          <w:sz w:val="32"/>
          <w:szCs w:val="32"/>
          <w:lang w:eastAsia="zh-CN"/>
        </w:rPr>
        <w:t>主要</w:t>
      </w:r>
      <w:r>
        <w:rPr>
          <w:rFonts w:eastAsia="仿宋_GB2312"/>
          <w:color w:val="auto"/>
          <w:sz w:val="32"/>
          <w:szCs w:val="32"/>
        </w:rPr>
        <w:t>建设内容为</w:t>
      </w:r>
      <w:r>
        <w:rPr>
          <w:rFonts w:hint="eastAsia" w:eastAsia="仿宋_GB2312"/>
          <w:color w:val="auto"/>
          <w:sz w:val="32"/>
          <w:szCs w:val="32"/>
          <w:lang w:eastAsia="zh-CN"/>
        </w:rPr>
        <w:t>商品住宅</w:t>
      </w:r>
      <w:r>
        <w:rPr>
          <w:rFonts w:hint="eastAsia" w:eastAsia="仿宋_GB2312"/>
          <w:color w:val="auto"/>
          <w:sz w:val="32"/>
          <w:szCs w:val="32"/>
        </w:rPr>
        <w:t>。</w:t>
      </w:r>
    </w:p>
    <w:p>
      <w:pPr>
        <w:spacing w:line="560" w:lineRule="exact"/>
        <w:ind w:firstLine="643" w:firstLineChars="200"/>
        <w:rPr>
          <w:rFonts w:hint="eastAsia"/>
          <w:color w:val="auto"/>
          <w:sz w:val="32"/>
          <w:szCs w:val="32"/>
          <w:lang w:eastAsia="zh-CN"/>
        </w:rPr>
      </w:pPr>
      <w:r>
        <w:rPr>
          <w:rFonts w:hint="eastAsia" w:eastAsia="楷体_GB2312"/>
          <w:b/>
          <w:sz w:val="32"/>
          <w:szCs w:val="32"/>
          <w:lang w:val="en-US" w:eastAsia="zh-CN"/>
        </w:rPr>
        <w:t>2.</w:t>
      </w:r>
      <w:r>
        <w:rPr>
          <w:rFonts w:hint="eastAsia" w:eastAsia="楷体_GB2312"/>
          <w:b/>
          <w:sz w:val="32"/>
          <w:szCs w:val="32"/>
          <w:lang w:eastAsia="zh-CN"/>
        </w:rPr>
        <w:t>丰</w:t>
      </w:r>
      <w:r>
        <w:rPr>
          <w:rFonts w:hint="eastAsia" w:eastAsia="楷体_GB2312"/>
          <w:b/>
          <w:sz w:val="32"/>
          <w:szCs w:val="32"/>
          <w:lang w:val="en-US" w:eastAsia="zh-CN"/>
        </w:rPr>
        <w:t>2024-16</w:t>
      </w:r>
      <w:r>
        <w:rPr>
          <w:rFonts w:hint="eastAsia" w:eastAsia="楷体_GB2312"/>
          <w:b/>
          <w:sz w:val="32"/>
          <w:szCs w:val="32"/>
          <w:lang w:eastAsia="zh-CN"/>
        </w:rPr>
        <w:t>号地块。</w:t>
      </w:r>
      <w:r>
        <w:rPr>
          <w:rFonts w:hint="eastAsia"/>
          <w:color w:val="auto"/>
          <w:sz w:val="32"/>
          <w:szCs w:val="32"/>
          <w:lang w:eastAsia="zh-CN"/>
        </w:rPr>
        <w:t>该宗地即</w:t>
      </w:r>
      <w:r>
        <w:rPr>
          <w:rFonts w:hint="eastAsia"/>
          <w:color w:val="auto"/>
          <w:sz w:val="32"/>
          <w:szCs w:val="32"/>
          <w:lang w:val="en-US" w:eastAsia="zh-CN"/>
        </w:rPr>
        <w:t>2024-29号</w:t>
      </w:r>
      <w:r>
        <w:rPr>
          <w:rFonts w:hint="eastAsia"/>
          <w:color w:val="auto"/>
          <w:sz w:val="32"/>
          <w:szCs w:val="32"/>
          <w:lang w:eastAsia="zh-CN"/>
        </w:rPr>
        <w:t>储备用地，位于丰泽区东海街道，中央活力区一期滨城大街南侧、经八路东侧、经九路西侧，用地面积17754.16平方米（约合</w:t>
      </w:r>
      <w:r>
        <w:rPr>
          <w:rFonts w:hint="eastAsia"/>
          <w:color w:val="auto"/>
          <w:sz w:val="32"/>
          <w:szCs w:val="32"/>
          <w:lang w:val="en-US" w:eastAsia="zh-CN"/>
        </w:rPr>
        <w:t>26.6</w:t>
      </w:r>
      <w:r>
        <w:rPr>
          <w:rFonts w:hint="eastAsia"/>
          <w:color w:val="auto"/>
          <w:sz w:val="32"/>
          <w:szCs w:val="32"/>
          <w:lang w:eastAsia="zh-CN"/>
        </w:rPr>
        <w:t>亩），沿经八路建设40米宽绿化带（约3842.47平方米，不纳入规划指标计算基数）。规划用途为二类城镇住宅用地。主要技术指标：容积率3.1以下</w:t>
      </w:r>
      <w:r>
        <w:rPr>
          <w:rFonts w:hint="eastAsia"/>
          <w:color w:val="auto"/>
          <w:sz w:val="32"/>
          <w:szCs w:val="32"/>
          <w:lang w:val="en-US" w:eastAsia="zh-CN"/>
        </w:rPr>
        <w:t>1.0以上</w:t>
      </w:r>
      <w:r>
        <w:rPr>
          <w:rFonts w:hint="eastAsia"/>
          <w:color w:val="auto"/>
          <w:sz w:val="32"/>
          <w:szCs w:val="32"/>
          <w:lang w:eastAsia="zh-CN"/>
        </w:rPr>
        <w:t>，建筑密度30%以下，绿地率30%以上，建筑高度80米以下。主要建设内容为安置型商品房。</w:t>
      </w:r>
    </w:p>
    <w:p>
      <w:pPr>
        <w:spacing w:line="520" w:lineRule="exact"/>
        <w:ind w:firstLine="640" w:firstLineChars="200"/>
        <w:rPr>
          <w:rFonts w:hint="eastAsia"/>
          <w:color w:val="auto"/>
          <w:sz w:val="32"/>
          <w:szCs w:val="32"/>
          <w:lang w:val="en-US" w:eastAsia="zh-CN"/>
        </w:rPr>
      </w:pPr>
      <w:r>
        <w:rPr>
          <w:rFonts w:hint="eastAsia"/>
          <w:color w:val="auto"/>
          <w:sz w:val="32"/>
          <w:szCs w:val="32"/>
          <w:lang w:val="en-US" w:eastAsia="zh-CN"/>
        </w:rPr>
        <w:t>3.</w:t>
      </w:r>
      <w:r>
        <w:rPr>
          <w:rFonts w:hint="eastAsia" w:eastAsia="楷体_GB2312"/>
          <w:b/>
          <w:sz w:val="32"/>
          <w:szCs w:val="32"/>
        </w:rPr>
        <w:t>丰</w:t>
      </w:r>
      <w:r>
        <w:rPr>
          <w:rFonts w:hint="eastAsia" w:eastAsia="楷体_GB2312"/>
          <w:b/>
          <w:sz w:val="32"/>
          <w:szCs w:val="32"/>
          <w:lang w:val="en-US" w:eastAsia="zh-CN"/>
        </w:rPr>
        <w:t>2024-17</w:t>
      </w:r>
      <w:r>
        <w:rPr>
          <w:rFonts w:hint="eastAsia" w:eastAsia="楷体_GB2312"/>
          <w:b/>
          <w:sz w:val="32"/>
          <w:szCs w:val="32"/>
        </w:rPr>
        <w:t>号地块</w:t>
      </w:r>
      <w:r>
        <w:rPr>
          <w:rFonts w:eastAsia="楷体_GB2312"/>
          <w:b/>
          <w:sz w:val="32"/>
          <w:szCs w:val="32"/>
        </w:rPr>
        <w:t>。</w:t>
      </w:r>
      <w:r>
        <w:rPr>
          <w:rFonts w:eastAsia="仿宋_GB2312"/>
          <w:sz w:val="32"/>
          <w:szCs w:val="32"/>
        </w:rPr>
        <w:t>该宗地即</w:t>
      </w:r>
      <w:r>
        <w:rPr>
          <w:rFonts w:hint="eastAsia" w:eastAsia="仿宋_GB2312"/>
          <w:color w:val="auto"/>
          <w:sz w:val="32"/>
          <w:szCs w:val="32"/>
          <w:lang w:val="en-US" w:eastAsia="zh-CN"/>
        </w:rPr>
        <w:t>2024-30号</w:t>
      </w:r>
      <w:r>
        <w:rPr>
          <w:rFonts w:eastAsia="仿宋_GB2312"/>
          <w:sz w:val="32"/>
          <w:szCs w:val="32"/>
        </w:rPr>
        <w:t>储备用地，</w:t>
      </w:r>
      <w:r>
        <w:rPr>
          <w:rFonts w:hint="eastAsia" w:eastAsia="仿宋_GB2312"/>
          <w:sz w:val="32"/>
          <w:szCs w:val="32"/>
          <w:lang w:eastAsia="zh-CN"/>
        </w:rPr>
        <w:t>位于</w:t>
      </w:r>
      <w:r>
        <w:rPr>
          <w:rFonts w:hint="eastAsia" w:eastAsia="仿宋_GB2312"/>
          <w:sz w:val="32"/>
          <w:szCs w:val="32"/>
        </w:rPr>
        <w:t>丰泽区东海街道，中央活力区二期大兴街北侧、经十一路东侧、经十二路西侧，用地面积28618.1平方米(约合42.92亩），其中住宅用地24068.5平方米，幼儿园用地4549.6平方米。规划用途</w:t>
      </w:r>
      <w:r>
        <w:rPr>
          <w:rFonts w:hint="eastAsia" w:eastAsia="仿宋_GB2312"/>
          <w:sz w:val="32"/>
          <w:szCs w:val="32"/>
          <w:lang w:eastAsia="zh-CN"/>
        </w:rPr>
        <w:t>为</w:t>
      </w:r>
      <w:r>
        <w:rPr>
          <w:rFonts w:hint="eastAsia" w:eastAsia="仿宋_GB2312"/>
          <w:sz w:val="32"/>
          <w:szCs w:val="32"/>
        </w:rPr>
        <w:t>二类城镇住宅用地和幼儿园用地。主要技术指标：住宅容积率3.1以下1.0以上，幼儿园容积率0.8以上；住宅建筑密度30%以下，幼儿园建筑密度35%以下；绿地率30%以上</w:t>
      </w:r>
      <w:r>
        <w:rPr>
          <w:rFonts w:hint="eastAsia" w:eastAsia="仿宋_GB2312"/>
          <w:sz w:val="32"/>
          <w:szCs w:val="32"/>
          <w:lang w:eastAsia="zh-CN"/>
        </w:rPr>
        <w:t>；住宅建筑</w:t>
      </w:r>
      <w:r>
        <w:rPr>
          <w:rFonts w:hint="eastAsia" w:eastAsia="仿宋_GB2312"/>
          <w:sz w:val="32"/>
          <w:szCs w:val="32"/>
        </w:rPr>
        <w:t>高度80米以下</w:t>
      </w:r>
      <w:r>
        <w:rPr>
          <w:rFonts w:hint="eastAsia" w:eastAsia="仿宋_GB2312"/>
          <w:sz w:val="32"/>
          <w:szCs w:val="32"/>
          <w:lang w:eastAsia="zh-CN"/>
        </w:rPr>
        <w:t>，幼儿园</w:t>
      </w:r>
      <w:r>
        <w:rPr>
          <w:rFonts w:hint="eastAsia" w:eastAsia="仿宋_GB2312"/>
          <w:sz w:val="32"/>
          <w:szCs w:val="32"/>
          <w:lang w:val="en-US" w:eastAsia="zh-CN"/>
        </w:rPr>
        <w:t>24米以下</w:t>
      </w:r>
      <w:r>
        <w:rPr>
          <w:rFonts w:hint="eastAsia" w:eastAsia="仿宋_GB2312"/>
          <w:sz w:val="32"/>
          <w:szCs w:val="32"/>
        </w:rPr>
        <w:t>。主要建设内容为安置型商品房和幼儿园。</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1.</w:t>
      </w:r>
      <w:r>
        <w:rPr>
          <w:rFonts w:hint="eastAsia" w:eastAsia="仿宋_GB2312"/>
          <w:sz w:val="32"/>
          <w:szCs w:val="32"/>
          <w:lang w:eastAsia="zh-CN"/>
        </w:rPr>
        <w:t>上述</w:t>
      </w:r>
      <w:r>
        <w:rPr>
          <w:rFonts w:eastAsia="仿宋_GB2312"/>
          <w:sz w:val="32"/>
          <w:szCs w:val="32"/>
        </w:rPr>
        <w:t>地块竞买申请人须具有房地产开发资质。</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2.</w:t>
      </w:r>
      <w:r>
        <w:rPr>
          <w:rFonts w:hint="eastAsia" w:eastAsia="仿宋_GB2312"/>
          <w:sz w:val="32"/>
          <w:szCs w:val="32"/>
        </w:rPr>
        <w:t>丰202</w:t>
      </w:r>
      <w:r>
        <w:rPr>
          <w:rFonts w:hint="eastAsia" w:eastAsia="仿宋_GB2312"/>
          <w:sz w:val="32"/>
          <w:szCs w:val="32"/>
          <w:lang w:val="en-US" w:eastAsia="zh-CN"/>
        </w:rPr>
        <w:t>4-19</w:t>
      </w:r>
      <w:r>
        <w:rPr>
          <w:rFonts w:hint="eastAsia" w:eastAsia="仿宋_GB2312"/>
          <w:sz w:val="32"/>
          <w:szCs w:val="32"/>
        </w:rPr>
        <w:t>号</w:t>
      </w:r>
      <w:r>
        <w:rPr>
          <w:rFonts w:eastAsia="仿宋_GB2312"/>
          <w:sz w:val="32"/>
          <w:szCs w:val="32"/>
        </w:rPr>
        <w:t>地块竞得人须按有关规范要求配套建设相应的公共配套服务设施，包括：</w:t>
      </w:r>
      <w:r>
        <w:rPr>
          <w:rFonts w:hint="eastAsia" w:eastAsia="仿宋_GB2312"/>
          <w:color w:val="auto"/>
          <w:sz w:val="32"/>
          <w:szCs w:val="32"/>
        </w:rPr>
        <w:t>居家养老服务站</w:t>
      </w:r>
      <w:r>
        <w:rPr>
          <w:rFonts w:eastAsia="仿宋_GB2312"/>
          <w:color w:val="auto"/>
          <w:sz w:val="32"/>
          <w:szCs w:val="32"/>
        </w:rPr>
        <w:t>等</w:t>
      </w:r>
      <w:r>
        <w:rPr>
          <w:rFonts w:hint="eastAsia" w:eastAsia="仿宋_GB2312"/>
          <w:color w:val="auto"/>
          <w:sz w:val="32"/>
          <w:szCs w:val="32"/>
        </w:rPr>
        <w:t>设施</w:t>
      </w:r>
      <w:r>
        <w:rPr>
          <w:rFonts w:hint="eastAsia" w:eastAsia="仿宋_GB2312"/>
          <w:sz w:val="32"/>
          <w:szCs w:val="32"/>
        </w:rPr>
        <w:t>[具体规划要求详见《泉州市自然资源和规划局关于下</w:t>
      </w:r>
      <w:r>
        <w:rPr>
          <w:rFonts w:hint="eastAsia" w:eastAsia="仿宋_GB2312"/>
          <w:color w:val="auto"/>
          <w:sz w:val="32"/>
          <w:szCs w:val="32"/>
        </w:rPr>
        <w:t>达</w:t>
      </w:r>
      <w:r>
        <w:rPr>
          <w:rFonts w:hint="eastAsia" w:eastAsia="仿宋_GB2312"/>
          <w:color w:val="auto"/>
          <w:sz w:val="32"/>
          <w:szCs w:val="32"/>
          <w:lang w:val="en-US" w:eastAsia="zh-CN"/>
        </w:rPr>
        <w:t>2024-28</w:t>
      </w:r>
      <w:r>
        <w:rPr>
          <w:rFonts w:hint="eastAsia" w:eastAsia="仿宋_GB2312"/>
          <w:color w:val="auto"/>
          <w:sz w:val="32"/>
          <w:szCs w:val="32"/>
        </w:rPr>
        <w:t>号</w:t>
      </w:r>
      <w:r>
        <w:rPr>
          <w:rFonts w:hint="eastAsia" w:eastAsia="仿宋_GB2312"/>
          <w:sz w:val="32"/>
          <w:szCs w:val="32"/>
        </w:rPr>
        <w:t>储备用地规划条件</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color w:val="auto"/>
          <w:sz w:val="32"/>
          <w:szCs w:val="32"/>
        </w:rPr>
        <w:t>（泉资规〔202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190</w:t>
      </w:r>
      <w:r>
        <w:rPr>
          <w:rFonts w:hint="eastAsia" w:eastAsia="仿宋_GB2312"/>
          <w:color w:val="auto"/>
          <w:sz w:val="32"/>
          <w:szCs w:val="32"/>
        </w:rPr>
        <w:t>号）]</w:t>
      </w:r>
      <w:r>
        <w:rPr>
          <w:rFonts w:eastAsia="仿宋_GB2312"/>
          <w:color w:val="auto"/>
          <w:sz w:val="32"/>
          <w:szCs w:val="32"/>
        </w:rPr>
        <w:t>，且上</w:t>
      </w:r>
      <w:r>
        <w:rPr>
          <w:rFonts w:eastAsia="仿宋_GB2312"/>
          <w:sz w:val="32"/>
          <w:szCs w:val="32"/>
        </w:rPr>
        <w:t>述公共配套服务设施应相对集中布置在交通便利、方便群众使用的地方，与项目主体建筑同时设计、</w:t>
      </w:r>
      <w:r>
        <w:rPr>
          <w:rFonts w:hint="eastAsia" w:ascii="仿宋_GB2312" w:hAnsi="仿宋_GB2312" w:eastAsia="仿宋_GB2312" w:cs="仿宋_GB2312"/>
          <w:sz w:val="32"/>
          <w:szCs w:val="32"/>
        </w:rPr>
        <w:t>同时建设，否则住建部门不予核发预售证，</w:t>
      </w:r>
      <w:r>
        <w:rPr>
          <w:rFonts w:eastAsia="仿宋_GB2312"/>
          <w:sz w:val="32"/>
          <w:szCs w:val="32"/>
        </w:rPr>
        <w:t>建成后无偿将产权、使用权移交给政府指定</w:t>
      </w:r>
      <w:r>
        <w:rPr>
          <w:rFonts w:eastAsia="仿宋_GB2312"/>
          <w:spacing w:val="6"/>
          <w:sz w:val="32"/>
          <w:szCs w:val="32"/>
        </w:rPr>
        <w:t>的有权机构</w:t>
      </w:r>
      <w:r>
        <w:rPr>
          <w:rFonts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3.</w:t>
      </w:r>
      <w:r>
        <w:rPr>
          <w:rFonts w:hint="eastAsia" w:eastAsia="仿宋_GB2312"/>
          <w:sz w:val="32"/>
          <w:szCs w:val="32"/>
        </w:rPr>
        <w:t>丰202</w:t>
      </w:r>
      <w:r>
        <w:rPr>
          <w:rFonts w:hint="eastAsia" w:eastAsia="仿宋_GB2312"/>
          <w:sz w:val="32"/>
          <w:szCs w:val="32"/>
          <w:lang w:val="en-US" w:eastAsia="zh-CN"/>
        </w:rPr>
        <w:t>4-16</w:t>
      </w:r>
      <w:r>
        <w:rPr>
          <w:rFonts w:hint="eastAsia" w:eastAsia="仿宋_GB2312"/>
          <w:sz w:val="32"/>
          <w:szCs w:val="32"/>
        </w:rPr>
        <w:t>号</w:t>
      </w:r>
      <w:r>
        <w:rPr>
          <w:rFonts w:eastAsia="仿宋_GB2312"/>
          <w:sz w:val="32"/>
          <w:szCs w:val="32"/>
        </w:rPr>
        <w:t>地块竞得人须按有关规范要求配套建设相应的公共配套服务设施，包括：</w:t>
      </w:r>
      <w:r>
        <w:rPr>
          <w:rFonts w:hint="eastAsia" w:eastAsia="仿宋_GB2312"/>
          <w:color w:val="auto"/>
          <w:sz w:val="32"/>
          <w:szCs w:val="32"/>
        </w:rPr>
        <w:t>居家养老服务站</w:t>
      </w:r>
      <w:r>
        <w:rPr>
          <w:rFonts w:eastAsia="仿宋_GB2312"/>
          <w:color w:val="auto"/>
          <w:sz w:val="32"/>
          <w:szCs w:val="32"/>
        </w:rPr>
        <w:t>等</w:t>
      </w:r>
      <w:r>
        <w:rPr>
          <w:rFonts w:hint="eastAsia" w:eastAsia="仿宋_GB2312"/>
          <w:color w:val="auto"/>
          <w:sz w:val="32"/>
          <w:szCs w:val="32"/>
        </w:rPr>
        <w:t>设施</w:t>
      </w:r>
      <w:r>
        <w:rPr>
          <w:rFonts w:hint="eastAsia" w:eastAsia="仿宋_GB2312"/>
          <w:sz w:val="32"/>
          <w:szCs w:val="32"/>
        </w:rPr>
        <w:t>[具体规划要求详见《泉州市自然资源和规划局关于下</w:t>
      </w:r>
      <w:r>
        <w:rPr>
          <w:rFonts w:hint="eastAsia" w:eastAsia="仿宋_GB2312"/>
          <w:color w:val="auto"/>
          <w:sz w:val="32"/>
          <w:szCs w:val="32"/>
        </w:rPr>
        <w:t>达</w:t>
      </w:r>
      <w:r>
        <w:rPr>
          <w:rFonts w:hint="eastAsia" w:eastAsia="仿宋_GB2312"/>
          <w:color w:val="auto"/>
          <w:sz w:val="32"/>
          <w:szCs w:val="32"/>
          <w:lang w:val="en-US" w:eastAsia="zh-CN"/>
        </w:rPr>
        <w:t>2024-29</w:t>
      </w:r>
      <w:r>
        <w:rPr>
          <w:rFonts w:hint="eastAsia" w:eastAsia="仿宋_GB2312"/>
          <w:color w:val="auto"/>
          <w:sz w:val="32"/>
          <w:szCs w:val="32"/>
        </w:rPr>
        <w:t>号</w:t>
      </w:r>
      <w:r>
        <w:rPr>
          <w:rFonts w:hint="eastAsia" w:eastAsia="仿宋_GB2312"/>
          <w:sz w:val="32"/>
          <w:szCs w:val="32"/>
        </w:rPr>
        <w:t>储备用地规划条件的通知》</w:t>
      </w:r>
      <w:r>
        <w:rPr>
          <w:rFonts w:hint="eastAsia" w:eastAsia="仿宋_GB2312"/>
          <w:color w:val="auto"/>
          <w:sz w:val="32"/>
          <w:szCs w:val="32"/>
        </w:rPr>
        <w:t>（泉</w:t>
      </w:r>
      <w:r>
        <w:rPr>
          <w:rFonts w:hint="default" w:ascii="Times New Roman" w:hAnsi="Times New Roman" w:eastAsia="仿宋_GB2312" w:cs="Times New Roman"/>
          <w:color w:val="auto"/>
          <w:sz w:val="32"/>
          <w:szCs w:val="32"/>
        </w:rPr>
        <w:t>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191</w:t>
      </w:r>
      <w:r>
        <w:rPr>
          <w:rFonts w:hint="eastAsia" w:eastAsia="仿宋_GB2312"/>
          <w:color w:val="auto"/>
          <w:sz w:val="32"/>
          <w:szCs w:val="32"/>
        </w:rPr>
        <w:t>号）]</w:t>
      </w:r>
      <w:r>
        <w:rPr>
          <w:rFonts w:eastAsia="仿宋_GB2312"/>
          <w:color w:val="auto"/>
          <w:sz w:val="32"/>
          <w:szCs w:val="32"/>
        </w:rPr>
        <w:t>，且上</w:t>
      </w:r>
      <w:r>
        <w:rPr>
          <w:rFonts w:eastAsia="仿宋_GB2312"/>
          <w:sz w:val="32"/>
          <w:szCs w:val="32"/>
        </w:rPr>
        <w:t>述公共配套服务设施应相对集中布置在交通便利、方便群众使用的地方，与项目主体建筑同时设计、</w:t>
      </w:r>
      <w:r>
        <w:rPr>
          <w:rFonts w:hint="eastAsia" w:ascii="仿宋_GB2312" w:hAnsi="仿宋_GB2312" w:eastAsia="仿宋_GB2312" w:cs="仿宋_GB2312"/>
          <w:sz w:val="32"/>
          <w:szCs w:val="32"/>
        </w:rPr>
        <w:t>同时建设，否则住建部门不予核发预售证，</w:t>
      </w:r>
      <w:r>
        <w:rPr>
          <w:rFonts w:eastAsia="仿宋_GB2312"/>
          <w:sz w:val="32"/>
          <w:szCs w:val="32"/>
        </w:rPr>
        <w:t>建成后无偿将产权、使用权移交给政府指定</w:t>
      </w:r>
      <w:r>
        <w:rPr>
          <w:rFonts w:eastAsia="仿宋_GB2312"/>
          <w:spacing w:val="6"/>
          <w:sz w:val="32"/>
          <w:szCs w:val="32"/>
        </w:rPr>
        <w:t>的有权机构</w:t>
      </w:r>
      <w:r>
        <w:rPr>
          <w:rFonts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4.</w:t>
      </w:r>
      <w:r>
        <w:rPr>
          <w:rFonts w:hint="eastAsia" w:eastAsia="仿宋_GB2312"/>
          <w:sz w:val="32"/>
          <w:szCs w:val="32"/>
        </w:rPr>
        <w:t>丰202</w:t>
      </w:r>
      <w:r>
        <w:rPr>
          <w:rFonts w:hint="eastAsia" w:eastAsia="仿宋_GB2312"/>
          <w:sz w:val="32"/>
          <w:szCs w:val="32"/>
          <w:lang w:val="en-US" w:eastAsia="zh-CN"/>
        </w:rPr>
        <w:t>4-17</w:t>
      </w:r>
      <w:r>
        <w:rPr>
          <w:rFonts w:hint="eastAsia" w:eastAsia="仿宋_GB2312"/>
          <w:sz w:val="32"/>
          <w:szCs w:val="32"/>
        </w:rPr>
        <w:t>号</w:t>
      </w:r>
      <w:r>
        <w:rPr>
          <w:rFonts w:eastAsia="仿宋_GB2312"/>
          <w:sz w:val="32"/>
          <w:szCs w:val="32"/>
        </w:rPr>
        <w:t>地块竞得人须按有关规范要求配套建设相应的公共配套服务设施，包括：</w:t>
      </w:r>
      <w:r>
        <w:rPr>
          <w:rFonts w:hint="eastAsia" w:eastAsia="仿宋_GB2312"/>
          <w:sz w:val="32"/>
          <w:szCs w:val="32"/>
          <w:lang w:eastAsia="zh-CN"/>
        </w:rPr>
        <w:t>社区管理服务用房、</w:t>
      </w:r>
      <w:r>
        <w:rPr>
          <w:rFonts w:hint="eastAsia" w:eastAsia="仿宋_GB2312"/>
          <w:color w:val="auto"/>
          <w:sz w:val="32"/>
          <w:szCs w:val="32"/>
        </w:rPr>
        <w:t>居家养老服务站</w:t>
      </w:r>
      <w:r>
        <w:rPr>
          <w:rFonts w:hint="eastAsia" w:eastAsia="仿宋_GB2312"/>
          <w:color w:val="auto"/>
          <w:sz w:val="32"/>
          <w:szCs w:val="32"/>
          <w:lang w:eastAsia="zh-CN"/>
        </w:rPr>
        <w:t>、幼儿园</w:t>
      </w:r>
      <w:r>
        <w:rPr>
          <w:rFonts w:eastAsia="仿宋_GB2312"/>
          <w:color w:val="auto"/>
          <w:sz w:val="32"/>
          <w:szCs w:val="32"/>
        </w:rPr>
        <w:t>等</w:t>
      </w:r>
      <w:r>
        <w:rPr>
          <w:rFonts w:hint="eastAsia" w:eastAsia="仿宋_GB2312"/>
          <w:color w:val="auto"/>
          <w:sz w:val="32"/>
          <w:szCs w:val="32"/>
        </w:rPr>
        <w:t>设施</w:t>
      </w:r>
      <w:r>
        <w:rPr>
          <w:rFonts w:hint="eastAsia" w:eastAsia="仿宋_GB2312"/>
          <w:sz w:val="32"/>
          <w:szCs w:val="32"/>
        </w:rPr>
        <w:t>[具体规划要求详见《泉州市自然资源和规划局关于下</w:t>
      </w:r>
      <w:r>
        <w:rPr>
          <w:rFonts w:hint="eastAsia" w:eastAsia="仿宋_GB2312"/>
          <w:color w:val="auto"/>
          <w:sz w:val="32"/>
          <w:szCs w:val="32"/>
        </w:rPr>
        <w:t>达</w:t>
      </w:r>
      <w:r>
        <w:rPr>
          <w:rFonts w:hint="eastAsia" w:eastAsia="仿宋_GB2312"/>
          <w:color w:val="auto"/>
          <w:sz w:val="32"/>
          <w:szCs w:val="32"/>
          <w:lang w:val="en-US" w:eastAsia="zh-CN"/>
        </w:rPr>
        <w:t>2024-30</w:t>
      </w:r>
      <w:r>
        <w:rPr>
          <w:rFonts w:hint="eastAsia" w:eastAsia="仿宋_GB2312"/>
          <w:color w:val="auto"/>
          <w:sz w:val="32"/>
          <w:szCs w:val="32"/>
        </w:rPr>
        <w:t>号</w:t>
      </w:r>
      <w:r>
        <w:rPr>
          <w:rFonts w:hint="eastAsia" w:eastAsia="仿宋_GB2312"/>
          <w:sz w:val="32"/>
          <w:szCs w:val="32"/>
        </w:rPr>
        <w:t>储备用地规划条件的通知》</w:t>
      </w:r>
      <w:r>
        <w:rPr>
          <w:rFonts w:hint="eastAsia" w:eastAsia="仿宋_GB2312"/>
          <w:color w:val="auto"/>
          <w:sz w:val="32"/>
          <w:szCs w:val="32"/>
        </w:rPr>
        <w:t>（泉</w:t>
      </w:r>
      <w:r>
        <w:rPr>
          <w:rFonts w:hint="default" w:ascii="Times New Roman" w:hAnsi="Times New Roman" w:eastAsia="仿宋_GB2312" w:cs="Times New Roman"/>
          <w:color w:val="auto"/>
          <w:sz w:val="32"/>
          <w:szCs w:val="32"/>
        </w:rPr>
        <w:t>资规〔202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19</w:t>
      </w:r>
      <w:r>
        <w:rPr>
          <w:rFonts w:hint="eastAsia" w:ascii="Times New Roman" w:hAnsi="Times New Roman" w:eastAsia="仿宋_GB2312" w:cs="Times New Roman"/>
          <w:color w:val="auto"/>
          <w:sz w:val="32"/>
          <w:szCs w:val="32"/>
          <w:lang w:val="en-US" w:eastAsia="zh-CN"/>
        </w:rPr>
        <w:t>2</w:t>
      </w:r>
      <w:r>
        <w:rPr>
          <w:rFonts w:hint="eastAsia" w:eastAsia="仿宋_GB2312"/>
          <w:color w:val="auto"/>
          <w:sz w:val="32"/>
          <w:szCs w:val="32"/>
        </w:rPr>
        <w:t>号）]</w:t>
      </w:r>
      <w:r>
        <w:rPr>
          <w:rFonts w:eastAsia="仿宋_GB2312"/>
          <w:color w:val="auto"/>
          <w:sz w:val="32"/>
          <w:szCs w:val="32"/>
        </w:rPr>
        <w:t>，且上</w:t>
      </w:r>
      <w:r>
        <w:rPr>
          <w:rFonts w:eastAsia="仿宋_GB2312"/>
          <w:sz w:val="32"/>
          <w:szCs w:val="32"/>
        </w:rPr>
        <w:t>述公共配套服务设施应相对集中布置在交通便利、方便群众使用的地方，与项目主体建筑同时设计、</w:t>
      </w:r>
      <w:r>
        <w:rPr>
          <w:rFonts w:hint="eastAsia" w:ascii="仿宋_GB2312" w:hAnsi="仿宋_GB2312" w:eastAsia="仿宋_GB2312" w:cs="仿宋_GB2312"/>
          <w:sz w:val="32"/>
          <w:szCs w:val="32"/>
        </w:rPr>
        <w:t>同时建设，否则住建部门不予核发预售证，</w:t>
      </w:r>
      <w:r>
        <w:rPr>
          <w:rFonts w:eastAsia="仿宋_GB2312"/>
          <w:sz w:val="32"/>
          <w:szCs w:val="32"/>
        </w:rPr>
        <w:t>建成后无偿将产权、使用权移交给政府指定</w:t>
      </w:r>
      <w:r>
        <w:rPr>
          <w:rFonts w:eastAsia="仿宋_GB2312"/>
          <w:spacing w:val="6"/>
          <w:sz w:val="32"/>
          <w:szCs w:val="32"/>
        </w:rPr>
        <w:t>的有权机构</w:t>
      </w:r>
      <w:r>
        <w:rPr>
          <w:rFonts w:eastAsia="仿宋_GB2312"/>
          <w:sz w:val="32"/>
          <w:szCs w:val="32"/>
        </w:rPr>
        <w:t>。</w:t>
      </w:r>
    </w:p>
    <w:p>
      <w:pPr>
        <w:spacing w:line="560" w:lineRule="exact"/>
        <w:ind w:firstLine="640" w:firstLineChars="200"/>
        <w:rPr>
          <w:rFonts w:eastAsia="仿宋_GB2312"/>
          <w:spacing w:val="6"/>
          <w:sz w:val="32"/>
          <w:szCs w:val="32"/>
        </w:rPr>
      </w:pPr>
      <w:r>
        <w:rPr>
          <w:rFonts w:hint="eastAsia" w:eastAsia="仿宋_GB2312"/>
          <w:sz w:val="32"/>
          <w:szCs w:val="32"/>
          <w:lang w:val="en-US" w:eastAsia="zh-CN"/>
        </w:rPr>
        <w:t>5</w:t>
      </w:r>
      <w:r>
        <w:rPr>
          <w:rFonts w:eastAsia="仿宋_GB2312"/>
          <w:sz w:val="32"/>
          <w:szCs w:val="32"/>
        </w:rPr>
        <w:t>．</w:t>
      </w:r>
      <w:r>
        <w:rPr>
          <w:rFonts w:hint="eastAsia" w:eastAsia="仿宋_GB2312"/>
          <w:color w:val="000000"/>
          <w:sz w:val="32"/>
          <w:szCs w:val="32"/>
          <w:lang w:eastAsia="zh-CN"/>
        </w:rPr>
        <w:t>丰</w:t>
      </w:r>
      <w:r>
        <w:rPr>
          <w:rFonts w:hint="eastAsia" w:eastAsia="仿宋_GB2312"/>
          <w:color w:val="000000"/>
          <w:sz w:val="32"/>
          <w:szCs w:val="32"/>
          <w:lang w:val="en-US" w:eastAsia="zh-CN"/>
        </w:rPr>
        <w:t>2024-16号、丰2024-17号</w:t>
      </w:r>
      <w:r>
        <w:rPr>
          <w:rFonts w:eastAsia="仿宋_GB2312"/>
          <w:color w:val="000000"/>
          <w:sz w:val="32"/>
          <w:szCs w:val="32"/>
        </w:rPr>
        <w:t>地块竞得人应在与我局签订《国有建设用地使用权出让合同》之日起5个工作日内，与</w:t>
      </w:r>
      <w:r>
        <w:rPr>
          <w:rFonts w:hint="eastAsia" w:eastAsia="仿宋_GB2312"/>
          <w:color w:val="000000"/>
          <w:sz w:val="32"/>
          <w:szCs w:val="32"/>
          <w:lang w:eastAsia="zh-CN"/>
        </w:rPr>
        <w:t>泉州市东海投资管理有限公司</w:t>
      </w:r>
      <w:r>
        <w:rPr>
          <w:rFonts w:eastAsia="仿宋_GB2312"/>
          <w:sz w:val="32"/>
          <w:szCs w:val="32"/>
        </w:rPr>
        <w:t>签订</w:t>
      </w:r>
      <w:r>
        <w:rPr>
          <w:rFonts w:hint="eastAsia" w:eastAsia="仿宋_GB2312"/>
          <w:sz w:val="32"/>
          <w:szCs w:val="32"/>
        </w:rPr>
        <w:t>相应地</w:t>
      </w:r>
      <w:r>
        <w:rPr>
          <w:rFonts w:eastAsia="仿宋_GB2312"/>
          <w:sz w:val="32"/>
          <w:szCs w:val="32"/>
        </w:rPr>
        <w:t>块</w:t>
      </w:r>
      <w:r>
        <w:rPr>
          <w:rFonts w:hint="eastAsia" w:eastAsia="仿宋_GB2312"/>
          <w:sz w:val="32"/>
          <w:szCs w:val="32"/>
          <w:lang w:eastAsia="zh-CN"/>
        </w:rPr>
        <w:t>定向定价</w:t>
      </w:r>
      <w:r>
        <w:rPr>
          <w:rFonts w:eastAsia="仿宋_GB2312"/>
          <w:sz w:val="32"/>
          <w:szCs w:val="32"/>
        </w:rPr>
        <w:t>商品房</w:t>
      </w:r>
      <w:r>
        <w:rPr>
          <w:rFonts w:hint="eastAsia" w:eastAsia="仿宋_GB2312"/>
          <w:sz w:val="32"/>
          <w:szCs w:val="32"/>
          <w:lang w:eastAsia="zh-CN"/>
        </w:rPr>
        <w:t>代购</w:t>
      </w:r>
      <w:r>
        <w:rPr>
          <w:rFonts w:eastAsia="仿宋_GB2312"/>
          <w:sz w:val="32"/>
          <w:szCs w:val="32"/>
        </w:rPr>
        <w:t>协议。</w:t>
      </w:r>
      <w:r>
        <w:rPr>
          <w:rFonts w:hint="eastAsia" w:eastAsia="仿宋_GB2312"/>
          <w:sz w:val="32"/>
          <w:szCs w:val="32"/>
        </w:rPr>
        <w:t>定向定价商品房面积由泉州市东海投资管理有限公司全部代购，定向定价商品房代购价为10427元/平方米，地下室停车位代购价为16万元/个（标准车位），车位需先预留不少于100个非人防标准车位供泉州市东海投资管理有限公司代购（根据实际需求结算代购个数）。</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6</w:t>
      </w:r>
      <w:r>
        <w:rPr>
          <w:rFonts w:hint="eastAsia" w:eastAsia="仿宋_GB2312"/>
          <w:sz w:val="32"/>
          <w:szCs w:val="32"/>
        </w:rPr>
        <w:t>.</w:t>
      </w:r>
      <w:r>
        <w:rPr>
          <w:rFonts w:hint="eastAsia" w:eastAsia="仿宋_GB2312"/>
          <w:sz w:val="32"/>
          <w:szCs w:val="32"/>
          <w:lang w:eastAsia="zh-CN"/>
        </w:rPr>
        <w:t>丰</w:t>
      </w:r>
      <w:r>
        <w:rPr>
          <w:rFonts w:hint="eastAsia" w:eastAsia="仿宋_GB2312"/>
          <w:sz w:val="32"/>
          <w:szCs w:val="32"/>
          <w:lang w:val="en-US" w:eastAsia="zh-CN"/>
        </w:rPr>
        <w:t>2024-19号地块</w:t>
      </w:r>
      <w:r>
        <w:rPr>
          <w:rFonts w:hint="eastAsia" w:eastAsia="仿宋_GB2312"/>
          <w:sz w:val="32"/>
          <w:szCs w:val="32"/>
        </w:rPr>
        <w:t>800米范围内规划建设有1所区级小学，1000米范围内规划建设有1所市</w:t>
      </w:r>
      <w:r>
        <w:rPr>
          <w:rFonts w:hint="eastAsia"/>
          <w:sz w:val="32"/>
          <w:szCs w:val="32"/>
          <w:lang w:eastAsia="zh-CN"/>
        </w:rPr>
        <w:t>直</w:t>
      </w:r>
      <w:r>
        <w:rPr>
          <w:rFonts w:hint="eastAsia" w:eastAsia="仿宋_GB2312"/>
          <w:sz w:val="32"/>
          <w:szCs w:val="32"/>
        </w:rPr>
        <w:t>完中。该地块的学区划分需待当年度片区摸底生源数，并结合新建学校投用情况后确定，具体以当年度丰泽区的小学和初中招生政策为准。</w:t>
      </w:r>
    </w:p>
    <w:p>
      <w:pPr>
        <w:widowControl/>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丰2024-16号地块周边800米范围内规划建设有2所小学，1000米范围内规划建设有1所市直完中和1所初中。该地块的学区划分需待当年度片区摸底生源数，并结合新建学校投用情况后确定，具体以当年度丰泽区的小学和初中招生政策为准。</w:t>
      </w:r>
    </w:p>
    <w:p>
      <w:pPr>
        <w:widowControl/>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8.丰2024-17号地块周边800米范围内规划建设有2所小学，1000米范围内规划建设有2所初中。该地块的学区划分需待当年度片区摸底生源数，并结合新建学校投用情况后确定，具体以当年度丰泽区的小学和初中招生政策为准。</w:t>
      </w:r>
    </w:p>
    <w:p>
      <w:pPr>
        <w:widowControl/>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eastAsia" w:eastAsia="仿宋_GB2312"/>
          <w:color w:val="auto"/>
          <w:sz w:val="32"/>
          <w:szCs w:val="32"/>
        </w:rPr>
        <w:t>.</w:t>
      </w:r>
      <w:r>
        <w:rPr>
          <w:rFonts w:hint="eastAsia" w:ascii="Times New Roman" w:hAnsi="Times New Roman" w:eastAsia="仿宋_GB2312" w:cs="Times New Roman"/>
          <w:color w:val="auto"/>
          <w:sz w:val="32"/>
          <w:szCs w:val="32"/>
          <w:lang w:eastAsia="zh-CN"/>
        </w:rPr>
        <w:t>丰</w:t>
      </w:r>
      <w:r>
        <w:rPr>
          <w:rFonts w:hint="eastAsia" w:ascii="Times New Roman" w:hAnsi="Times New Roman" w:eastAsia="仿宋_GB2312" w:cs="Times New Roman"/>
          <w:color w:val="auto"/>
          <w:sz w:val="32"/>
          <w:szCs w:val="32"/>
          <w:lang w:val="en-US" w:eastAsia="zh-CN"/>
        </w:rPr>
        <w:t>2024-17号</w:t>
      </w:r>
      <w:r>
        <w:rPr>
          <w:rFonts w:hint="default" w:ascii="Times New Roman" w:hAnsi="Times New Roman" w:eastAsia="仿宋_GB2312" w:cs="Times New Roman"/>
          <w:color w:val="auto"/>
          <w:sz w:val="32"/>
          <w:szCs w:val="48"/>
          <w:lang w:val="en-US" w:eastAsia="zh-CN"/>
        </w:rPr>
        <w:t>地块</w:t>
      </w:r>
      <w:r>
        <w:rPr>
          <w:rFonts w:hint="default" w:ascii="Times New Roman" w:hAnsi="Times New Roman" w:eastAsia="仿宋_GB2312" w:cs="Times New Roman"/>
          <w:color w:val="auto"/>
          <w:sz w:val="32"/>
          <w:szCs w:val="48"/>
          <w:lang w:eastAsia="zh-CN"/>
        </w:rPr>
        <w:t>配建幼儿园装修标准按室内不低于</w:t>
      </w:r>
      <w:r>
        <w:rPr>
          <w:rFonts w:hint="default" w:ascii="Times New Roman" w:hAnsi="Times New Roman" w:eastAsia="仿宋_GB2312" w:cs="Times New Roman"/>
          <w:color w:val="auto"/>
          <w:sz w:val="32"/>
          <w:szCs w:val="48"/>
          <w:lang w:val="en-US" w:eastAsia="zh-CN"/>
        </w:rPr>
        <w:t>1600元/</w:t>
      </w:r>
      <w:r>
        <w:rPr>
          <w:rFonts w:hint="default" w:ascii="Times New Roman" w:hAnsi="Times New Roman" w:eastAsia="仿宋_GB2312" w:cs="Times New Roman"/>
          <w:color w:val="auto"/>
          <w:sz w:val="32"/>
          <w:szCs w:val="48"/>
          <w:lang w:eastAsia="zh-CN"/>
        </w:rPr>
        <w:t>平方米</w:t>
      </w:r>
      <w:r>
        <w:rPr>
          <w:rFonts w:hint="default" w:ascii="Times New Roman" w:hAnsi="Times New Roman" w:eastAsia="仿宋_GB2312" w:cs="Times New Roman"/>
          <w:color w:val="auto"/>
          <w:sz w:val="32"/>
          <w:szCs w:val="48"/>
          <w:lang w:val="en-US" w:eastAsia="zh-CN"/>
        </w:rPr>
        <w:t>、室外不低于1100元/平方米标准进行建设，且具体装修方案应与丰泽区教育局协商一致，经验收合格后再移交丰泽区教育局。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lang w:val="en-US" w:eastAsia="zh-CN"/>
        </w:rPr>
      </w:pPr>
      <w:r>
        <w:rPr>
          <w:rFonts w:hint="eastAsia" w:eastAsia="仿宋_GB2312"/>
          <w:sz w:val="32"/>
          <w:szCs w:val="32"/>
          <w:lang w:val="en-US" w:eastAsia="zh-CN"/>
        </w:rPr>
        <w:t>10</w:t>
      </w:r>
      <w:r>
        <w:rPr>
          <w:rFonts w:hint="eastAsia" w:eastAsia="仿宋_GB2312"/>
          <w:sz w:val="32"/>
          <w:szCs w:val="32"/>
          <w:lang w:val="en"/>
        </w:rPr>
        <w:t>.</w:t>
      </w:r>
      <w:r>
        <w:rPr>
          <w:rFonts w:hint="eastAsia" w:eastAsia="仿宋_GB2312"/>
          <w:sz w:val="32"/>
          <w:szCs w:val="32"/>
        </w:rPr>
        <w:t>丰</w:t>
      </w:r>
      <w:r>
        <w:rPr>
          <w:rFonts w:hint="eastAsia" w:eastAsia="仿宋_GB2312"/>
          <w:sz w:val="32"/>
          <w:szCs w:val="32"/>
          <w:lang w:val="en-US" w:eastAsia="zh-CN"/>
        </w:rPr>
        <w:t>2024-19</w:t>
      </w:r>
      <w:r>
        <w:rPr>
          <w:rFonts w:hint="eastAsia" w:eastAsia="仿宋_GB2312"/>
          <w:sz w:val="32"/>
          <w:szCs w:val="32"/>
        </w:rPr>
        <w:t>号</w:t>
      </w:r>
      <w:r>
        <w:rPr>
          <w:rFonts w:hint="eastAsia" w:eastAsia="仿宋_GB2312"/>
          <w:color w:val="000000"/>
          <w:sz w:val="32"/>
          <w:szCs w:val="32"/>
        </w:rPr>
        <w:t>地块在办理商品房预售许可（现售备案）时，优先安排10%的房源套数作为高层次人才房源，</w:t>
      </w:r>
      <w:r>
        <w:rPr>
          <w:rFonts w:hint="eastAsia" w:eastAsia="仿宋_GB2312"/>
          <w:color w:val="000000"/>
          <w:sz w:val="32"/>
          <w:szCs w:val="32"/>
          <w:lang w:val="en-US" w:eastAsia="zh-CN"/>
        </w:rPr>
        <w:t>10%的房源套数作为中央活力区政策的配套房源</w:t>
      </w:r>
      <w:r>
        <w:rPr>
          <w:rFonts w:hint="eastAsia" w:eastAsia="仿宋_GB2312"/>
          <w:color w:val="000000"/>
          <w:sz w:val="32"/>
          <w:szCs w:val="32"/>
        </w:rPr>
        <w:t>。</w:t>
      </w:r>
      <w:r>
        <w:rPr>
          <w:rFonts w:hint="eastAsia" w:eastAsia="仿宋_GB2312"/>
          <w:color w:val="000000"/>
          <w:sz w:val="32"/>
          <w:szCs w:val="32"/>
          <w:lang w:eastAsia="zh-CN"/>
        </w:rPr>
        <w:t>认筹总人数若未超过剩余房源套数的</w:t>
      </w:r>
      <w:r>
        <w:rPr>
          <w:rFonts w:hint="eastAsia" w:eastAsia="仿宋_GB2312"/>
          <w:color w:val="000000"/>
          <w:sz w:val="32"/>
          <w:szCs w:val="32"/>
          <w:lang w:val="en-US" w:eastAsia="zh-CN"/>
        </w:rPr>
        <w:t>120%，则由开发企业自行销售；认筹总人数若超过剩余房源套数的120%，则采取</w:t>
      </w:r>
      <w:r>
        <w:rPr>
          <w:rFonts w:hint="eastAsia"/>
          <w:color w:val="000000"/>
          <w:sz w:val="32"/>
          <w:szCs w:val="32"/>
          <w:lang w:val="en-US" w:eastAsia="zh-CN"/>
        </w:rPr>
        <w:t>公证</w:t>
      </w:r>
      <w:r>
        <w:rPr>
          <w:rFonts w:hint="eastAsia" w:eastAsia="仿宋_GB2312"/>
          <w:color w:val="000000"/>
          <w:sz w:val="32"/>
          <w:szCs w:val="32"/>
          <w:lang w:val="en-US" w:eastAsia="zh-CN"/>
        </w:rPr>
        <w:t>摇号销售。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eastAsia="仿宋_GB2312"/>
          <w:sz w:val="32"/>
          <w:szCs w:val="32"/>
          <w:lang w:val="en"/>
        </w:rPr>
      </w:pPr>
      <w:r>
        <w:rPr>
          <w:rFonts w:hint="eastAsia" w:eastAsia="仿宋_GB2312"/>
          <w:sz w:val="32"/>
          <w:szCs w:val="32"/>
          <w:lang w:val="en-US" w:eastAsia="zh-CN"/>
        </w:rPr>
        <w:t>11</w:t>
      </w:r>
      <w:r>
        <w:rPr>
          <w:rFonts w:hint="eastAsia" w:eastAsia="仿宋_GB2312"/>
          <w:sz w:val="32"/>
          <w:szCs w:val="32"/>
        </w:rPr>
        <w:t>.丰</w:t>
      </w:r>
      <w:r>
        <w:rPr>
          <w:rFonts w:hint="eastAsia" w:eastAsia="仿宋_GB2312"/>
          <w:sz w:val="32"/>
          <w:szCs w:val="32"/>
          <w:lang w:val="en-US" w:eastAsia="zh-CN"/>
        </w:rPr>
        <w:t>2024-19</w:t>
      </w:r>
      <w:r>
        <w:rPr>
          <w:rFonts w:hint="eastAsia" w:eastAsia="仿宋_GB2312"/>
          <w:sz w:val="32"/>
          <w:szCs w:val="32"/>
        </w:rPr>
        <w:t>号</w:t>
      </w:r>
      <w:r>
        <w:rPr>
          <w:rFonts w:eastAsia="仿宋_GB2312"/>
          <w:sz w:val="32"/>
          <w:szCs w:val="32"/>
        </w:rPr>
        <w:t>地块竞买人应在竞买申请书中承诺，如竞得地块，在项目建设达到预售条件时，同意该项目商品房的预售价格受政府调控。</w:t>
      </w:r>
      <w:r>
        <w:rPr>
          <w:rFonts w:hint="eastAsia" w:eastAsia="仿宋_GB2312"/>
          <w:sz w:val="32"/>
          <w:szCs w:val="32"/>
          <w:lang w:eastAsia="zh-CN"/>
        </w:rPr>
        <w:t>住宅户型</w:t>
      </w:r>
      <w:r>
        <w:rPr>
          <w:rFonts w:hint="eastAsia" w:eastAsia="仿宋_GB2312"/>
          <w:sz w:val="32"/>
          <w:szCs w:val="32"/>
          <w:lang w:val="en-US" w:eastAsia="zh-CN"/>
        </w:rPr>
        <w:t>144平方米以下的商品销售价格为23800</w:t>
      </w:r>
      <w:r>
        <w:rPr>
          <w:rFonts w:hint="eastAsia" w:eastAsia="仿宋_GB2312"/>
          <w:sz w:val="32"/>
          <w:szCs w:val="32"/>
        </w:rPr>
        <w:t>元/平方米（毛坯）</w:t>
      </w:r>
      <w:r>
        <w:rPr>
          <w:rFonts w:hint="eastAsia" w:eastAsia="仿宋_GB2312"/>
          <w:sz w:val="32"/>
          <w:szCs w:val="32"/>
          <w:lang w:eastAsia="zh-CN"/>
        </w:rPr>
        <w:t>，住宅户型</w:t>
      </w:r>
      <w:r>
        <w:rPr>
          <w:rFonts w:hint="eastAsia" w:eastAsia="仿宋_GB2312"/>
          <w:sz w:val="32"/>
          <w:szCs w:val="32"/>
          <w:lang w:val="en-US" w:eastAsia="zh-CN"/>
        </w:rPr>
        <w:t>144平方米以上的商品销售价格为29900</w:t>
      </w:r>
      <w:r>
        <w:rPr>
          <w:rFonts w:hint="eastAsia" w:eastAsia="仿宋_GB2312"/>
          <w:sz w:val="32"/>
          <w:szCs w:val="32"/>
        </w:rPr>
        <w:t>元/平方米（毛坯）；同时</w:t>
      </w:r>
      <w:r>
        <w:rPr>
          <w:rFonts w:hint="eastAsia" w:eastAsia="仿宋_GB2312"/>
          <w:sz w:val="32"/>
          <w:szCs w:val="32"/>
          <w:lang w:eastAsia="zh-CN"/>
        </w:rPr>
        <w:t>该</w:t>
      </w:r>
      <w:r>
        <w:rPr>
          <w:rFonts w:hint="eastAsia" w:eastAsia="仿宋_GB2312"/>
          <w:sz w:val="32"/>
          <w:szCs w:val="32"/>
        </w:rPr>
        <w:t>项目</w:t>
      </w:r>
      <w:r>
        <w:rPr>
          <w:rFonts w:hint="eastAsia" w:eastAsia="仿宋_GB2312"/>
          <w:sz w:val="32"/>
          <w:szCs w:val="32"/>
          <w:lang w:eastAsia="zh-CN"/>
        </w:rPr>
        <w:t>需安排不少于</w:t>
      </w:r>
      <w:r>
        <w:rPr>
          <w:rFonts w:hint="eastAsia" w:eastAsia="仿宋_GB2312"/>
          <w:sz w:val="32"/>
          <w:szCs w:val="32"/>
          <w:lang w:val="en-US" w:eastAsia="zh-CN"/>
        </w:rPr>
        <w:t>30%的商品住房（整栋）</w:t>
      </w:r>
      <w:r>
        <w:rPr>
          <w:rFonts w:hint="eastAsia" w:eastAsia="仿宋_GB2312"/>
          <w:sz w:val="32"/>
          <w:szCs w:val="32"/>
        </w:rPr>
        <w:t>采取全装修交付，开发企业可根据市场调研情况，在办理预（现）售许可证前确定装修档次（2000元/平方米、3000元/平方米、5000元/平方米）</w:t>
      </w:r>
      <w:r>
        <w:rPr>
          <w:rFonts w:hint="eastAsia" w:eastAsia="仿宋_GB2312"/>
          <w:sz w:val="32"/>
          <w:szCs w:val="32"/>
          <w:lang w:val="e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lang w:val="en"/>
        </w:rPr>
      </w:pPr>
      <w:r>
        <w:rPr>
          <w:rFonts w:hint="eastAsia" w:eastAsia="仿宋_GB2312"/>
          <w:sz w:val="32"/>
          <w:szCs w:val="32"/>
          <w:lang w:val="en-US" w:eastAsia="zh-CN"/>
        </w:rPr>
        <w:t>12</w:t>
      </w:r>
      <w:r>
        <w:rPr>
          <w:rFonts w:hint="eastAsia" w:eastAsia="仿宋_GB2312"/>
          <w:sz w:val="32"/>
          <w:szCs w:val="32"/>
          <w:lang w:val="en"/>
        </w:rPr>
        <w:t>.</w:t>
      </w:r>
      <w:r>
        <w:rPr>
          <w:rFonts w:hint="eastAsia" w:eastAsia="仿宋_GB2312"/>
          <w:sz w:val="32"/>
          <w:szCs w:val="32"/>
        </w:rPr>
        <w:t>丰202</w:t>
      </w:r>
      <w:r>
        <w:rPr>
          <w:rFonts w:hint="eastAsia" w:eastAsia="仿宋_GB2312"/>
          <w:sz w:val="32"/>
          <w:szCs w:val="32"/>
          <w:lang w:val="en-US" w:eastAsia="zh-CN"/>
        </w:rPr>
        <w:t>4-19</w:t>
      </w:r>
      <w:r>
        <w:rPr>
          <w:rFonts w:hint="eastAsia" w:eastAsia="仿宋_GB2312"/>
          <w:sz w:val="32"/>
          <w:szCs w:val="32"/>
        </w:rPr>
        <w:t>号</w:t>
      </w:r>
      <w:r>
        <w:rPr>
          <w:rFonts w:eastAsia="仿宋_GB2312"/>
          <w:sz w:val="32"/>
          <w:szCs w:val="32"/>
        </w:rPr>
        <w:t>地块</w:t>
      </w:r>
      <w:r>
        <w:rPr>
          <w:rFonts w:hint="eastAsia" w:eastAsia="仿宋_GB2312"/>
          <w:sz w:val="32"/>
          <w:szCs w:val="32"/>
          <w:lang w:val="en"/>
        </w:rPr>
        <w:t>装修成本由房地产咨询机构先行进行预估，提供样板房供购房人参观，交付样板房的保留时间，自预售范围内最后一批预售房源交付购房人之日起不少于6个月，装修款全额进入资金监管账号。在房屋全装修交付前，聘请3家中介机构对全装修成本进行审查或评估，由市区两级住建部门组织专家评审确定成本，评估得出的装修成本低于装修档次的，其产生的价差资金全部作为公共维修基金，且购房人可要求开发企业无条件退房及予以赔偿资金利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eastAsia="仿宋_GB2312"/>
          <w:spacing w:val="6"/>
          <w:sz w:val="32"/>
          <w:szCs w:val="32"/>
        </w:rPr>
      </w:pPr>
      <w:r>
        <w:rPr>
          <w:rFonts w:hint="eastAsia" w:eastAsia="仿宋_GB2312"/>
          <w:sz w:val="32"/>
          <w:szCs w:val="32"/>
          <w:lang w:val="en-US" w:eastAsia="zh-CN"/>
        </w:rPr>
        <w:t>13</w:t>
      </w:r>
      <w:r>
        <w:rPr>
          <w:rFonts w:hint="eastAsia" w:eastAsia="仿宋_GB2312"/>
          <w:sz w:val="32"/>
          <w:szCs w:val="32"/>
          <w:lang w:val="en"/>
        </w:rPr>
        <w:t>.丰202</w:t>
      </w:r>
      <w:r>
        <w:rPr>
          <w:rFonts w:hint="eastAsia" w:eastAsia="仿宋_GB2312"/>
          <w:sz w:val="32"/>
          <w:szCs w:val="32"/>
          <w:lang w:val="en-US" w:eastAsia="zh-CN"/>
        </w:rPr>
        <w:t>4-19</w:t>
      </w:r>
      <w:r>
        <w:rPr>
          <w:rFonts w:hint="eastAsia" w:eastAsia="仿宋_GB2312"/>
          <w:sz w:val="32"/>
          <w:szCs w:val="32"/>
          <w:lang w:val="en"/>
        </w:rPr>
        <w:t>号</w:t>
      </w:r>
      <w:r>
        <w:rPr>
          <w:rFonts w:eastAsia="仿宋_GB2312"/>
          <w:sz w:val="32"/>
          <w:szCs w:val="32"/>
        </w:rPr>
        <w:t>地块的可销售房源应全部按程序办理预</w:t>
      </w:r>
      <w:r>
        <w:rPr>
          <w:rFonts w:hint="eastAsia" w:eastAsia="仿宋_GB2312"/>
          <w:sz w:val="32"/>
          <w:szCs w:val="32"/>
          <w:lang w:eastAsia="zh-CN"/>
        </w:rPr>
        <w:t>（</w:t>
      </w:r>
      <w:r>
        <w:rPr>
          <w:rFonts w:hint="eastAsia" w:eastAsia="仿宋_GB2312"/>
          <w:sz w:val="32"/>
          <w:szCs w:val="32"/>
          <w:lang w:val="en-US" w:eastAsia="zh-CN"/>
        </w:rPr>
        <w:t>现）</w:t>
      </w:r>
      <w:r>
        <w:rPr>
          <w:rFonts w:eastAsia="仿宋_GB2312"/>
          <w:sz w:val="32"/>
          <w:szCs w:val="32"/>
        </w:rPr>
        <w:t>售手续并向社会销售。严禁采取“以房抵债”、</w:t>
      </w:r>
      <w:r>
        <w:rPr>
          <w:rFonts w:eastAsia="仿宋_GB2312"/>
          <w:spacing w:val="6"/>
          <w:sz w:val="32"/>
          <w:szCs w:val="32"/>
        </w:rPr>
        <w:t>股东或特定全体垄断房源、办理自有产权等方式逃避公开销售，否则住建部门不予办理合同网签备案，产权登记部门不予办理产权。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仿宋_GB2312"/>
          <w:sz w:val="32"/>
          <w:szCs w:val="32"/>
        </w:rPr>
      </w:pPr>
      <w:r>
        <w:rPr>
          <w:rFonts w:hint="eastAsia" w:eastAsia="仿宋_GB2312"/>
          <w:sz w:val="32"/>
          <w:szCs w:val="32"/>
          <w:lang w:val="en-US" w:eastAsia="zh-CN"/>
        </w:rPr>
        <w:t>14</w:t>
      </w:r>
      <w:r>
        <w:rPr>
          <w:rFonts w:hint="eastAsia" w:eastAsia="仿宋_GB2312"/>
          <w:sz w:val="32"/>
          <w:szCs w:val="32"/>
        </w:rPr>
        <w:t>.</w:t>
      </w:r>
      <w:r>
        <w:rPr>
          <w:rFonts w:hint="eastAsia" w:eastAsia="仿宋_GB2312"/>
          <w:sz w:val="32"/>
          <w:szCs w:val="32"/>
          <w:lang w:eastAsia="zh-CN"/>
        </w:rPr>
        <w:t>上述</w:t>
      </w:r>
      <w:r>
        <w:rPr>
          <w:rFonts w:hint="eastAsia" w:eastAsia="仿宋_GB2312"/>
          <w:sz w:val="32"/>
          <w:szCs w:val="32"/>
        </w:rPr>
        <w:t>地块</w:t>
      </w:r>
      <w:r>
        <w:rPr>
          <w:rFonts w:eastAsia="仿宋_GB2312"/>
          <w:sz w:val="32"/>
          <w:szCs w:val="32"/>
        </w:rPr>
        <w:t>竞买人提交竞买申请书时应同时提交竞买保证金</w:t>
      </w:r>
      <w:r>
        <w:rPr>
          <w:rFonts w:hint="eastAsia" w:eastAsia="仿宋_GB2312"/>
          <w:sz w:val="32"/>
          <w:szCs w:val="32"/>
        </w:rPr>
        <w:t>，</w:t>
      </w:r>
      <w:r>
        <w:rPr>
          <w:rFonts w:eastAsia="仿宋_GB2312"/>
          <w:sz w:val="32"/>
          <w:szCs w:val="32"/>
        </w:rPr>
        <w:t>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w:t>
      </w:r>
      <w:r>
        <w:rPr>
          <w:rFonts w:hint="eastAsia" w:eastAsia="仿宋_GB2312"/>
          <w:sz w:val="32"/>
          <w:szCs w:val="32"/>
        </w:rPr>
        <w:t>退</w:t>
      </w:r>
      <w:r>
        <w:rPr>
          <w:rFonts w:eastAsia="仿宋_GB2312"/>
          <w:sz w:val="32"/>
          <w:szCs w:val="32"/>
        </w:rPr>
        <w:t>还；若竞买人已签订《国有建设用地使用权出让合同》，则《国有建设用地使用权出让合同》一并解除，已缴纳的土地出让价款不予</w:t>
      </w:r>
      <w:r>
        <w:rPr>
          <w:rFonts w:hint="eastAsia" w:eastAsia="仿宋_GB2312"/>
          <w:sz w:val="32"/>
          <w:szCs w:val="32"/>
        </w:rPr>
        <w:t>退</w:t>
      </w:r>
      <w:r>
        <w:rPr>
          <w:rFonts w:eastAsia="仿宋_GB2312"/>
          <w:sz w:val="32"/>
          <w:szCs w:val="32"/>
        </w:rPr>
        <w:t>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eastAsia="仿宋_GB2312"/>
          <w:sz w:val="32"/>
          <w:szCs w:val="32"/>
        </w:rPr>
      </w:pPr>
      <w:r>
        <w:rPr>
          <w:rFonts w:hint="eastAsia" w:ascii="Times New Roman" w:hAnsi="Times New Roman" w:eastAsia="仿宋_GB2312" w:cs="Times New Roman"/>
          <w:color w:val="000000"/>
          <w:sz w:val="32"/>
          <w:szCs w:val="32"/>
          <w:lang w:val="en-US" w:eastAsia="zh-CN"/>
        </w:rPr>
        <w:t>15.上述地块由非泉州市丰泽区的法人竞得的，须在泉州市丰泽区注册成立新公司，所有税收应在当地缴纳。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lang w:val="en-US" w:eastAsia="zh-CN"/>
        </w:rPr>
        <w:t>16</w:t>
      </w:r>
      <w:r>
        <w:rPr>
          <w:rFonts w:hint="eastAsia" w:eastAsia="仿宋_GB2312"/>
          <w:sz w:val="32"/>
          <w:szCs w:val="32"/>
        </w:rPr>
        <w:t>.按照《泉州市人民政府办公室关于印发泉州市2023年促进房地产市场平稳健康发展工作方案的通知》（泉政办</w:t>
      </w:r>
      <w:r>
        <w:rPr>
          <w:rFonts w:eastAsia="仿宋_GB2312"/>
          <w:sz w:val="32"/>
          <w:szCs w:val="32"/>
        </w:rPr>
        <w:t>〔202</w:t>
      </w:r>
      <w:r>
        <w:rPr>
          <w:rFonts w:hint="eastAsia" w:eastAsia="仿宋_GB2312"/>
          <w:sz w:val="32"/>
          <w:szCs w:val="32"/>
        </w:rPr>
        <w:t>3</w:t>
      </w:r>
      <w:r>
        <w:rPr>
          <w:rFonts w:eastAsia="仿宋_GB2312"/>
          <w:sz w:val="32"/>
          <w:szCs w:val="32"/>
        </w:rPr>
        <w:t>〕</w:t>
      </w:r>
      <w:r>
        <w:rPr>
          <w:rFonts w:hint="eastAsia" w:eastAsia="仿宋_GB2312"/>
          <w:sz w:val="32"/>
          <w:szCs w:val="32"/>
        </w:rPr>
        <w:t>11</w:t>
      </w:r>
      <w:r>
        <w:rPr>
          <w:rFonts w:eastAsia="仿宋_GB2312"/>
          <w:sz w:val="32"/>
          <w:szCs w:val="32"/>
        </w:rPr>
        <w:t>号</w:t>
      </w:r>
      <w:r>
        <w:rPr>
          <w:rFonts w:hint="eastAsia" w:eastAsia="仿宋_GB2312"/>
          <w:sz w:val="32"/>
          <w:szCs w:val="32"/>
        </w:rPr>
        <w:t>）要求，上述地块充电桩车位配建比例不低于50%。按照《泉州市住房和城乡建设局等4部门关于规范住宅小区电动汽车充电设施建设管理的通知》（泉建规</w:t>
      </w:r>
      <w:r>
        <w:rPr>
          <w:rFonts w:eastAsia="仿宋_GB2312"/>
          <w:sz w:val="32"/>
          <w:szCs w:val="32"/>
        </w:rPr>
        <w:t>〔202</w:t>
      </w:r>
      <w:r>
        <w:rPr>
          <w:rFonts w:hint="eastAsia" w:eastAsia="仿宋_GB2312"/>
          <w:sz w:val="32"/>
          <w:szCs w:val="32"/>
        </w:rPr>
        <w:t>3</w:t>
      </w:r>
      <w:r>
        <w:rPr>
          <w:rFonts w:eastAsia="仿宋_GB2312"/>
          <w:sz w:val="32"/>
          <w:szCs w:val="32"/>
        </w:rPr>
        <w:t>〕</w:t>
      </w:r>
      <w:r>
        <w:rPr>
          <w:rFonts w:hint="eastAsia" w:eastAsia="仿宋_GB2312"/>
          <w:sz w:val="32"/>
          <w:szCs w:val="32"/>
        </w:rPr>
        <w:t>3</w:t>
      </w:r>
      <w:r>
        <w:rPr>
          <w:rFonts w:eastAsia="仿宋_GB2312"/>
          <w:sz w:val="32"/>
          <w:szCs w:val="32"/>
        </w:rPr>
        <w:t>号</w:t>
      </w:r>
      <w:r>
        <w:rPr>
          <w:rFonts w:hint="eastAsia" w:eastAsia="仿宋_GB2312"/>
          <w:sz w:val="32"/>
          <w:szCs w:val="32"/>
        </w:rPr>
        <w:t>）要求，严格落实新建住宅小区固定车位100%建设充电设施或预留安装条件，预留安装条件时需将管线（含低压电缆、电缆分支箱、计量表箱）和桥架等供电设施建设到车位，以满足直接装表接电需求。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rPr>
        <w:t>1</w:t>
      </w:r>
      <w:r>
        <w:rPr>
          <w:rFonts w:hint="eastAsia" w:eastAsia="仿宋_GB2312"/>
          <w:sz w:val="32"/>
          <w:szCs w:val="32"/>
          <w:lang w:val="en-US" w:eastAsia="zh-CN"/>
        </w:rPr>
        <w:t>7</w:t>
      </w:r>
      <w:r>
        <w:rPr>
          <w:rFonts w:hint="eastAsia" w:eastAsia="仿宋_GB2312"/>
          <w:sz w:val="32"/>
          <w:szCs w:val="32"/>
        </w:rPr>
        <w:t>.</w:t>
      </w:r>
      <w:r>
        <w:rPr>
          <w:rFonts w:eastAsia="仿宋_GB2312"/>
          <w:sz w:val="32"/>
          <w:szCs w:val="32"/>
        </w:rPr>
        <w:t>按照《泉州市住房和城乡建设局等三部门关于加快推动新型建筑工业化发展的通知》（泉建规〔2022〕3号）要求，上述地块的装配式建筑应占新建建筑面积</w:t>
      </w:r>
      <w:r>
        <w:rPr>
          <w:rFonts w:hint="eastAsia" w:eastAsia="仿宋_GB2312"/>
          <w:sz w:val="32"/>
          <w:szCs w:val="32"/>
        </w:rPr>
        <w:t>40</w:t>
      </w:r>
      <w:r>
        <w:rPr>
          <w:rFonts w:eastAsia="仿宋_GB2312"/>
          <w:sz w:val="32"/>
          <w:szCs w:val="32"/>
        </w:rPr>
        <w:t>%以上。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eastAsia="仿宋_GB2312"/>
          <w:sz w:val="32"/>
          <w:szCs w:val="32"/>
        </w:rPr>
      </w:pPr>
      <w:r>
        <w:rPr>
          <w:rFonts w:hint="eastAsia" w:eastAsia="仿宋_GB2312"/>
          <w:sz w:val="32"/>
          <w:szCs w:val="32"/>
        </w:rPr>
        <w:t>1</w:t>
      </w:r>
      <w:r>
        <w:rPr>
          <w:rFonts w:hint="eastAsia" w:eastAsia="仿宋_GB2312"/>
          <w:sz w:val="32"/>
          <w:szCs w:val="32"/>
          <w:lang w:val="en-US" w:eastAsia="zh-CN"/>
        </w:rPr>
        <w:t>8</w:t>
      </w:r>
      <w:r>
        <w:rPr>
          <w:rFonts w:hint="eastAsia" w:eastAsia="仿宋_GB2312"/>
          <w:sz w:val="32"/>
          <w:szCs w:val="32"/>
        </w:rPr>
        <w:t>.</w:t>
      </w:r>
      <w:r>
        <w:rPr>
          <w:rFonts w:eastAsia="仿宋_GB2312"/>
          <w:sz w:val="32"/>
          <w:szCs w:val="32"/>
        </w:rPr>
        <w:t>按照《泉州市人民政府关于印发泉州市促进房地产市场持续健康稳定发展若干意见（2018—2025年）的通知》（泉政文〔2018〕87号）要求，上述地块的建筑单体质量要求达到泉州市优质工程及以上。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6" w:firstLineChars="199"/>
        <w:textAlignment w:val="auto"/>
        <w:outlineLvl w:val="9"/>
        <w:rPr>
          <w:rFonts w:hint="eastAsia" w:ascii="仿宋" w:hAnsi="仿宋" w:eastAsia="仿宋" w:cs="仿宋"/>
          <w:szCs w:val="32"/>
          <w:lang w:val="en-US" w:eastAsia="zh-CN"/>
        </w:rPr>
      </w:pPr>
      <w:r>
        <w:rPr>
          <w:rFonts w:hint="eastAsia" w:eastAsia="仿宋_GB2312"/>
          <w:sz w:val="32"/>
          <w:szCs w:val="32"/>
        </w:rPr>
        <w:t>1</w:t>
      </w:r>
      <w:r>
        <w:rPr>
          <w:rFonts w:hint="eastAsia" w:eastAsia="仿宋_GB2312"/>
          <w:sz w:val="32"/>
          <w:szCs w:val="32"/>
          <w:lang w:val="en-US" w:eastAsia="zh-CN"/>
        </w:rPr>
        <w:t>9</w:t>
      </w:r>
      <w:r>
        <w:rPr>
          <w:rFonts w:hint="eastAsia" w:eastAsia="仿宋_GB2312"/>
          <w:sz w:val="32"/>
          <w:szCs w:val="32"/>
        </w:rPr>
        <w:t>.</w:t>
      </w:r>
      <w:r>
        <w:rPr>
          <w:rFonts w:eastAsia="仿宋_GB2312"/>
          <w:sz w:val="32"/>
          <w:szCs w:val="32"/>
        </w:rPr>
        <w:t>按照《泉州市人民政府办公室转发泉州市住房和城乡建设局</w:t>
      </w:r>
      <w:r>
        <w:rPr>
          <w:rFonts w:hint="eastAsia" w:eastAsia="仿宋_GB2312"/>
          <w:sz w:val="32"/>
          <w:szCs w:val="32"/>
        </w:rPr>
        <w:t xml:space="preserve"> </w:t>
      </w:r>
      <w:r>
        <w:rPr>
          <w:rFonts w:eastAsia="仿宋_GB2312"/>
          <w:sz w:val="32"/>
          <w:szCs w:val="32"/>
        </w:rPr>
        <w:t>泉州市自然资源和规划局关于加强新建商品住宅及商办类建筑建设管理的通知》（泉政办明传〔2021〕75号）要求，上述地块开发建设应符合《新建商品住宅建设品质提升事项》。</w:t>
      </w:r>
      <w:r>
        <w:rPr>
          <w:rFonts w:hint="eastAsia" w:ascii="仿宋" w:hAnsi="仿宋" w:eastAsia="仿宋" w:cs="仿宋"/>
          <w:szCs w:val="32"/>
          <w:lang w:val="en-US" w:eastAsia="zh-CN"/>
        </w:rPr>
        <w:t xml:space="preserve"> </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ascii="Times New Roman" w:eastAsia="仿宋"/>
          <w:color w:val="auto"/>
          <w:szCs w:val="32"/>
        </w:rPr>
      </w:pPr>
      <w:bookmarkStart w:id="0" w:name="_Hlk25847111"/>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w:t>
      </w:r>
      <w:bookmarkEnd w:id="0"/>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11</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丰</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19</w:t>
      </w:r>
      <w:r>
        <w:rPr>
          <w:rFonts w:hint="eastAsia" w:ascii="Times New Roman" w:eastAsia="仿宋"/>
          <w:color w:val="auto"/>
          <w:szCs w:val="32"/>
        </w:rPr>
        <w:t>号</w:t>
      </w:r>
      <w:r>
        <w:rPr>
          <w:rFonts w:ascii="Times New Roman" w:eastAsia="仿宋"/>
          <w:color w:val="auto"/>
          <w:szCs w:val="32"/>
        </w:rPr>
        <w:t>地块的竞买保证金为人民币（大写）</w:t>
      </w:r>
      <w:r>
        <w:rPr>
          <w:rFonts w:hint="eastAsia" w:ascii="仿宋" w:hAnsi="仿宋" w:eastAsia="仿宋" w:cs="仿宋"/>
          <w:color w:val="333333"/>
          <w:szCs w:val="32"/>
          <w:shd w:val="clear" w:color="auto" w:fill="FFFFFF"/>
          <w:lang w:eastAsia="zh-CN"/>
        </w:rPr>
        <w:t>壹亿肆仟贰佰万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142</w:t>
      </w:r>
      <w:r>
        <w:rPr>
          <w:rFonts w:ascii="Times New Roman" w:eastAsia="仿宋"/>
          <w:color w:val="auto"/>
          <w:szCs w:val="32"/>
        </w:rPr>
        <w:t>,000,000.00）</w:t>
      </w:r>
      <w:r>
        <w:rPr>
          <w:rFonts w:hint="eastAsia" w:ascii="Times New Roman" w:eastAsia="仿宋"/>
          <w:color w:val="auto"/>
          <w:szCs w:val="32"/>
        </w:rPr>
        <w:t>。</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丰</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16</w:t>
      </w:r>
      <w:r>
        <w:rPr>
          <w:rFonts w:hint="eastAsia" w:ascii="Times New Roman" w:eastAsia="仿宋"/>
          <w:color w:val="auto"/>
          <w:szCs w:val="32"/>
        </w:rPr>
        <w:t>号</w:t>
      </w:r>
      <w:r>
        <w:rPr>
          <w:rFonts w:ascii="Times New Roman" w:eastAsia="仿宋"/>
          <w:color w:val="auto"/>
          <w:szCs w:val="32"/>
        </w:rPr>
        <w:t>地块的竞买保证金为人民币（大写）</w:t>
      </w:r>
      <w:r>
        <w:rPr>
          <w:rFonts w:hint="eastAsia" w:ascii="仿宋" w:hAnsi="仿宋" w:eastAsia="仿宋" w:cs="仿宋"/>
          <w:color w:val="333333"/>
          <w:szCs w:val="32"/>
          <w:shd w:val="clear" w:color="auto" w:fill="FFFFFF"/>
          <w:lang w:eastAsia="zh-CN"/>
        </w:rPr>
        <w:t>肆仟肆佰万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44</w:t>
      </w:r>
      <w:r>
        <w:rPr>
          <w:rFonts w:ascii="Times New Roman" w:eastAsia="仿宋"/>
          <w:color w:val="auto"/>
          <w:szCs w:val="32"/>
        </w:rPr>
        <w:t>,000,000.00）</w:t>
      </w:r>
      <w:r>
        <w:rPr>
          <w:rFonts w:hint="eastAsia" w:ascii="Times New Roman" w:eastAsia="仿宋"/>
          <w:color w:val="auto"/>
          <w:szCs w:val="32"/>
        </w:rPr>
        <w:t>。</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val="en-US" w:eastAsia="zh-CN"/>
        </w:rPr>
        <w:t xml:space="preserve"> </w:t>
      </w:r>
      <w:r>
        <w:rPr>
          <w:rFonts w:hint="eastAsia" w:ascii="Times New Roman" w:eastAsia="仿宋"/>
          <w:color w:val="auto"/>
          <w:szCs w:val="32"/>
          <w:lang w:eastAsia="zh-CN"/>
        </w:rPr>
        <w:t>丰</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17</w:t>
      </w:r>
      <w:r>
        <w:rPr>
          <w:rFonts w:hint="eastAsia" w:ascii="Times New Roman" w:eastAsia="仿宋"/>
          <w:color w:val="auto"/>
          <w:szCs w:val="32"/>
        </w:rPr>
        <w:t>号</w:t>
      </w:r>
      <w:r>
        <w:rPr>
          <w:rFonts w:ascii="Times New Roman" w:eastAsia="仿宋"/>
          <w:color w:val="auto"/>
          <w:szCs w:val="32"/>
        </w:rPr>
        <w:t>地块的竞买保证金为人民币（大写）</w:t>
      </w:r>
      <w:r>
        <w:rPr>
          <w:rFonts w:hint="eastAsia" w:ascii="仿宋" w:hAnsi="仿宋" w:eastAsia="仿宋" w:cs="仿宋"/>
          <w:color w:val="333333"/>
          <w:szCs w:val="32"/>
          <w:shd w:val="clear" w:color="auto" w:fill="FFFFFF"/>
          <w:lang w:eastAsia="zh-CN"/>
        </w:rPr>
        <w:t>柒仟贰佰万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72</w:t>
      </w:r>
      <w:r>
        <w:rPr>
          <w:rFonts w:ascii="Times New Roman" w:eastAsia="仿宋"/>
          <w:color w:val="auto"/>
          <w:szCs w:val="32"/>
        </w:rPr>
        <w:t>,000,000.00）</w:t>
      </w:r>
      <w:r>
        <w:rPr>
          <w:rFonts w:hint="eastAsia" w:ascii="Times New Roman" w:eastAsia="仿宋"/>
          <w:color w:val="auto"/>
          <w:szCs w:val="32"/>
        </w:rPr>
        <w:t>。</w:t>
      </w:r>
    </w:p>
    <w:p>
      <w:pPr>
        <w:pStyle w:val="2"/>
        <w:ind w:left="0" w:leftChars="0" w:firstLine="0" w:firstLineChars="0"/>
        <w:rPr>
          <w:rFonts w:hint="default" w:eastAsia="仿宋"/>
          <w:lang w:val="en-US" w:eastAsia="zh-CN"/>
        </w:rPr>
      </w:pPr>
    </w:p>
    <w:p>
      <w:pPr>
        <w:pStyle w:val="2"/>
        <w:ind w:left="0" w:leftChars="0" w:firstLine="0" w:firstLineChars="0"/>
        <w:rPr>
          <w:rFonts w:hint="default" w:eastAsia="仿宋"/>
          <w:lang w:val="en-US" w:eastAsia="zh-CN"/>
        </w:rPr>
      </w:pP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11</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lang w:val="en-US" w:eastAsia="zh-CN"/>
        </w:rPr>
        <w:t>20</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泉州市国有建设用地使用权拍卖出让须知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12</w:t>
      </w:r>
      <w:r>
        <w:rPr>
          <w:rFonts w:hint="eastAsia" w:ascii="Times New Roman" w:eastAsia="仿宋"/>
          <w:color w:val="auto"/>
          <w:szCs w:val="32"/>
        </w:rPr>
        <w:t>.</w:t>
      </w:r>
      <w:r>
        <w:rPr>
          <w:rFonts w:ascii="Times New Roman" w:eastAsia="仿宋"/>
          <w:color w:val="auto"/>
          <w:szCs w:val="32"/>
        </w:rPr>
        <w:t>《住宅用地竞买保证金/成交价款来源情况申报表》</w:t>
      </w:r>
    </w:p>
    <w:p>
      <w:pPr>
        <w:spacing w:line="520" w:lineRule="exact"/>
        <w:ind w:firstLine="640" w:firstLineChars="200"/>
        <w:rPr>
          <w:rFonts w:hint="default" w:eastAsia="仿宋"/>
          <w:lang w:val="en-US" w:eastAsia="zh-CN"/>
        </w:rPr>
      </w:pPr>
      <w:r>
        <w:rPr>
          <w:rFonts w:hint="eastAsia" w:ascii="Times New Roman" w:eastAsia="仿宋"/>
          <w:color w:val="auto"/>
          <w:szCs w:val="32"/>
          <w:lang w:val="en-US" w:eastAsia="zh-CN"/>
        </w:rPr>
        <w:t>13.各相关地块定向定价商品房履约协议</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11</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（6）竞买人委托他人办理的，应提交授权委托书及委托代理人的有效身份证明文件；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（5）表明该组织负责人身份的有效证明文件；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（7）拍卖文件规定需要提交的其他文件。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29</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30</w:t>
      </w:r>
      <w:r>
        <w:rPr>
          <w:rFonts w:ascii="Times New Roman" w:eastAsia="仿宋"/>
          <w:color w:val="auto"/>
          <w:szCs w:val="32"/>
        </w:rPr>
        <w:t>日组织竞买人对拟出让地块进行现场踏勘。需由我局派员陪同实地踏勘的，请提前与我局联系（联系电话：0595－</w:t>
      </w:r>
      <w:r>
        <w:rPr>
          <w:rFonts w:hint="eastAsia" w:ascii="Times New Roman" w:eastAsia="仿宋"/>
          <w:color w:val="auto"/>
          <w:szCs w:val="32"/>
        </w:rPr>
        <w:t>22769012</w:t>
      </w:r>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丰</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19</w:t>
      </w:r>
      <w:r>
        <w:rPr>
          <w:rFonts w:ascii="Times New Roman" w:eastAsia="仿宋"/>
          <w:color w:val="auto"/>
          <w:szCs w:val="32"/>
        </w:rPr>
        <w:t>号地块，起叫价为人民币（大写）</w:t>
      </w:r>
      <w:r>
        <w:rPr>
          <w:rFonts w:hint="eastAsia" w:ascii="Times New Roman" w:eastAsia="仿宋"/>
          <w:color w:val="auto"/>
          <w:szCs w:val="32"/>
          <w:lang w:eastAsia="zh-CN"/>
        </w:rPr>
        <w:t>柒亿壹仟万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710</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叁</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val="en-US" w:eastAsia="zh-CN"/>
        </w:rPr>
        <w:t>3</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3</w:t>
      </w:r>
      <w:r>
        <w:rPr>
          <w:rFonts w:hint="eastAsia" w:ascii="Times New Roman" w:eastAsia="仿宋"/>
          <w:color w:val="auto"/>
          <w:szCs w:val="32"/>
        </w:rPr>
        <w:t>00万元整数倍金额。</w:t>
      </w:r>
    </w:p>
    <w:p>
      <w:pPr>
        <w:spacing w:line="520" w:lineRule="exact"/>
        <w:ind w:firstLine="640" w:firstLineChars="200"/>
        <w:rPr>
          <w:rFonts w:hint="eastAsia" w:ascii="Times New Roman" w:eastAsia="仿宋"/>
          <w:color w:val="auto"/>
          <w:szCs w:val="32"/>
        </w:rPr>
      </w:pPr>
      <w:r>
        <w:rPr>
          <w:rFonts w:hint="eastAsia" w:ascii="Times New Roman" w:eastAsia="仿宋"/>
          <w:color w:val="auto"/>
          <w:szCs w:val="32"/>
          <w:lang w:eastAsia="zh-CN"/>
        </w:rPr>
        <w:t>丰</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16</w:t>
      </w:r>
      <w:r>
        <w:rPr>
          <w:rFonts w:ascii="Times New Roman" w:eastAsia="仿宋"/>
          <w:color w:val="auto"/>
          <w:szCs w:val="32"/>
        </w:rPr>
        <w:t>号地块，起叫价为人民币（大写）</w:t>
      </w:r>
      <w:r>
        <w:rPr>
          <w:rFonts w:hint="eastAsia" w:ascii="Times New Roman" w:eastAsia="仿宋"/>
          <w:color w:val="auto"/>
          <w:szCs w:val="32"/>
          <w:lang w:eastAsia="zh-CN"/>
        </w:rPr>
        <w:t>贰亿壹仟捌佰万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218</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壹</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val="en-US" w:eastAsia="zh-CN"/>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1</w:t>
      </w:r>
      <w:r>
        <w:rPr>
          <w:rFonts w:hint="eastAsia" w:ascii="Times New Roman" w:eastAsia="仿宋"/>
          <w:color w:val="auto"/>
          <w:szCs w:val="32"/>
        </w:rPr>
        <w:t>00万元整数倍金额。</w:t>
      </w:r>
    </w:p>
    <w:p>
      <w:pPr>
        <w:spacing w:line="520" w:lineRule="exact"/>
        <w:ind w:firstLine="640" w:firstLineChars="200"/>
      </w:pPr>
      <w:r>
        <w:rPr>
          <w:rFonts w:hint="eastAsia" w:ascii="Times New Roman" w:eastAsia="仿宋"/>
          <w:color w:val="auto"/>
          <w:szCs w:val="32"/>
          <w:lang w:eastAsia="zh-CN"/>
        </w:rPr>
        <w:t>丰</w:t>
      </w:r>
      <w:r>
        <w:rPr>
          <w:rFonts w:hint="eastAsia" w:ascii="Times New Roman" w:eastAsia="仿宋"/>
          <w:color w:val="auto"/>
          <w:szCs w:val="32"/>
        </w:rPr>
        <w:t>202</w:t>
      </w:r>
      <w:r>
        <w:rPr>
          <w:rFonts w:hint="eastAsia" w:ascii="Times New Roman" w:eastAsia="仿宋"/>
          <w:color w:val="auto"/>
          <w:szCs w:val="32"/>
          <w:lang w:val="en-US" w:eastAsia="zh-CN"/>
        </w:rPr>
        <w:t>4</w:t>
      </w:r>
      <w:r>
        <w:rPr>
          <w:rFonts w:hint="eastAsia" w:ascii="Times New Roman" w:eastAsia="仿宋"/>
          <w:color w:val="auto"/>
          <w:szCs w:val="32"/>
        </w:rPr>
        <w:t>-</w:t>
      </w:r>
      <w:r>
        <w:rPr>
          <w:rFonts w:hint="eastAsia" w:ascii="Times New Roman" w:eastAsia="仿宋"/>
          <w:color w:val="auto"/>
          <w:szCs w:val="32"/>
          <w:lang w:val="en-US" w:eastAsia="zh-CN"/>
        </w:rPr>
        <w:t>17</w:t>
      </w:r>
      <w:r>
        <w:rPr>
          <w:rFonts w:ascii="Times New Roman" w:eastAsia="仿宋"/>
          <w:color w:val="auto"/>
          <w:szCs w:val="32"/>
        </w:rPr>
        <w:t>号地块，起叫价为人民币（大写）</w:t>
      </w:r>
      <w:r>
        <w:rPr>
          <w:rFonts w:hint="eastAsia" w:ascii="Times New Roman" w:eastAsia="仿宋"/>
          <w:color w:val="auto"/>
          <w:szCs w:val="32"/>
          <w:lang w:eastAsia="zh-CN"/>
        </w:rPr>
        <w:t>叁亿陆仟万</w:t>
      </w:r>
      <w:r>
        <w:rPr>
          <w:rFonts w:hint="eastAsia" w:ascii="Times New Roman" w:eastAsia="仿宋"/>
          <w:color w:val="auto"/>
          <w:szCs w:val="32"/>
        </w:rPr>
        <w:t>元</w:t>
      </w:r>
      <w:r>
        <w:rPr>
          <w:rFonts w:ascii="Times New Roman" w:eastAsia="仿宋"/>
          <w:color w:val="auto"/>
          <w:szCs w:val="32"/>
        </w:rPr>
        <w:t>整（￥</w:t>
      </w:r>
      <w:r>
        <w:rPr>
          <w:rFonts w:hint="eastAsia" w:ascii="Times New Roman" w:eastAsia="仿宋"/>
          <w:color w:val="auto"/>
          <w:szCs w:val="32"/>
          <w:lang w:val="en-US" w:eastAsia="zh-CN"/>
        </w:rPr>
        <w:t>360</w:t>
      </w:r>
      <w:r>
        <w:rPr>
          <w:rFonts w:hint="eastAsia" w:ascii="Times New Roman" w:eastAsia="仿宋"/>
          <w:color w:val="auto"/>
          <w:szCs w:val="32"/>
        </w:rPr>
        <w:t>,00</w:t>
      </w:r>
      <w:r>
        <w:rPr>
          <w:rFonts w:ascii="Times New Roman" w:eastAsia="仿宋"/>
          <w:color w:val="auto"/>
          <w:szCs w:val="32"/>
        </w:rPr>
        <w:t>0,000.00），增价幅度为人民币（大写）</w:t>
      </w:r>
      <w:r>
        <w:rPr>
          <w:rFonts w:hint="eastAsia" w:ascii="Times New Roman" w:eastAsia="仿宋"/>
          <w:color w:val="auto"/>
          <w:szCs w:val="32"/>
          <w:lang w:eastAsia="zh-CN"/>
        </w:rPr>
        <w:t>壹</w:t>
      </w:r>
      <w:r>
        <w:rPr>
          <w:rFonts w:hint="eastAsia" w:ascii="Times New Roman" w:eastAsia="仿宋"/>
          <w:color w:val="auto"/>
          <w:szCs w:val="32"/>
        </w:rPr>
        <w:t>佰万</w:t>
      </w:r>
      <w:r>
        <w:rPr>
          <w:rFonts w:ascii="Times New Roman" w:eastAsia="仿宋"/>
          <w:color w:val="auto"/>
          <w:szCs w:val="32"/>
        </w:rPr>
        <w:t>元整（￥</w:t>
      </w:r>
      <w:r>
        <w:rPr>
          <w:rFonts w:hint="eastAsia" w:ascii="Times New Roman" w:eastAsia="仿宋"/>
          <w:color w:val="auto"/>
          <w:szCs w:val="32"/>
          <w:lang w:val="en-US" w:eastAsia="zh-CN"/>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w:t>
      </w:r>
      <w:r>
        <w:rPr>
          <w:rFonts w:hint="eastAsia" w:ascii="Times New Roman" w:eastAsia="仿宋"/>
          <w:color w:val="auto"/>
          <w:szCs w:val="32"/>
          <w:lang w:val="en-US" w:eastAsia="zh-CN"/>
        </w:rPr>
        <w:t>1</w:t>
      </w:r>
      <w:r>
        <w:rPr>
          <w:rFonts w:hint="eastAsia" w:ascii="Times New Roman" w:eastAsia="仿宋"/>
          <w:color w:val="auto"/>
          <w:szCs w:val="32"/>
        </w:rPr>
        <w:t>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9</w:t>
      </w:r>
      <w:r>
        <w:rPr>
          <w:rFonts w:ascii="Times New Roman" w:eastAsia="仿宋"/>
          <w:color w:val="auto"/>
          <w:szCs w:val="32"/>
        </w:rPr>
        <w:t>月</w:t>
      </w:r>
      <w:r>
        <w:rPr>
          <w:rFonts w:hint="eastAsia" w:ascii="Times New Roman" w:eastAsia="仿宋"/>
          <w:color w:val="auto"/>
          <w:szCs w:val="32"/>
          <w:lang w:val="en-US" w:eastAsia="zh-CN"/>
        </w:rPr>
        <w:t>12</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60" w:lineRule="exact"/>
        <w:ind w:firstLine="640" w:firstLineChars="200"/>
        <w:rPr>
          <w:rFonts w:ascii="Times New Roman" w:eastAsia="仿宋"/>
          <w:color w:val="auto"/>
          <w:szCs w:val="32"/>
        </w:rPr>
      </w:pPr>
      <w:bookmarkStart w:id="1" w:name="_Hlk25847200"/>
      <w:bookmarkStart w:id="2" w:name="_Hlk26171907"/>
      <w:r>
        <w:rPr>
          <w:rFonts w:hint="eastAsia" w:ascii="Times New Roman" w:eastAsia="仿宋"/>
          <w:color w:val="auto"/>
          <w:szCs w:val="32"/>
        </w:rPr>
        <w:t>上述</w:t>
      </w:r>
      <w:r>
        <w:rPr>
          <w:rFonts w:ascii="Times New Roman" w:eastAsia="仿宋"/>
          <w:color w:val="auto"/>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szCs w:val="32"/>
        </w:rPr>
        <w:t>3</w:t>
      </w:r>
      <w:r>
        <w:rPr>
          <w:rFonts w:ascii="Times New Roman" w:eastAsia="仿宋"/>
          <w:color w:val="auto"/>
          <w:szCs w:val="32"/>
        </w:rPr>
        <w:t>个月内</w:t>
      </w:r>
      <w:r>
        <w:rPr>
          <w:rFonts w:hint="eastAsia" w:ascii="Times New Roman" w:eastAsia="仿宋"/>
          <w:color w:val="auto"/>
          <w:szCs w:val="32"/>
        </w:rPr>
        <w:t>交</w:t>
      </w:r>
      <w:r>
        <w:rPr>
          <w:rFonts w:ascii="Times New Roman" w:eastAsia="仿宋"/>
          <w:color w:val="auto"/>
          <w:szCs w:val="32"/>
        </w:rPr>
        <w:t>清</w:t>
      </w:r>
      <w:r>
        <w:rPr>
          <w:rFonts w:hint="eastAsia" w:ascii="Times New Roman" w:eastAsia="仿宋"/>
          <w:color w:val="auto"/>
          <w:szCs w:val="32"/>
        </w:rPr>
        <w:t>。</w:t>
      </w:r>
    </w:p>
    <w:bookmarkEnd w:id="1"/>
    <w:p>
      <w:pPr>
        <w:spacing w:line="560" w:lineRule="exact"/>
        <w:ind w:firstLine="640" w:firstLineChars="200"/>
        <w:rPr>
          <w:rFonts w:ascii="Times New Roman" w:eastAsia="仿宋"/>
          <w:color w:val="auto"/>
          <w:szCs w:val="32"/>
        </w:rPr>
      </w:pPr>
      <w:r>
        <w:rPr>
          <w:rFonts w:ascii="Times New Roman" w:eastAsia="仿宋"/>
          <w:color w:val="auto"/>
          <w:szCs w:val="32"/>
        </w:rPr>
        <w:t>竞得人应当按时支付成交价款，不能按时支付成交价款的，自违约之日起，每日按迟延支付款项的1‰向出让人缴纳违约金。延期付款超过60日，经出让人催缴后仍未支付成交价款的，出让人有权解除合同并可请求违约赔偿，竞得人无权要求退还定金。</w:t>
      </w:r>
    </w:p>
    <w:bookmarkEnd w:id="2"/>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w:t>
      </w:r>
      <w:r>
        <w:rPr>
          <w:rFonts w:hint="eastAsia" w:ascii="Times New Roman" w:eastAsia="仿宋"/>
          <w:color w:val="auto"/>
          <w:kern w:val="10"/>
          <w:szCs w:val="32"/>
        </w:rPr>
        <w:t>交</w:t>
      </w:r>
      <w:r>
        <w:rPr>
          <w:rFonts w:ascii="Times New Roman" w:eastAsia="仿宋"/>
          <w:color w:val="auto"/>
          <w:kern w:val="10"/>
          <w:szCs w:val="32"/>
        </w:rPr>
        <w:t>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3" w:name="_Hlk85133807"/>
      <w:r>
        <w:rPr>
          <w:rFonts w:ascii="Times New Roman" w:eastAsia="仿宋"/>
          <w:color w:val="auto"/>
          <w:szCs w:val="32"/>
        </w:rPr>
        <w:t>竞买人</w:t>
      </w:r>
      <w:bookmarkEnd w:id="3"/>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4" w:name="OLE_LINK2"/>
      <w:r>
        <w:rPr>
          <w:rFonts w:ascii="Times New Roman" w:eastAsia="仿宋"/>
          <w:color w:val="auto"/>
          <w:szCs w:val="32"/>
        </w:rPr>
        <w:t>．</w:t>
      </w:r>
      <w:bookmarkEnd w:id="4"/>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lang w:val="en-US" w:eastAsia="zh-CN"/>
        </w:rPr>
        <w:t>8</w:t>
      </w:r>
      <w:r>
        <w:rPr>
          <w:rFonts w:ascii="Times New Roman" w:eastAsia="仿宋"/>
          <w:color w:val="auto"/>
          <w:szCs w:val="32"/>
        </w:rPr>
        <w:t>月</w:t>
      </w:r>
      <w:r>
        <w:rPr>
          <w:rFonts w:hint="eastAsia" w:ascii="Times New Roman" w:eastAsia="仿宋"/>
          <w:color w:val="auto"/>
          <w:szCs w:val="32"/>
          <w:lang w:val="en-US" w:eastAsia="zh-CN"/>
        </w:rPr>
        <w:t>23</w:t>
      </w:r>
      <w:bookmarkStart w:id="5" w:name="_GoBack"/>
      <w:bookmarkEnd w:id="5"/>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mI3ODcwZDQzMDU1ODE4ZWUzZGVkMWJkZmU1MzM2YWE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0F45"/>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67C42"/>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B6854"/>
    <w:rsid w:val="009C409C"/>
    <w:rsid w:val="009C4DB3"/>
    <w:rsid w:val="009C54AE"/>
    <w:rsid w:val="009D435F"/>
    <w:rsid w:val="009E0DC7"/>
    <w:rsid w:val="009E534C"/>
    <w:rsid w:val="009F129C"/>
    <w:rsid w:val="00A02AA7"/>
    <w:rsid w:val="00A04F8C"/>
    <w:rsid w:val="00A06BDB"/>
    <w:rsid w:val="00A07EAD"/>
    <w:rsid w:val="00A20C13"/>
    <w:rsid w:val="00A3290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AB322F0"/>
    <w:rsid w:val="1C8B11BD"/>
    <w:rsid w:val="1F351FAF"/>
    <w:rsid w:val="1F86792F"/>
    <w:rsid w:val="1FF746DA"/>
    <w:rsid w:val="20772D49"/>
    <w:rsid w:val="20B024A1"/>
    <w:rsid w:val="25205CF8"/>
    <w:rsid w:val="25E129FE"/>
    <w:rsid w:val="29535BBE"/>
    <w:rsid w:val="29A95DCD"/>
    <w:rsid w:val="2BD42381"/>
    <w:rsid w:val="2E9F243D"/>
    <w:rsid w:val="2EE17814"/>
    <w:rsid w:val="2FEF7D77"/>
    <w:rsid w:val="31417311"/>
    <w:rsid w:val="3566232B"/>
    <w:rsid w:val="39DD2AC7"/>
    <w:rsid w:val="3A314ED2"/>
    <w:rsid w:val="3A7D040E"/>
    <w:rsid w:val="3B0E44F4"/>
    <w:rsid w:val="3D15067F"/>
    <w:rsid w:val="3DB14890"/>
    <w:rsid w:val="3E8C3A26"/>
    <w:rsid w:val="3F73645C"/>
    <w:rsid w:val="412A0477"/>
    <w:rsid w:val="42041D48"/>
    <w:rsid w:val="43C75B90"/>
    <w:rsid w:val="45D07A7B"/>
    <w:rsid w:val="45FB48A4"/>
    <w:rsid w:val="48DB5365"/>
    <w:rsid w:val="48E2729B"/>
    <w:rsid w:val="4BDF7549"/>
    <w:rsid w:val="4DF37842"/>
    <w:rsid w:val="4F46621E"/>
    <w:rsid w:val="53417DE8"/>
    <w:rsid w:val="545D6861"/>
    <w:rsid w:val="551E49A7"/>
    <w:rsid w:val="565C1810"/>
    <w:rsid w:val="58805E0B"/>
    <w:rsid w:val="59FFFD36"/>
    <w:rsid w:val="5A100A69"/>
    <w:rsid w:val="5AC66E6D"/>
    <w:rsid w:val="5C2F2B85"/>
    <w:rsid w:val="5D711BC1"/>
    <w:rsid w:val="5DC00719"/>
    <w:rsid w:val="5E6370DC"/>
    <w:rsid w:val="5E7210B7"/>
    <w:rsid w:val="5EBE1F44"/>
    <w:rsid w:val="5EF61BEE"/>
    <w:rsid w:val="5FFCDEF8"/>
    <w:rsid w:val="61E31F82"/>
    <w:rsid w:val="623173B1"/>
    <w:rsid w:val="627AADA0"/>
    <w:rsid w:val="64B6114A"/>
    <w:rsid w:val="654D6D68"/>
    <w:rsid w:val="67835892"/>
    <w:rsid w:val="69287FF9"/>
    <w:rsid w:val="69BA7FBC"/>
    <w:rsid w:val="69EF4473"/>
    <w:rsid w:val="69F5315F"/>
    <w:rsid w:val="6ABF0DD8"/>
    <w:rsid w:val="6C5E3ED7"/>
    <w:rsid w:val="6D601559"/>
    <w:rsid w:val="6DC95D5B"/>
    <w:rsid w:val="6F4A2587"/>
    <w:rsid w:val="6F565F34"/>
    <w:rsid w:val="6F817756"/>
    <w:rsid w:val="6FEB25C7"/>
    <w:rsid w:val="706C57A0"/>
    <w:rsid w:val="70856287"/>
    <w:rsid w:val="71CC5BD1"/>
    <w:rsid w:val="735B762D"/>
    <w:rsid w:val="75BE6923"/>
    <w:rsid w:val="75DE796D"/>
    <w:rsid w:val="761B3A3C"/>
    <w:rsid w:val="772C6592"/>
    <w:rsid w:val="773F7BAD"/>
    <w:rsid w:val="7790354E"/>
    <w:rsid w:val="7C614DBC"/>
    <w:rsid w:val="7CED3003"/>
    <w:rsid w:val="7CFE5411"/>
    <w:rsid w:val="7DC16531"/>
    <w:rsid w:val="7DFD2408"/>
    <w:rsid w:val="7F993685"/>
    <w:rsid w:val="7FAFEA00"/>
    <w:rsid w:val="B6F5B665"/>
    <w:rsid w:val="BD17E3B8"/>
    <w:rsid w:val="D7CBC0B7"/>
    <w:rsid w:val="DE5FE252"/>
    <w:rsid w:val="F33752BE"/>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color w:val="000000"/>
      <w:sz w:val="32"/>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line="500" w:lineRule="exact"/>
    </w:pPr>
    <w:rPr>
      <w:sz w:val="3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unhideWhenUsed/>
    <w:qFormat/>
    <w:uiPriority w:val="0"/>
    <w:pPr>
      <w:spacing w:beforeAutospacing="1" w:afterAutospacing="1"/>
      <w:jc w:val="left"/>
    </w:pPr>
    <w:rPr>
      <w:sz w:val="24"/>
    </w:r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16</Pages>
  <Words>1137</Words>
  <Characters>6481</Characters>
  <Lines>54</Lines>
  <Paragraphs>15</Paragraphs>
  <TotalTime>4</TotalTime>
  <ScaleCrop>false</ScaleCrop>
  <LinksUpToDate>false</LinksUpToDate>
  <CharactersWithSpaces>7603</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2019-12-10T07:04:00Z</dcterms:created>
  <dc:creator>未羽</dc:creator>
  <cp:lastModifiedBy>市资源规划局</cp:lastModifiedBy>
  <cp:lastPrinted>2021-11-29T15:02:00Z</cp:lastPrinted>
  <dcterms:modified xsi:type="dcterms:W3CDTF">2024-08-23T02:10:59Z</dcterms:modified>
  <dc:title>国有建设用地使用权拍卖出让须知</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147DB053FB7B4A7CAC58A0FE60B8BF0F</vt:lpwstr>
  </property>
</Properties>
</file>