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imes New Roman" w:eastAsia="方正小标宋简体"/>
          <w:bCs/>
          <w:color w:val="auto"/>
          <w:sz w:val="44"/>
          <w:szCs w:val="44"/>
        </w:rPr>
      </w:pPr>
      <w:r>
        <w:rPr>
          <w:rFonts w:hint="eastAsia" w:ascii="Times New Roman" w:eastAsia="方正小标宋简体"/>
          <w:bCs/>
          <w:color w:val="auto"/>
          <w:sz w:val="44"/>
          <w:szCs w:val="44"/>
          <w:lang w:val="en-US" w:eastAsia="zh-CN"/>
        </w:rPr>
        <w:t>鲤</w:t>
      </w:r>
      <w:r>
        <w:rPr>
          <w:rFonts w:hint="eastAsia" w:ascii="Times New Roman" w:eastAsia="方正小标宋简体"/>
          <w:bCs/>
          <w:color w:val="auto"/>
          <w:sz w:val="44"/>
          <w:szCs w:val="44"/>
        </w:rPr>
        <w:t>202</w:t>
      </w:r>
      <w:r>
        <w:rPr>
          <w:rFonts w:hint="eastAsia" w:ascii="Times New Roman" w:eastAsia="方正小标宋简体"/>
          <w:bCs/>
          <w:color w:val="auto"/>
          <w:sz w:val="44"/>
          <w:szCs w:val="44"/>
          <w:lang w:val="en-US" w:eastAsia="zh-CN"/>
        </w:rPr>
        <w:t>4</w:t>
      </w:r>
      <w:r>
        <w:rPr>
          <w:rFonts w:hint="eastAsia" w:ascii="Times New Roman" w:eastAsia="方正小标宋简体"/>
          <w:bCs/>
          <w:color w:val="auto"/>
          <w:sz w:val="44"/>
          <w:szCs w:val="44"/>
        </w:rPr>
        <w:t>-</w:t>
      </w:r>
      <w:r>
        <w:rPr>
          <w:rFonts w:hint="eastAsia" w:ascii="Times New Roman" w:eastAsia="方正小标宋简体"/>
          <w:bCs/>
          <w:color w:val="auto"/>
          <w:sz w:val="44"/>
          <w:szCs w:val="44"/>
          <w:lang w:val="en-US" w:eastAsia="zh-CN"/>
        </w:rPr>
        <w:t>1</w:t>
      </w:r>
      <w:r>
        <w:rPr>
          <w:rFonts w:hint="eastAsia" w:ascii="Times New Roman" w:eastAsia="方正小标宋简体"/>
          <w:bCs/>
          <w:color w:val="auto"/>
          <w:sz w:val="44"/>
          <w:szCs w:val="44"/>
        </w:rPr>
        <w:t>号</w:t>
      </w:r>
      <w:r>
        <w:rPr>
          <w:rFonts w:ascii="Times New Roman" w:eastAsia="方正小标宋简体"/>
          <w:bCs/>
          <w:color w:val="auto"/>
          <w:sz w:val="44"/>
          <w:szCs w:val="44"/>
        </w:rPr>
        <w:t>地块国有建设用地使用权</w:t>
      </w:r>
    </w:p>
    <w:p>
      <w:pPr>
        <w:spacing w:line="520" w:lineRule="exact"/>
        <w:jc w:val="center"/>
        <w:rPr>
          <w:rFonts w:ascii="Times New Roman" w:eastAsia="方正小标宋简体"/>
          <w:bCs/>
          <w:color w:val="auto"/>
          <w:sz w:val="44"/>
          <w:szCs w:val="44"/>
        </w:rPr>
      </w:pPr>
      <w:r>
        <w:rPr>
          <w:rFonts w:ascii="Times New Roman" w:eastAsia="方正小标宋简体"/>
          <w:bCs/>
          <w:color w:val="auto"/>
          <w:sz w:val="44"/>
          <w:szCs w:val="44"/>
        </w:rPr>
        <w:t>拍卖出让须知</w:t>
      </w:r>
    </w:p>
    <w:p>
      <w:pPr>
        <w:spacing w:line="520" w:lineRule="exact"/>
        <w:ind w:firstLine="643" w:firstLineChars="200"/>
        <w:rPr>
          <w:rFonts w:ascii="Times New Roman" w:eastAsia="仿宋"/>
          <w:b/>
          <w:color w:val="auto"/>
          <w:szCs w:val="32"/>
        </w:rPr>
      </w:pPr>
    </w:p>
    <w:p>
      <w:pPr>
        <w:spacing w:line="520" w:lineRule="exact"/>
        <w:ind w:firstLine="640" w:firstLineChars="200"/>
        <w:rPr>
          <w:rFonts w:ascii="Times New Roman" w:eastAsia="仿宋"/>
          <w:color w:val="auto"/>
          <w:szCs w:val="32"/>
        </w:rPr>
      </w:pPr>
      <w:r>
        <w:rPr>
          <w:rFonts w:ascii="Times New Roman" w:eastAsia="仿宋"/>
          <w:color w:val="auto"/>
          <w:szCs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出让</w:t>
      </w:r>
      <w:r>
        <w:rPr>
          <w:rFonts w:hint="eastAsia" w:ascii="Times New Roman" w:eastAsia="仿宋"/>
          <w:color w:val="auto"/>
          <w:szCs w:val="32"/>
          <w:lang w:val="en-US" w:eastAsia="zh-CN"/>
        </w:rPr>
        <w:t>鲤2024-1</w:t>
      </w:r>
      <w:r>
        <w:rPr>
          <w:rFonts w:hint="eastAsia" w:ascii="Times New Roman" w:eastAsia="仿宋"/>
          <w:color w:val="auto"/>
          <w:szCs w:val="32"/>
        </w:rPr>
        <w:t>号地块</w:t>
      </w:r>
      <w:r>
        <w:rPr>
          <w:rFonts w:ascii="Times New Roman" w:eastAsia="仿宋"/>
          <w:color w:val="auto"/>
          <w:szCs w:val="32"/>
        </w:rPr>
        <w:t>国有建设用地使用权。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竞价及竞得</w:t>
      </w:r>
      <w:r>
        <w:rPr>
          <w:rFonts w:hint="eastAsia" w:ascii="Times New Roman" w:eastAsia="仿宋"/>
          <w:color w:val="auto"/>
          <w:szCs w:val="32"/>
        </w:rPr>
        <w:t>人</w:t>
      </w:r>
      <w:r>
        <w:rPr>
          <w:rFonts w:ascii="Times New Roman" w:eastAsia="仿宋"/>
          <w:color w:val="auto"/>
          <w:szCs w:val="32"/>
        </w:rPr>
        <w:t>的确认。拍卖出让过程委托公证机构进行公证。泉州市产权交易中心有限公司指定的从事拍卖活动的人员为拍卖工作人员。</w:t>
      </w:r>
    </w:p>
    <w:p>
      <w:pPr>
        <w:spacing w:line="520" w:lineRule="exact"/>
        <w:ind w:firstLine="640" w:firstLineChars="200"/>
        <w:rPr>
          <w:rFonts w:ascii="Times New Roman" w:eastAsia="仿宋"/>
          <w:color w:val="auto"/>
          <w:szCs w:val="32"/>
        </w:rPr>
      </w:pPr>
      <w:r>
        <w:rPr>
          <w:rFonts w:ascii="Times New Roman" w:eastAsia="仿宋"/>
          <w:color w:val="auto"/>
          <w:szCs w:val="32"/>
        </w:rPr>
        <w:t>二、拍卖出让活动时间、地点</w:t>
      </w:r>
    </w:p>
    <w:p>
      <w:pPr>
        <w:widowControl/>
        <w:spacing w:line="560" w:lineRule="exact"/>
        <w:ind w:firstLine="600" w:firstLineChars="200"/>
        <w:rPr>
          <w:rFonts w:ascii="Times New Roman" w:eastAsia="仿宋"/>
          <w:color w:val="auto"/>
          <w:sz w:val="30"/>
          <w:szCs w:val="30"/>
        </w:rPr>
      </w:pPr>
      <w:r>
        <w:rPr>
          <w:rFonts w:ascii="Times New Roman" w:eastAsia="仿宋"/>
          <w:color w:val="auto"/>
          <w:sz w:val="30"/>
          <w:szCs w:val="30"/>
        </w:rPr>
        <w:t>拍卖时间：202</w:t>
      </w:r>
      <w:r>
        <w:rPr>
          <w:rFonts w:hint="eastAsia" w:ascii="Times New Roman" w:eastAsia="仿宋"/>
          <w:color w:val="auto"/>
          <w:sz w:val="30"/>
          <w:szCs w:val="30"/>
        </w:rPr>
        <w:t>4</w:t>
      </w:r>
      <w:r>
        <w:rPr>
          <w:rFonts w:ascii="Times New Roman" w:eastAsia="仿宋"/>
          <w:color w:val="auto"/>
          <w:sz w:val="30"/>
          <w:szCs w:val="30"/>
        </w:rPr>
        <w:t>年</w:t>
      </w:r>
      <w:r>
        <w:rPr>
          <w:rFonts w:hint="eastAsia" w:ascii="Times New Roman" w:eastAsia="仿宋"/>
          <w:color w:val="auto"/>
          <w:sz w:val="30"/>
          <w:szCs w:val="30"/>
        </w:rPr>
        <w:t>6</w:t>
      </w:r>
      <w:r>
        <w:rPr>
          <w:rFonts w:ascii="Times New Roman" w:eastAsia="仿宋"/>
          <w:color w:val="auto"/>
          <w:sz w:val="30"/>
          <w:szCs w:val="30"/>
        </w:rPr>
        <w:t>月</w:t>
      </w:r>
      <w:r>
        <w:rPr>
          <w:rFonts w:hint="eastAsia" w:ascii="Times New Roman" w:eastAsia="仿宋"/>
          <w:color w:val="auto"/>
          <w:sz w:val="30"/>
          <w:szCs w:val="30"/>
          <w:lang w:val="en-US" w:eastAsia="zh-CN"/>
        </w:rPr>
        <w:t>19</w:t>
      </w:r>
      <w:r>
        <w:rPr>
          <w:rFonts w:ascii="Times New Roman" w:eastAsia="仿宋"/>
          <w:color w:val="auto"/>
          <w:sz w:val="30"/>
          <w:szCs w:val="30"/>
        </w:rPr>
        <w:t>日9：00。</w:t>
      </w:r>
    </w:p>
    <w:p>
      <w:pPr>
        <w:spacing w:line="520" w:lineRule="exact"/>
        <w:ind w:firstLine="640" w:firstLineChars="200"/>
        <w:rPr>
          <w:rFonts w:ascii="Times New Roman" w:eastAsia="仿宋"/>
          <w:color w:val="auto"/>
          <w:szCs w:val="32"/>
        </w:rPr>
      </w:pPr>
      <w:r>
        <w:rPr>
          <w:rFonts w:ascii="Times New Roman" w:eastAsia="仿宋"/>
          <w:color w:val="auto"/>
          <w:szCs w:val="32"/>
        </w:rPr>
        <w:t>拍卖地点：泉州市政务服务中心（东海大厦）A幢442室（地址：泉州市丰泽区海星街100号）。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三、本次国有建设用地使用权拍卖出让按照价高者得的原则确定竞得人，不设保留价。</w:t>
      </w:r>
    </w:p>
    <w:p>
      <w:pPr>
        <w:spacing w:line="520" w:lineRule="exact"/>
        <w:ind w:firstLine="640" w:firstLineChars="200"/>
        <w:rPr>
          <w:rFonts w:ascii="Times New Roman" w:eastAsia="仿宋"/>
          <w:color w:val="auto"/>
          <w:szCs w:val="32"/>
        </w:rPr>
      </w:pPr>
      <w:r>
        <w:rPr>
          <w:rFonts w:ascii="Times New Roman" w:eastAsia="仿宋"/>
          <w:color w:val="auto"/>
          <w:szCs w:val="32"/>
        </w:rPr>
        <w:t>四、出让地块的基本情况、规划指标和相关要求：</w:t>
      </w:r>
    </w:p>
    <w:p>
      <w:pPr>
        <w:spacing w:line="520" w:lineRule="exact"/>
        <w:ind w:firstLine="640" w:firstLineChars="200"/>
        <w:rPr>
          <w:rFonts w:ascii="Times New Roman" w:eastAsia="仿宋"/>
          <w:color w:val="auto"/>
          <w:szCs w:val="32"/>
        </w:rPr>
      </w:pPr>
      <w:r>
        <w:rPr>
          <w:rFonts w:ascii="Times New Roman" w:eastAsia="仿宋"/>
          <w:color w:val="auto"/>
          <w:szCs w:val="32"/>
        </w:rPr>
        <w:t>（一）地块的基本情况</w:t>
      </w:r>
    </w:p>
    <w:p>
      <w:pPr>
        <w:spacing w:line="580" w:lineRule="exact"/>
        <w:ind w:firstLine="643" w:firstLineChars="200"/>
        <w:rPr>
          <w:rFonts w:hint="default" w:eastAsia="仿宋"/>
          <w:color w:val="000000"/>
          <w:sz w:val="32"/>
          <w:szCs w:val="32"/>
          <w:lang w:val="en-US" w:eastAsia="zh-CN"/>
        </w:rPr>
      </w:pPr>
      <w:r>
        <w:rPr>
          <w:rFonts w:hint="eastAsia" w:eastAsia="楷体_GB2312"/>
          <w:b/>
          <w:sz w:val="32"/>
          <w:szCs w:val="32"/>
          <w:lang w:eastAsia="zh-CN"/>
        </w:rPr>
        <w:t>鲤</w:t>
      </w:r>
      <w:r>
        <w:rPr>
          <w:rFonts w:hint="eastAsia" w:eastAsia="楷体_GB2312"/>
          <w:b/>
          <w:sz w:val="32"/>
          <w:szCs w:val="32"/>
        </w:rPr>
        <w:t>202</w:t>
      </w:r>
      <w:r>
        <w:rPr>
          <w:rFonts w:hint="eastAsia" w:eastAsia="楷体_GB2312"/>
          <w:b/>
          <w:sz w:val="32"/>
          <w:szCs w:val="32"/>
          <w:lang w:val="en-US" w:eastAsia="zh-CN"/>
        </w:rPr>
        <w:t>4</w:t>
      </w:r>
      <w:r>
        <w:rPr>
          <w:rFonts w:hint="eastAsia" w:eastAsia="楷体_GB2312"/>
          <w:b/>
          <w:sz w:val="32"/>
          <w:szCs w:val="32"/>
        </w:rPr>
        <w:t>-</w:t>
      </w:r>
      <w:r>
        <w:rPr>
          <w:rFonts w:hint="eastAsia" w:eastAsia="楷体_GB2312"/>
          <w:b/>
          <w:sz w:val="32"/>
          <w:szCs w:val="32"/>
          <w:lang w:val="en-US" w:eastAsia="zh-CN"/>
        </w:rPr>
        <w:t>1</w:t>
      </w:r>
      <w:r>
        <w:rPr>
          <w:rFonts w:hint="eastAsia" w:eastAsia="楷体_GB2312"/>
          <w:b/>
          <w:sz w:val="32"/>
          <w:szCs w:val="32"/>
        </w:rPr>
        <w:t>号地块</w:t>
      </w:r>
      <w:bookmarkStart w:id="2" w:name="_GoBack"/>
      <w:bookmarkEnd w:id="2"/>
      <w:r>
        <w:rPr>
          <w:rFonts w:eastAsia="楷体_GB2312"/>
          <w:b/>
          <w:sz w:val="32"/>
          <w:szCs w:val="32"/>
        </w:rPr>
        <w:t>。</w:t>
      </w:r>
      <w:r>
        <w:rPr>
          <w:rFonts w:eastAsia="仿宋_GB2312"/>
          <w:sz w:val="32"/>
          <w:szCs w:val="32"/>
        </w:rPr>
        <w:t>该宗地即</w:t>
      </w:r>
      <w:r>
        <w:rPr>
          <w:rFonts w:hint="eastAsia" w:eastAsia="仿宋_GB2312"/>
          <w:sz w:val="32"/>
          <w:szCs w:val="32"/>
        </w:rPr>
        <w:t>2023-</w:t>
      </w:r>
      <w:r>
        <w:rPr>
          <w:rFonts w:hint="eastAsia" w:eastAsia="仿宋_GB2312"/>
          <w:sz w:val="32"/>
          <w:szCs w:val="32"/>
          <w:lang w:val="en-US" w:eastAsia="zh-CN"/>
        </w:rPr>
        <w:t>27</w:t>
      </w:r>
      <w:r>
        <w:rPr>
          <w:rFonts w:eastAsia="仿宋_GB2312"/>
          <w:sz w:val="32"/>
          <w:szCs w:val="32"/>
        </w:rPr>
        <w:t>号储备用地，</w:t>
      </w:r>
      <w:r>
        <w:rPr>
          <w:rFonts w:hint="eastAsia" w:eastAsia="仿宋"/>
          <w:color w:val="000000"/>
          <w:sz w:val="32"/>
          <w:szCs w:val="32"/>
        </w:rPr>
        <w:t>该宗地位于</w:t>
      </w:r>
      <w:r>
        <w:rPr>
          <w:rFonts w:hint="eastAsia" w:eastAsia="仿宋"/>
          <w:bCs/>
          <w:color w:val="000000"/>
          <w:sz w:val="32"/>
          <w:szCs w:val="32"/>
        </w:rPr>
        <w:t>鲤城区浮桥街道岐山社区，繁荣大道南侧、站前大道西侧</w:t>
      </w:r>
      <w:r>
        <w:rPr>
          <w:rFonts w:hint="eastAsia" w:eastAsia="仿宋"/>
          <w:color w:val="000000"/>
          <w:sz w:val="32"/>
          <w:szCs w:val="32"/>
        </w:rPr>
        <w:t>，用地面积</w:t>
      </w:r>
      <w:r>
        <w:rPr>
          <w:rFonts w:hint="eastAsia" w:eastAsia="仿宋"/>
          <w:color w:val="000000"/>
          <w:sz w:val="32"/>
          <w:szCs w:val="32"/>
          <w:lang w:val="zh-CN"/>
        </w:rPr>
        <w:t>63400.7平方米（约合95.1亩）</w:t>
      </w:r>
      <w:r>
        <w:rPr>
          <w:rFonts w:hint="eastAsia" w:eastAsia="仿宋"/>
          <w:color w:val="000000"/>
          <w:sz w:val="32"/>
          <w:szCs w:val="32"/>
        </w:rPr>
        <w:t>。规划用途</w:t>
      </w:r>
      <w:r>
        <w:rPr>
          <w:rFonts w:hint="eastAsia" w:eastAsia="仿宋"/>
          <w:color w:val="000000"/>
          <w:sz w:val="32"/>
          <w:szCs w:val="32"/>
          <w:lang w:val="en-US" w:eastAsia="zh-CN"/>
        </w:rPr>
        <w:t>为</w:t>
      </w:r>
      <w:r>
        <w:rPr>
          <w:rFonts w:hint="eastAsia" w:eastAsia="仿宋"/>
          <w:color w:val="000000"/>
          <w:sz w:val="32"/>
          <w:szCs w:val="32"/>
        </w:rPr>
        <w:t>娱乐康体与商业混合用地。主要技术指标：容积率2.0以下1.0以上，建筑密度40%以下，绿地率20%以上，建筑高度80米以下。建设内容为</w:t>
      </w:r>
      <w:r>
        <w:rPr>
          <w:rFonts w:hint="eastAsia" w:eastAsia="仿宋"/>
          <w:color w:val="000000"/>
          <w:sz w:val="32"/>
          <w:szCs w:val="32"/>
          <w:lang w:val="en-US" w:eastAsia="zh-CN"/>
        </w:rPr>
        <w:t>演艺剧场及商业设施、酒店（其中演艺剧场计容建筑面不少于2.53万平方米，酒店计容建筑面积不少于4.8万平方米）。</w:t>
      </w:r>
    </w:p>
    <w:p>
      <w:pPr>
        <w:spacing w:line="520" w:lineRule="exact"/>
        <w:ind w:firstLine="640" w:firstLineChars="200"/>
        <w:rPr>
          <w:rFonts w:ascii="Times New Roman" w:eastAsia="仿宋"/>
          <w:color w:val="auto"/>
          <w:szCs w:val="32"/>
        </w:rPr>
      </w:pPr>
      <w:r>
        <w:rPr>
          <w:rFonts w:ascii="Times New Roman" w:eastAsia="仿宋"/>
          <w:color w:val="auto"/>
          <w:szCs w:val="32"/>
        </w:rPr>
        <w:t>（二）规划指标和相关要求</w:t>
      </w:r>
    </w:p>
    <w:p>
      <w:pPr>
        <w:spacing w:line="580" w:lineRule="exact"/>
        <w:ind w:firstLine="640" w:firstLineChars="200"/>
        <w:rPr>
          <w:rFonts w:hint="eastAsia" w:eastAsia="仿宋"/>
          <w:color w:val="000000"/>
          <w:sz w:val="32"/>
          <w:szCs w:val="32"/>
          <w:lang w:eastAsia="zh-CN"/>
        </w:rPr>
      </w:pPr>
      <w:r>
        <w:rPr>
          <w:rFonts w:eastAsia="仿宋_GB2312"/>
          <w:sz w:val="32"/>
          <w:szCs w:val="32"/>
        </w:rPr>
        <w:t>1</w:t>
      </w:r>
      <w:r>
        <w:rPr>
          <w:rFonts w:hint="eastAsia" w:eastAsia="仿宋_GB2312"/>
          <w:sz w:val="32"/>
          <w:szCs w:val="32"/>
        </w:rPr>
        <w:t>．</w:t>
      </w:r>
      <w:r>
        <w:rPr>
          <w:rFonts w:hint="eastAsia" w:eastAsia="仿宋_GB2312"/>
          <w:sz w:val="32"/>
          <w:szCs w:val="32"/>
          <w:lang w:eastAsia="zh-CN"/>
        </w:rPr>
        <w:t>鲤</w:t>
      </w:r>
      <w:r>
        <w:rPr>
          <w:rFonts w:hint="eastAsia" w:eastAsia="仿宋_GB2312"/>
          <w:sz w:val="32"/>
          <w:szCs w:val="32"/>
          <w:lang w:val="en-US" w:eastAsia="zh-CN"/>
        </w:rPr>
        <w:t>2024-1号地块</w:t>
      </w:r>
      <w:r>
        <w:rPr>
          <w:rFonts w:hint="eastAsia" w:eastAsia="仿宋"/>
          <w:color w:val="000000"/>
          <w:sz w:val="32"/>
          <w:szCs w:val="32"/>
        </w:rPr>
        <w:t>建设内容为</w:t>
      </w:r>
      <w:r>
        <w:rPr>
          <w:rFonts w:hint="eastAsia" w:eastAsia="仿宋"/>
          <w:color w:val="000000"/>
          <w:sz w:val="32"/>
          <w:szCs w:val="32"/>
          <w:lang w:val="en-US" w:eastAsia="zh-CN"/>
        </w:rPr>
        <w:t>演艺剧场及商业设施、酒店（其中演艺剧场计容建筑面不少于2.53万平方米，酒店计容建筑面积不少于4.8万平方米）。</w:t>
      </w:r>
      <w:r>
        <w:rPr>
          <w:rFonts w:hint="eastAsia" w:eastAsia="仿宋"/>
          <w:color w:val="000000"/>
          <w:sz w:val="32"/>
          <w:szCs w:val="32"/>
        </w:rPr>
        <w:t>其中娱乐和酒店建筑不可分割销售，其余零售商业建筑可分割销售</w:t>
      </w:r>
      <w:r>
        <w:rPr>
          <w:rFonts w:hint="eastAsia" w:eastAsia="仿宋"/>
          <w:color w:val="000000"/>
          <w:sz w:val="32"/>
          <w:szCs w:val="32"/>
          <w:lang w:eastAsia="zh-CN"/>
        </w:rPr>
        <w:t>。</w:t>
      </w:r>
    </w:p>
    <w:p>
      <w:pPr>
        <w:spacing w:line="579" w:lineRule="exact"/>
        <w:ind w:firstLine="636" w:firstLineChars="199"/>
        <w:rPr>
          <w:rFonts w:eastAsia="仿宋_GB2312"/>
          <w:sz w:val="32"/>
          <w:szCs w:val="32"/>
        </w:rPr>
      </w:pPr>
      <w:r>
        <w:rPr>
          <w:rFonts w:hint="eastAsia" w:eastAsia="仿宋_GB2312"/>
          <w:sz w:val="32"/>
          <w:szCs w:val="32"/>
          <w:lang w:val="en-US" w:eastAsia="zh-CN"/>
        </w:rPr>
        <w:t>2</w:t>
      </w:r>
      <w:r>
        <w:rPr>
          <w:rFonts w:hint="eastAsia" w:eastAsia="仿宋_GB2312"/>
          <w:sz w:val="32"/>
          <w:szCs w:val="32"/>
        </w:rPr>
        <w:t>．上述</w:t>
      </w:r>
      <w:r>
        <w:rPr>
          <w:rFonts w:eastAsia="仿宋_GB2312"/>
          <w:sz w:val="32"/>
          <w:szCs w:val="32"/>
        </w:rPr>
        <w:t>地块由非泉州市</w:t>
      </w:r>
      <w:r>
        <w:rPr>
          <w:rFonts w:hint="eastAsia" w:eastAsia="仿宋_GB2312"/>
          <w:sz w:val="32"/>
          <w:szCs w:val="32"/>
          <w:lang w:eastAsia="zh-CN"/>
        </w:rPr>
        <w:t>鲤城</w:t>
      </w:r>
      <w:r>
        <w:rPr>
          <w:rFonts w:eastAsia="仿宋_GB2312"/>
          <w:sz w:val="32"/>
          <w:szCs w:val="32"/>
        </w:rPr>
        <w:t>区的法人竞得的，须在泉州市</w:t>
      </w:r>
      <w:r>
        <w:rPr>
          <w:rFonts w:hint="eastAsia" w:eastAsia="仿宋_GB2312"/>
          <w:sz w:val="32"/>
          <w:szCs w:val="32"/>
          <w:lang w:eastAsia="zh-CN"/>
        </w:rPr>
        <w:t>鲤城</w:t>
      </w:r>
      <w:r>
        <w:rPr>
          <w:rFonts w:eastAsia="仿宋_GB2312"/>
          <w:sz w:val="32"/>
          <w:szCs w:val="32"/>
        </w:rPr>
        <w:t>区注册成立新公司，所有税收应在当地缴纳。</w:t>
      </w:r>
    </w:p>
    <w:p>
      <w:pPr>
        <w:widowControl/>
        <w:spacing w:line="520" w:lineRule="exact"/>
        <w:ind w:firstLine="640" w:firstLineChars="200"/>
        <w:rPr>
          <w:rFonts w:hint="eastAsia" w:ascii="Times New Roman" w:eastAsia="仿宋"/>
          <w:color w:val="auto"/>
          <w:szCs w:val="32"/>
        </w:rPr>
      </w:pPr>
      <w:r>
        <w:rPr>
          <w:rFonts w:ascii="Times New Roman" w:eastAsia="仿宋"/>
          <w:color w:val="auto"/>
          <w:szCs w:val="32"/>
        </w:rPr>
        <w:t>五、竞买人资格</w:t>
      </w:r>
    </w:p>
    <w:p>
      <w:pPr>
        <w:widowControl/>
        <w:spacing w:line="520" w:lineRule="exact"/>
        <w:ind w:firstLine="640" w:firstLineChars="200"/>
        <w:rPr>
          <w:rFonts w:hint="eastAsia" w:ascii="Times New Roman" w:eastAsia="仿宋"/>
          <w:color w:val="auto"/>
          <w:szCs w:val="32"/>
        </w:rPr>
      </w:pPr>
      <w:r>
        <w:rPr>
          <w:rFonts w:ascii="Times New Roman" w:eastAsia="仿宋"/>
          <w:color w:val="auto"/>
          <w:szCs w:val="32"/>
        </w:rPr>
        <w:t>中华人民共和国境内外的法人、自然人和其他组织，符合竞买申请人条件的，除欠缴土地出让金者、已在本市取得合法土地未按规定开发建设者、列入福建省恶意逃废债务失信行为人“黑名单”的企业和自然人、全国法院失信被执行人（包括自然人、法人或其他组织）以及法律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交纳竞买保证金的截止时间为202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6</w:t>
      </w:r>
      <w:r>
        <w:rPr>
          <w:rFonts w:ascii="Times New Roman" w:eastAsia="仿宋"/>
          <w:color w:val="auto"/>
          <w:szCs w:val="32"/>
        </w:rPr>
        <w:t>月</w:t>
      </w:r>
      <w:r>
        <w:rPr>
          <w:rFonts w:hint="eastAsia" w:ascii="Times New Roman" w:eastAsia="仿宋"/>
          <w:color w:val="auto"/>
          <w:szCs w:val="32"/>
          <w:lang w:val="en-US" w:eastAsia="zh-CN"/>
        </w:rPr>
        <w:t>18</w:t>
      </w:r>
      <w:r>
        <w:rPr>
          <w:rFonts w:ascii="Times New Roman" w:eastAsia="仿宋"/>
          <w:color w:val="auto"/>
          <w:szCs w:val="32"/>
        </w:rPr>
        <w:t>日17时前（以到账时间为准）。竞买保证金账号在竞买人索取出让文件时，由泉州市产权交易中心有限公司另行发放。竞买人须在报名前将竞买保证金汇达泉州市产权交易中心有限公司指定的账户。</w:t>
      </w:r>
    </w:p>
    <w:p>
      <w:pPr>
        <w:spacing w:line="520" w:lineRule="exact"/>
        <w:ind w:firstLine="640" w:firstLineChars="200"/>
        <w:rPr>
          <w:rFonts w:ascii="Times New Roman" w:eastAsia="仿宋"/>
          <w:color w:val="auto"/>
          <w:szCs w:val="32"/>
        </w:rPr>
      </w:pPr>
      <w:r>
        <w:rPr>
          <w:rFonts w:hint="eastAsia" w:ascii="Times New Roman" w:eastAsia="仿宋"/>
          <w:color w:val="auto"/>
          <w:szCs w:val="32"/>
          <w:lang w:val="en-US" w:eastAsia="zh-CN"/>
        </w:rPr>
        <w:t>鲤2024-1</w:t>
      </w:r>
      <w:r>
        <w:rPr>
          <w:rFonts w:hint="eastAsia" w:ascii="Times New Roman" w:eastAsia="仿宋"/>
          <w:color w:val="auto"/>
          <w:szCs w:val="32"/>
        </w:rPr>
        <w:t>号</w:t>
      </w:r>
      <w:r>
        <w:rPr>
          <w:rFonts w:ascii="Times New Roman" w:eastAsia="仿宋"/>
          <w:color w:val="auto"/>
          <w:szCs w:val="32"/>
        </w:rPr>
        <w:t>地块的竞买保证金为人民币（大写）</w:t>
      </w:r>
      <w:r>
        <w:rPr>
          <w:rFonts w:hint="eastAsia" w:ascii="仿宋" w:hAnsi="仿宋" w:eastAsia="仿宋" w:cs="仿宋"/>
          <w:b w:val="0"/>
          <w:bCs w:val="0"/>
          <w:i w:val="0"/>
          <w:iCs w:val="0"/>
          <w:caps w:val="0"/>
          <w:color w:val="333333"/>
          <w:spacing w:val="0"/>
          <w:sz w:val="32"/>
          <w:szCs w:val="32"/>
          <w:shd w:val="clear" w:fill="FFFFFF"/>
        </w:rPr>
        <w:t>柒</w:t>
      </w:r>
      <w:r>
        <w:rPr>
          <w:rFonts w:hint="eastAsia" w:ascii="Times New Roman" w:eastAsia="仿宋"/>
          <w:color w:val="auto"/>
          <w:szCs w:val="32"/>
        </w:rPr>
        <w:t>仟</w:t>
      </w:r>
      <w:r>
        <w:rPr>
          <w:rFonts w:hint="eastAsia" w:ascii="Times New Roman" w:eastAsia="仿宋"/>
          <w:color w:val="auto"/>
          <w:szCs w:val="32"/>
          <w:lang w:val="en-US" w:eastAsia="zh-CN"/>
        </w:rPr>
        <w:t>肆佰</w:t>
      </w:r>
      <w:r>
        <w:rPr>
          <w:rFonts w:hint="eastAsia" w:ascii="Times New Roman" w:eastAsia="仿宋"/>
          <w:color w:val="auto"/>
          <w:szCs w:val="32"/>
        </w:rPr>
        <w:t>万元</w:t>
      </w:r>
      <w:r>
        <w:rPr>
          <w:rFonts w:ascii="Times New Roman" w:eastAsia="仿宋"/>
          <w:color w:val="auto"/>
          <w:szCs w:val="32"/>
        </w:rPr>
        <w:t>整（￥</w:t>
      </w:r>
      <w:r>
        <w:rPr>
          <w:rFonts w:hint="eastAsia" w:ascii="Times New Roman" w:eastAsia="仿宋"/>
          <w:color w:val="auto"/>
          <w:szCs w:val="32"/>
          <w:lang w:val="en-US" w:eastAsia="zh-CN"/>
        </w:rPr>
        <w:t>74</w:t>
      </w:r>
      <w:r>
        <w:rPr>
          <w:rFonts w:ascii="Times New Roman" w:eastAsia="仿宋"/>
          <w:color w:val="auto"/>
          <w:szCs w:val="32"/>
        </w:rPr>
        <w:t>,000,000.00）</w:t>
      </w:r>
      <w:r>
        <w:rPr>
          <w:rFonts w:hint="eastAsia"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六、申请和资格审查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（一）拍卖出让文件索取</w:t>
      </w:r>
    </w:p>
    <w:p>
      <w:pPr>
        <w:spacing w:line="520" w:lineRule="exact"/>
        <w:ind w:firstLine="640" w:firstLineChars="200"/>
        <w:rPr>
          <w:rFonts w:ascii="Times New Roman" w:eastAsia="仿宋"/>
          <w:color w:val="auto"/>
          <w:szCs w:val="32"/>
        </w:rPr>
      </w:pPr>
      <w:r>
        <w:rPr>
          <w:rFonts w:ascii="Times New Roman" w:eastAsia="仿宋"/>
          <w:color w:val="auto"/>
          <w:szCs w:val="32"/>
        </w:rPr>
        <w:t>竞买人可于202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5</w:t>
      </w:r>
      <w:r>
        <w:rPr>
          <w:rFonts w:ascii="Times New Roman" w:eastAsia="仿宋"/>
          <w:color w:val="auto"/>
          <w:szCs w:val="32"/>
        </w:rPr>
        <w:t>月</w:t>
      </w:r>
      <w:r>
        <w:rPr>
          <w:rFonts w:hint="eastAsia" w:ascii="Times New Roman" w:eastAsia="仿宋"/>
          <w:color w:val="auto"/>
          <w:szCs w:val="32"/>
          <w:lang w:val="en-US" w:eastAsia="zh-CN"/>
        </w:rPr>
        <w:t>30</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6</w:t>
      </w:r>
      <w:r>
        <w:rPr>
          <w:rFonts w:ascii="Times New Roman" w:eastAsia="仿宋"/>
          <w:color w:val="auto"/>
          <w:szCs w:val="32"/>
        </w:rPr>
        <w:t>月</w:t>
      </w:r>
      <w:r>
        <w:rPr>
          <w:rFonts w:hint="eastAsia" w:ascii="Times New Roman" w:eastAsia="仿宋"/>
          <w:color w:val="auto"/>
          <w:szCs w:val="32"/>
          <w:lang w:val="en-US" w:eastAsia="zh-CN"/>
        </w:rPr>
        <w:t>18</w:t>
      </w:r>
      <w:r>
        <w:rPr>
          <w:rFonts w:ascii="Times New Roman" w:eastAsia="仿宋"/>
          <w:color w:val="auto"/>
          <w:szCs w:val="32"/>
        </w:rPr>
        <w:t>日，到泉州市丰泽区海星街100号东海大厦A幢市政务服务中心4楼450室购买索取本次拍卖出让文件，具体包括：</w:t>
      </w:r>
    </w:p>
    <w:p>
      <w:pPr>
        <w:spacing w:line="520" w:lineRule="exact"/>
        <w:ind w:firstLine="640" w:firstLineChars="200"/>
        <w:rPr>
          <w:rFonts w:ascii="Times New Roman" w:eastAsia="仿宋"/>
          <w:color w:val="auto"/>
          <w:szCs w:val="32"/>
        </w:rPr>
      </w:pPr>
      <w:r>
        <w:rPr>
          <w:rFonts w:ascii="Times New Roman" w:eastAsia="仿宋"/>
          <w:color w:val="auto"/>
          <w:szCs w:val="32"/>
        </w:rPr>
        <w:t>1</w:t>
      </w:r>
      <w:r>
        <w:rPr>
          <w:rFonts w:hint="eastAsia" w:ascii="Times New Roman" w:eastAsia="仿宋"/>
          <w:color w:val="auto"/>
          <w:szCs w:val="32"/>
        </w:rPr>
        <w:t>.</w:t>
      </w:r>
      <w:r>
        <w:rPr>
          <w:rFonts w:ascii="Times New Roman" w:eastAsia="仿宋"/>
          <w:color w:val="auto"/>
          <w:szCs w:val="32"/>
        </w:rPr>
        <w:t>国有建设用地使用权出让公告(泉自然资告字〔202</w:t>
      </w:r>
      <w:r>
        <w:rPr>
          <w:rFonts w:hint="eastAsia" w:ascii="Times New Roman" w:eastAsia="仿宋"/>
          <w:color w:val="auto"/>
          <w:szCs w:val="32"/>
        </w:rPr>
        <w:t>4</w:t>
      </w:r>
      <w:r>
        <w:rPr>
          <w:rFonts w:ascii="Times New Roman" w:eastAsia="仿宋"/>
          <w:color w:val="auto"/>
          <w:szCs w:val="32"/>
        </w:rPr>
        <w:t>〕</w:t>
      </w:r>
      <w:r>
        <w:rPr>
          <w:rFonts w:hint="eastAsia" w:ascii="Times New Roman" w:eastAsia="仿宋"/>
          <w:color w:val="auto"/>
          <w:szCs w:val="32"/>
          <w:lang w:val="en-US" w:eastAsia="zh-CN"/>
        </w:rPr>
        <w:t>9</w:t>
      </w:r>
      <w:r>
        <w:rPr>
          <w:rFonts w:ascii="Times New Roman" w:eastAsia="仿宋"/>
          <w:color w:val="auto"/>
          <w:szCs w:val="32"/>
        </w:rPr>
        <w:t>号)</w:t>
      </w:r>
    </w:p>
    <w:p>
      <w:pPr>
        <w:spacing w:line="520" w:lineRule="exact"/>
        <w:ind w:firstLine="640" w:firstLineChars="200"/>
        <w:rPr>
          <w:rFonts w:ascii="Times New Roman" w:eastAsia="仿宋"/>
          <w:color w:val="auto"/>
          <w:szCs w:val="32"/>
        </w:rPr>
      </w:pPr>
      <w:r>
        <w:rPr>
          <w:rFonts w:ascii="Times New Roman" w:eastAsia="仿宋"/>
          <w:color w:val="auto"/>
          <w:szCs w:val="32"/>
        </w:rPr>
        <w:t>2</w:t>
      </w:r>
      <w:r>
        <w:rPr>
          <w:rFonts w:hint="eastAsia" w:ascii="Times New Roman" w:eastAsia="仿宋"/>
          <w:color w:val="auto"/>
          <w:szCs w:val="32"/>
        </w:rPr>
        <w:t>.</w:t>
      </w:r>
      <w:r>
        <w:rPr>
          <w:rFonts w:ascii="Times New Roman" w:eastAsia="仿宋"/>
          <w:color w:val="auto"/>
          <w:szCs w:val="32"/>
        </w:rPr>
        <w:t>国有建设用地使用权拍卖出让须知</w:t>
      </w:r>
    </w:p>
    <w:p>
      <w:pPr>
        <w:spacing w:line="520" w:lineRule="exact"/>
        <w:ind w:firstLine="640" w:firstLineChars="200"/>
        <w:rPr>
          <w:rFonts w:ascii="Times New Roman" w:eastAsia="仿宋"/>
          <w:color w:val="auto"/>
          <w:szCs w:val="32"/>
        </w:rPr>
      </w:pPr>
      <w:r>
        <w:rPr>
          <w:rFonts w:ascii="Times New Roman" w:eastAsia="仿宋"/>
          <w:color w:val="auto"/>
          <w:szCs w:val="32"/>
        </w:rPr>
        <w:t>3</w:t>
      </w:r>
      <w:r>
        <w:rPr>
          <w:rFonts w:hint="eastAsia" w:ascii="Times New Roman" w:eastAsia="仿宋"/>
          <w:color w:val="auto"/>
          <w:szCs w:val="32"/>
        </w:rPr>
        <w:t>.</w:t>
      </w:r>
      <w:r>
        <w:rPr>
          <w:rFonts w:ascii="Times New Roman" w:eastAsia="仿宋"/>
          <w:color w:val="auto"/>
          <w:szCs w:val="32"/>
        </w:rPr>
        <w:t>泉州市自然资源和规划局规划设计条件文件（复印件）</w:t>
      </w:r>
    </w:p>
    <w:p>
      <w:pPr>
        <w:spacing w:line="520" w:lineRule="exact"/>
        <w:ind w:firstLine="640" w:firstLineChars="200"/>
        <w:rPr>
          <w:rFonts w:ascii="Times New Roman" w:eastAsia="仿宋"/>
          <w:color w:val="auto"/>
          <w:szCs w:val="32"/>
        </w:rPr>
      </w:pPr>
      <w:r>
        <w:rPr>
          <w:rFonts w:ascii="Times New Roman" w:eastAsia="仿宋"/>
          <w:color w:val="auto"/>
          <w:szCs w:val="32"/>
        </w:rPr>
        <w:t>4</w:t>
      </w:r>
      <w:r>
        <w:rPr>
          <w:rFonts w:hint="eastAsia" w:ascii="Times New Roman" w:eastAsia="仿宋"/>
          <w:color w:val="auto"/>
          <w:szCs w:val="32"/>
        </w:rPr>
        <w:t>.</w:t>
      </w:r>
      <w:r>
        <w:rPr>
          <w:rFonts w:ascii="Times New Roman" w:eastAsia="仿宋"/>
          <w:color w:val="auto"/>
          <w:szCs w:val="32"/>
        </w:rPr>
        <w:t>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5</w:t>
      </w:r>
      <w:r>
        <w:rPr>
          <w:rFonts w:hint="eastAsia" w:ascii="Times New Roman" w:eastAsia="仿宋"/>
          <w:color w:val="auto"/>
          <w:szCs w:val="32"/>
        </w:rPr>
        <w:t>.</w:t>
      </w:r>
      <w:r>
        <w:rPr>
          <w:rFonts w:ascii="Times New Roman" w:eastAsia="仿宋"/>
          <w:color w:val="auto"/>
          <w:szCs w:val="32"/>
        </w:rPr>
        <w:t>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6</w:t>
      </w:r>
      <w:r>
        <w:rPr>
          <w:rFonts w:hint="eastAsia" w:ascii="Times New Roman" w:eastAsia="仿宋"/>
          <w:color w:val="auto"/>
          <w:szCs w:val="32"/>
        </w:rPr>
        <w:t>.</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7</w:t>
      </w:r>
      <w:r>
        <w:rPr>
          <w:rFonts w:hint="eastAsia" w:ascii="Times New Roman" w:eastAsia="仿宋"/>
          <w:color w:val="auto"/>
          <w:szCs w:val="32"/>
        </w:rPr>
        <w:t>.</w:t>
      </w:r>
      <w:r>
        <w:rPr>
          <w:rFonts w:ascii="Times New Roman" w:eastAsia="仿宋"/>
          <w:color w:val="auto"/>
          <w:szCs w:val="32"/>
        </w:rPr>
        <w:t>授权委托书</w:t>
      </w:r>
    </w:p>
    <w:p>
      <w:pPr>
        <w:spacing w:line="520" w:lineRule="exact"/>
        <w:ind w:firstLine="640" w:firstLineChars="200"/>
        <w:rPr>
          <w:rFonts w:ascii="Times New Roman" w:eastAsia="仿宋"/>
          <w:color w:val="auto"/>
          <w:szCs w:val="32"/>
        </w:rPr>
      </w:pPr>
      <w:r>
        <w:rPr>
          <w:rFonts w:ascii="Times New Roman" w:eastAsia="仿宋"/>
          <w:color w:val="auto"/>
          <w:szCs w:val="32"/>
        </w:rPr>
        <w:t>8</w:t>
      </w:r>
      <w:r>
        <w:rPr>
          <w:rFonts w:hint="eastAsia" w:ascii="Times New Roman" w:eastAsia="仿宋"/>
          <w:color w:val="auto"/>
          <w:szCs w:val="32"/>
        </w:rPr>
        <w:t>.</w:t>
      </w:r>
      <w:r>
        <w:rPr>
          <w:rFonts w:ascii="Times New Roman" w:eastAsia="仿宋"/>
          <w:color w:val="auto"/>
          <w:szCs w:val="32"/>
        </w:rPr>
        <w:t>竞买资格确认书（样本）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9</w:t>
      </w:r>
      <w:r>
        <w:rPr>
          <w:rFonts w:hint="eastAsia" w:ascii="Times New Roman" w:eastAsia="仿宋"/>
          <w:color w:val="auto"/>
          <w:szCs w:val="32"/>
        </w:rPr>
        <w:t>.</w:t>
      </w:r>
      <w:r>
        <w:rPr>
          <w:rFonts w:ascii="Times New Roman" w:eastAsia="仿宋"/>
          <w:color w:val="auto"/>
          <w:szCs w:val="32"/>
        </w:rPr>
        <w:t>成交确认书（样本）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10</w:t>
      </w:r>
      <w:r>
        <w:rPr>
          <w:rFonts w:hint="eastAsia" w:ascii="Times New Roman" w:eastAsia="仿宋"/>
          <w:color w:val="auto"/>
          <w:szCs w:val="32"/>
        </w:rPr>
        <w:t>.</w:t>
      </w:r>
      <w:r>
        <w:rPr>
          <w:rFonts w:ascii="Times New Roman" w:eastAsia="仿宋"/>
          <w:color w:val="auto"/>
          <w:szCs w:val="32"/>
        </w:rPr>
        <w:t>地块宗地图（复印件）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11</w:t>
      </w:r>
      <w:r>
        <w:rPr>
          <w:rFonts w:hint="eastAsia" w:ascii="Times New Roman" w:eastAsia="仿宋"/>
          <w:color w:val="auto"/>
          <w:szCs w:val="32"/>
        </w:rPr>
        <w:t>.</w:t>
      </w:r>
      <w:r>
        <w:rPr>
          <w:rFonts w:ascii="Times New Roman" w:eastAsia="仿宋"/>
          <w:color w:val="auto"/>
          <w:szCs w:val="32"/>
        </w:rPr>
        <w:t>泉州市自然资源和规划局用地红线图（复印件）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（二）提交申请</w:t>
      </w:r>
    </w:p>
    <w:p>
      <w:pPr>
        <w:spacing w:line="520" w:lineRule="exact"/>
        <w:ind w:firstLine="640" w:firstLineChars="200"/>
        <w:rPr>
          <w:rFonts w:ascii="Times New Roman" w:eastAsia="仿宋"/>
          <w:color w:val="auto"/>
          <w:szCs w:val="32"/>
        </w:rPr>
      </w:pPr>
      <w:r>
        <w:rPr>
          <w:rFonts w:ascii="Times New Roman" w:eastAsia="仿宋"/>
          <w:color w:val="auto"/>
          <w:szCs w:val="32"/>
        </w:rPr>
        <w:t>竞买人应于202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6</w:t>
      </w:r>
      <w:r>
        <w:rPr>
          <w:rFonts w:ascii="Times New Roman" w:eastAsia="仿宋"/>
          <w:color w:val="auto"/>
          <w:szCs w:val="32"/>
        </w:rPr>
        <w:t>月</w:t>
      </w:r>
      <w:r>
        <w:rPr>
          <w:rFonts w:hint="eastAsia" w:ascii="Times New Roman" w:eastAsia="仿宋"/>
          <w:color w:val="auto"/>
          <w:szCs w:val="32"/>
          <w:lang w:val="en-US" w:eastAsia="zh-CN"/>
        </w:rPr>
        <w:t>18</w:t>
      </w:r>
      <w:r>
        <w:rPr>
          <w:rFonts w:ascii="Times New Roman" w:eastAsia="仿宋"/>
          <w:color w:val="auto"/>
          <w:szCs w:val="32"/>
        </w:rPr>
        <w:t>日17时前，到泉州市丰泽区海星街100号东海大厦A幢市政务服务中心4楼450室提交书面申请（不接受邮寄、电子邮件及口头竞买报名），</w:t>
      </w:r>
      <w:r>
        <w:rPr>
          <w:rFonts w:ascii="Times New Roman" w:eastAsia="仿宋"/>
          <w:b/>
          <w:color w:val="auto"/>
          <w:szCs w:val="32"/>
        </w:rPr>
        <w:t>所有申请文件必须为正本一式二份。</w:t>
      </w:r>
      <w:r>
        <w:rPr>
          <w:rFonts w:ascii="Times New Roman" w:eastAsia="仿宋"/>
          <w:color w:val="auto"/>
          <w:szCs w:val="32"/>
        </w:rPr>
        <w:t>申请文件包括：</w:t>
      </w:r>
    </w:p>
    <w:p>
      <w:pPr>
        <w:spacing w:line="520" w:lineRule="exact"/>
        <w:ind w:firstLine="640" w:firstLineChars="200"/>
        <w:rPr>
          <w:rFonts w:ascii="Times New Roman" w:eastAsia="仿宋"/>
          <w:color w:val="auto"/>
          <w:szCs w:val="32"/>
        </w:rPr>
      </w:pPr>
      <w:r>
        <w:rPr>
          <w:rFonts w:ascii="Times New Roman" w:eastAsia="仿宋"/>
          <w:color w:val="auto"/>
          <w:szCs w:val="32"/>
        </w:rPr>
        <w:t>1．法人申请的，应提交下列文件：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hint="eastAsia"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）法人单位有效证明文件；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）竞买人委托他人办理的，应提交授权委托书及委托代理人的有效身份证明文件；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）竞买保证金交纳凭证；</w:t>
      </w:r>
    </w:p>
    <w:p>
      <w:pPr>
        <w:spacing w:line="520" w:lineRule="exact"/>
        <w:ind w:firstLine="640" w:firstLineChars="200"/>
        <w:rPr>
          <w:rFonts w:hint="eastAsia" w:ascii="Times New Roman" w:eastAsia="仿宋"/>
          <w:color w:val="auto"/>
          <w:szCs w:val="32"/>
        </w:rPr>
      </w:pPr>
      <w:r>
        <w:rPr>
          <w:rFonts w:ascii="Times New Roman" w:eastAsia="仿宋"/>
          <w:color w:val="auto"/>
          <w:szCs w:val="32"/>
        </w:rPr>
        <w:t>（</w:t>
      </w:r>
      <w:r>
        <w:rPr>
          <w:rFonts w:hint="eastAsia" w:ascii="Times New Roman" w:eastAsia="仿宋"/>
          <w:color w:val="auto"/>
          <w:szCs w:val="32"/>
        </w:rPr>
        <w:t>8</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2</w:t>
      </w:r>
      <w:r>
        <w:rPr>
          <w:rFonts w:ascii="Times New Roman" w:eastAsia="仿宋"/>
          <w:color w:val="auto"/>
          <w:szCs w:val="32"/>
        </w:rPr>
        <w:t>．</w:t>
      </w:r>
      <w:r>
        <w:rPr>
          <w:rFonts w:eastAsia="仿宋"/>
          <w:color w:val="000000" w:themeColor="text1"/>
          <w:szCs w:val="32"/>
        </w:rPr>
        <w:t>自然人</w:t>
      </w:r>
      <w:r>
        <w:rPr>
          <w:rFonts w:ascii="Times New Roman" w:eastAsia="仿宋"/>
          <w:color w:val="auto"/>
          <w:szCs w:val="32"/>
        </w:rPr>
        <w:t>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hint="eastAsia"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（4）申请人有效身份证明文件；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（5）申请人委托他人办理的，应提交经公证的授权委托书及委托代理人的身份证明文件；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3</w:t>
      </w:r>
      <w:r>
        <w:rPr>
          <w:rFonts w:ascii="Times New Roman" w:eastAsia="仿宋"/>
          <w:color w:val="auto"/>
          <w:szCs w:val="32"/>
        </w:rPr>
        <w:t>．其他组织申请的，应提交下列文件：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hint="eastAsia"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）表明该组织合法存在的文件或有效证明；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）表明该组织负责人身份的有效证明文件；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）申请人委托他人办理的，应提交授权委托书及委托代理人的身份证明文件；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8</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4</w:t>
      </w:r>
      <w:r>
        <w:rPr>
          <w:rFonts w:ascii="Times New Roman" w:eastAsia="仿宋"/>
          <w:color w:val="auto"/>
          <w:szCs w:val="32"/>
        </w:rPr>
        <w:t>．境外申请人申请的，应提交下列文件：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hint="eastAsia"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）境外法人、自然人、其他组织的有效身份证明文件；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）申请人委托他人办理的，应提交经公证的授权委托书及委托代理人的有效身份证明文件；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上述文件中，申请书必须用中文书写，其他文件可以使用其他语言，但必须附中文译本，所有文件的解释以中文译本为准。</w:t>
      </w:r>
    </w:p>
    <w:p>
      <w:pPr>
        <w:spacing w:line="520" w:lineRule="exact"/>
        <w:ind w:firstLine="640" w:firstLineChars="200"/>
        <w:rPr>
          <w:rFonts w:ascii="Times New Roman" w:eastAsia="仿宋"/>
          <w:color w:val="auto"/>
          <w:szCs w:val="32"/>
        </w:rPr>
      </w:pPr>
      <w:r>
        <w:rPr>
          <w:rFonts w:ascii="Times New Roman" w:eastAsia="仿宋"/>
          <w:color w:val="auto"/>
          <w:szCs w:val="32"/>
        </w:rPr>
        <w:t>（三）资格审查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受我局委托，由泉州市产权交易中心有限公司负责对拍卖出让公告规定的时间内收到的申请进行资格审查。竞买人按规定交纳竞买保证金、通过资格审查的，方能取得竞买资格。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经审查，有下列情形之一的，为无效申请：</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1.竞买人不具备竞买资格的；</w:t>
      </w:r>
    </w:p>
    <w:p>
      <w:pPr>
        <w:spacing w:line="520" w:lineRule="exact"/>
        <w:ind w:firstLine="640" w:firstLineChars="200"/>
        <w:rPr>
          <w:rFonts w:ascii="Times New Roman" w:eastAsia="仿宋"/>
          <w:color w:val="auto"/>
          <w:szCs w:val="32"/>
        </w:rPr>
      </w:pPr>
      <w:r>
        <w:rPr>
          <w:rFonts w:ascii="Times New Roman" w:eastAsia="仿宋"/>
          <w:color w:val="auto"/>
          <w:szCs w:val="32"/>
        </w:rPr>
        <w:t>2.未按规定交纳竞买保证金的；</w:t>
      </w:r>
    </w:p>
    <w:p>
      <w:pPr>
        <w:spacing w:line="520" w:lineRule="exact"/>
        <w:ind w:firstLine="640" w:firstLineChars="200"/>
        <w:rPr>
          <w:rFonts w:ascii="Times New Roman" w:eastAsia="仿宋"/>
          <w:color w:val="auto"/>
          <w:szCs w:val="32"/>
        </w:rPr>
      </w:pPr>
      <w:r>
        <w:rPr>
          <w:rFonts w:ascii="Times New Roman" w:eastAsia="仿宋"/>
          <w:color w:val="auto"/>
          <w:szCs w:val="32"/>
        </w:rPr>
        <w:t>3.申请文件不齐全或不符合规定的；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4.委托他人代理，委托文件不齐全或不符合规定的；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5.竞买人违反《竞买承诺书》中约定的；</w:t>
      </w:r>
    </w:p>
    <w:p>
      <w:pPr>
        <w:spacing w:line="520" w:lineRule="exact"/>
        <w:ind w:firstLine="640" w:firstLineChars="200"/>
        <w:rPr>
          <w:rFonts w:ascii="Times New Roman" w:eastAsia="仿宋"/>
          <w:color w:val="auto"/>
          <w:szCs w:val="32"/>
        </w:rPr>
      </w:pPr>
      <w:r>
        <w:rPr>
          <w:rFonts w:ascii="Times New Roman" w:eastAsia="仿宋"/>
          <w:color w:val="auto"/>
          <w:szCs w:val="32"/>
        </w:rPr>
        <w:t>6.法律法规规定的其他情形。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（四）确认竞买人资格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经审查，竞买人按规定交纳竞买保证金、具备申请条件的，泉州市产权交易中心有限公司将在报名结束后确认其竞买资格，发给《竞买资格确认书》。</w:t>
      </w:r>
    </w:p>
    <w:p>
      <w:pPr>
        <w:spacing w:line="520" w:lineRule="exact"/>
        <w:ind w:firstLine="640" w:firstLineChars="200"/>
        <w:rPr>
          <w:rFonts w:ascii="Times New Roman" w:eastAsia="仿宋"/>
          <w:color w:val="auto"/>
          <w:szCs w:val="32"/>
        </w:rPr>
      </w:pPr>
      <w:r>
        <w:rPr>
          <w:rFonts w:ascii="Times New Roman" w:eastAsia="仿宋"/>
          <w:color w:val="auto"/>
          <w:szCs w:val="32"/>
        </w:rPr>
        <w:t>（五）答疑及现场踏勘</w:t>
      </w:r>
    </w:p>
    <w:p>
      <w:pPr>
        <w:spacing w:line="520" w:lineRule="exact"/>
        <w:ind w:firstLine="640" w:firstLineChars="200"/>
        <w:rPr>
          <w:rFonts w:ascii="Times New Roman" w:eastAsia="仿宋"/>
          <w:color w:val="auto"/>
          <w:szCs w:val="32"/>
        </w:rPr>
      </w:pPr>
      <w:r>
        <w:rPr>
          <w:rFonts w:ascii="Times New Roman" w:eastAsia="仿宋"/>
          <w:color w:val="auto"/>
          <w:szCs w:val="32"/>
        </w:rPr>
        <w:t>竞买人对拍卖出让文件有疑问的，可以在拍卖会开始前以书面或者口头方式向我局咨询。我局于202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6</w:t>
      </w:r>
      <w:r>
        <w:rPr>
          <w:rFonts w:ascii="Times New Roman" w:eastAsia="仿宋"/>
          <w:color w:val="auto"/>
          <w:szCs w:val="32"/>
        </w:rPr>
        <w:t>月</w:t>
      </w:r>
      <w:r>
        <w:rPr>
          <w:rFonts w:hint="eastAsia" w:ascii="Times New Roman" w:eastAsia="仿宋"/>
          <w:color w:val="auto"/>
          <w:szCs w:val="32"/>
          <w:lang w:val="en-US" w:eastAsia="zh-CN"/>
        </w:rPr>
        <w:t>3</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6</w:t>
      </w:r>
      <w:r>
        <w:rPr>
          <w:rFonts w:ascii="Times New Roman" w:eastAsia="仿宋"/>
          <w:color w:val="auto"/>
          <w:szCs w:val="32"/>
        </w:rPr>
        <w:t>月</w:t>
      </w:r>
      <w:r>
        <w:rPr>
          <w:rFonts w:hint="eastAsia" w:ascii="Times New Roman" w:eastAsia="仿宋"/>
          <w:color w:val="auto"/>
          <w:szCs w:val="32"/>
          <w:lang w:val="en-US" w:eastAsia="zh-CN"/>
        </w:rPr>
        <w:t>4</w:t>
      </w:r>
      <w:r>
        <w:rPr>
          <w:rFonts w:ascii="Times New Roman" w:eastAsia="仿宋"/>
          <w:color w:val="auto"/>
          <w:szCs w:val="32"/>
        </w:rPr>
        <w:t>日组织竞买人对拟出让地块进行现场踏勘。需由我局派员陪同实地踏勘的，请提前与我局联系（联系电话：0595－22769392）。</w:t>
      </w:r>
    </w:p>
    <w:p>
      <w:pPr>
        <w:spacing w:line="520" w:lineRule="exact"/>
        <w:ind w:firstLine="640" w:firstLineChars="200"/>
        <w:rPr>
          <w:rFonts w:ascii="Times New Roman" w:eastAsia="仿宋"/>
          <w:color w:val="auto"/>
          <w:szCs w:val="32"/>
        </w:rPr>
      </w:pPr>
      <w:r>
        <w:rPr>
          <w:rFonts w:ascii="Times New Roman" w:eastAsia="仿宋"/>
          <w:color w:val="auto"/>
          <w:szCs w:val="32"/>
        </w:rPr>
        <w:t>七、宗地的拍卖起叫价和增价幅度</w:t>
      </w:r>
    </w:p>
    <w:p>
      <w:pPr>
        <w:spacing w:line="520" w:lineRule="exact"/>
        <w:ind w:firstLine="640" w:firstLineChars="200"/>
        <w:rPr>
          <w:rFonts w:ascii="Times New Roman" w:eastAsia="仿宋"/>
          <w:color w:val="auto"/>
          <w:szCs w:val="32"/>
        </w:rPr>
      </w:pPr>
      <w:r>
        <w:rPr>
          <w:rFonts w:hint="eastAsia" w:ascii="Times New Roman" w:eastAsia="仿宋"/>
          <w:color w:val="auto"/>
          <w:szCs w:val="32"/>
          <w:lang w:val="en-US" w:eastAsia="zh-CN"/>
        </w:rPr>
        <w:t>鲤</w:t>
      </w:r>
      <w:r>
        <w:rPr>
          <w:rFonts w:hint="eastAsia" w:ascii="Times New Roman" w:eastAsia="仿宋"/>
          <w:color w:val="auto"/>
          <w:szCs w:val="32"/>
        </w:rPr>
        <w:t>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1</w:t>
      </w:r>
      <w:r>
        <w:rPr>
          <w:rFonts w:ascii="Times New Roman" w:eastAsia="仿宋"/>
          <w:color w:val="auto"/>
          <w:szCs w:val="32"/>
        </w:rPr>
        <w:t>号地块，起叫价为人民币（大写）</w:t>
      </w:r>
      <w:r>
        <w:rPr>
          <w:rFonts w:hint="eastAsia" w:ascii="Times New Roman" w:eastAsia="仿宋"/>
          <w:color w:val="auto"/>
          <w:szCs w:val="32"/>
          <w:lang w:val="en-US" w:eastAsia="zh-CN"/>
        </w:rPr>
        <w:t>叁</w:t>
      </w:r>
      <w:r>
        <w:rPr>
          <w:rFonts w:hint="eastAsia" w:ascii="Times New Roman" w:eastAsia="仿宋"/>
          <w:color w:val="auto"/>
          <w:szCs w:val="32"/>
        </w:rPr>
        <w:t>亿</w:t>
      </w:r>
      <w:r>
        <w:rPr>
          <w:rFonts w:hint="eastAsia" w:ascii="Times New Roman" w:eastAsia="仿宋"/>
          <w:color w:val="auto"/>
          <w:szCs w:val="32"/>
          <w:lang w:val="en-US" w:eastAsia="zh-CN"/>
        </w:rPr>
        <w:t>陆</w:t>
      </w:r>
      <w:r>
        <w:rPr>
          <w:rFonts w:hint="eastAsia" w:ascii="Times New Roman" w:eastAsia="仿宋"/>
          <w:color w:val="auto"/>
          <w:szCs w:val="32"/>
        </w:rPr>
        <w:t>仟</w:t>
      </w:r>
      <w:r>
        <w:rPr>
          <w:rFonts w:hint="eastAsia" w:ascii="Times New Roman" w:eastAsia="仿宋"/>
          <w:color w:val="auto"/>
          <w:szCs w:val="32"/>
          <w:lang w:val="en-US" w:eastAsia="zh-CN"/>
        </w:rPr>
        <w:t>玖</w:t>
      </w:r>
      <w:r>
        <w:rPr>
          <w:rFonts w:hint="eastAsia" w:ascii="Times New Roman" w:eastAsia="仿宋"/>
          <w:color w:val="auto"/>
          <w:szCs w:val="32"/>
        </w:rPr>
        <w:t>佰万元</w:t>
      </w:r>
      <w:r>
        <w:rPr>
          <w:rFonts w:ascii="Times New Roman" w:eastAsia="仿宋"/>
          <w:color w:val="auto"/>
          <w:szCs w:val="32"/>
        </w:rPr>
        <w:t>整（￥</w:t>
      </w:r>
      <w:r>
        <w:rPr>
          <w:rFonts w:hint="eastAsia" w:ascii="Times New Roman" w:eastAsia="仿宋"/>
          <w:color w:val="auto"/>
          <w:szCs w:val="32"/>
          <w:lang w:val="en-US" w:eastAsia="zh-CN"/>
        </w:rPr>
        <w:t>369</w:t>
      </w:r>
      <w:r>
        <w:rPr>
          <w:rFonts w:hint="eastAsia" w:ascii="Times New Roman" w:eastAsia="仿宋"/>
          <w:color w:val="auto"/>
          <w:szCs w:val="32"/>
        </w:rPr>
        <w:t>,00</w:t>
      </w:r>
      <w:r>
        <w:rPr>
          <w:rFonts w:ascii="Times New Roman" w:eastAsia="仿宋"/>
          <w:color w:val="auto"/>
          <w:szCs w:val="32"/>
        </w:rPr>
        <w:t>0,000.00），增价幅度为人民币（大写）</w:t>
      </w:r>
      <w:r>
        <w:rPr>
          <w:rFonts w:hint="eastAsia" w:ascii="Times New Roman" w:eastAsia="仿宋"/>
          <w:color w:val="auto"/>
          <w:szCs w:val="32"/>
        </w:rPr>
        <w:t>壹佰万</w:t>
      </w:r>
      <w:r>
        <w:rPr>
          <w:rFonts w:ascii="Times New Roman" w:eastAsia="仿宋"/>
          <w:color w:val="auto"/>
          <w:szCs w:val="32"/>
        </w:rPr>
        <w:t>元整（￥</w:t>
      </w:r>
      <w:r>
        <w:rPr>
          <w:rFonts w:hint="eastAsia" w:ascii="Times New Roman" w:eastAsia="仿宋"/>
          <w:color w:val="auto"/>
          <w:szCs w:val="32"/>
        </w:rPr>
        <w:t>1</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或100万元整数倍金额。</w:t>
      </w:r>
    </w:p>
    <w:p>
      <w:pPr>
        <w:spacing w:line="520" w:lineRule="exact"/>
        <w:ind w:firstLine="640" w:firstLineChars="200"/>
        <w:rPr>
          <w:rFonts w:ascii="Times New Roman" w:eastAsia="仿宋"/>
          <w:color w:val="auto"/>
          <w:szCs w:val="32"/>
        </w:rPr>
      </w:pPr>
      <w:r>
        <w:rPr>
          <w:rFonts w:ascii="Times New Roman" w:eastAsia="仿宋"/>
          <w:color w:val="auto"/>
          <w:szCs w:val="32"/>
        </w:rPr>
        <w:t>八、拍卖程序</w:t>
      </w:r>
    </w:p>
    <w:p>
      <w:pPr>
        <w:spacing w:line="520" w:lineRule="exact"/>
        <w:ind w:firstLine="640" w:firstLineChars="200"/>
        <w:rPr>
          <w:rFonts w:ascii="Times New Roman" w:eastAsia="仿宋"/>
          <w:color w:val="auto"/>
          <w:szCs w:val="32"/>
        </w:rPr>
      </w:pPr>
      <w:r>
        <w:rPr>
          <w:rFonts w:ascii="Times New Roman" w:eastAsia="仿宋"/>
          <w:color w:val="auto"/>
          <w:szCs w:val="32"/>
        </w:rPr>
        <w:t>（一）拍卖会程序</w:t>
      </w:r>
    </w:p>
    <w:p>
      <w:pPr>
        <w:spacing w:line="520" w:lineRule="exact"/>
        <w:ind w:firstLine="640" w:firstLineChars="200"/>
        <w:rPr>
          <w:rFonts w:ascii="Times New Roman" w:eastAsia="仿宋"/>
          <w:color w:val="auto"/>
          <w:szCs w:val="32"/>
        </w:rPr>
      </w:pPr>
      <w:r>
        <w:rPr>
          <w:rFonts w:ascii="Times New Roman" w:eastAsia="仿宋"/>
          <w:color w:val="auto"/>
          <w:szCs w:val="32"/>
        </w:rPr>
        <w:t>1．拍卖主持人宣布拍卖会开始。</w:t>
      </w:r>
    </w:p>
    <w:p>
      <w:pPr>
        <w:spacing w:line="520" w:lineRule="exact"/>
        <w:ind w:firstLine="640" w:firstLineChars="200"/>
        <w:rPr>
          <w:rFonts w:ascii="Times New Roman" w:eastAsia="仿宋"/>
          <w:color w:val="auto"/>
          <w:szCs w:val="32"/>
        </w:rPr>
      </w:pPr>
      <w:r>
        <w:rPr>
          <w:rFonts w:ascii="Times New Roman" w:eastAsia="仿宋"/>
          <w:color w:val="auto"/>
          <w:szCs w:val="32"/>
        </w:rPr>
        <w:t>2．拍卖主持人、记录员、公证员就位。</w:t>
      </w:r>
    </w:p>
    <w:p>
      <w:pPr>
        <w:spacing w:line="520" w:lineRule="exact"/>
        <w:ind w:firstLine="640" w:firstLineChars="200"/>
        <w:rPr>
          <w:rFonts w:ascii="Times New Roman" w:eastAsia="仿宋"/>
          <w:color w:val="auto"/>
          <w:szCs w:val="32"/>
        </w:rPr>
      </w:pPr>
      <w:r>
        <w:rPr>
          <w:rFonts w:ascii="Times New Roman" w:eastAsia="仿宋"/>
          <w:color w:val="auto"/>
          <w:szCs w:val="32"/>
        </w:rPr>
        <w:t>3．拍卖主持人点算竞买人。点到竞买号牌号码时，竞买人须举牌示意。拍卖主持人宣布竞买人到场情况。</w:t>
      </w:r>
    </w:p>
    <w:p>
      <w:pPr>
        <w:spacing w:line="520" w:lineRule="exact"/>
        <w:ind w:firstLine="640" w:firstLineChars="200"/>
        <w:rPr>
          <w:rFonts w:ascii="Times New Roman" w:eastAsia="仿宋"/>
          <w:color w:val="auto"/>
          <w:szCs w:val="32"/>
        </w:rPr>
      </w:pPr>
      <w:r>
        <w:rPr>
          <w:rFonts w:ascii="Times New Roman" w:eastAsia="仿宋"/>
          <w:color w:val="auto"/>
          <w:szCs w:val="32"/>
        </w:rPr>
        <w:t>4．拍卖主持人介绍拍卖地块的位置、面积、用途、使用年限、规划指标要求、建设时间等。</w:t>
      </w:r>
    </w:p>
    <w:p>
      <w:pPr>
        <w:spacing w:line="520" w:lineRule="exact"/>
        <w:ind w:firstLine="640" w:firstLineChars="200"/>
        <w:rPr>
          <w:rFonts w:ascii="Times New Roman" w:eastAsia="仿宋"/>
          <w:color w:val="auto"/>
          <w:szCs w:val="32"/>
        </w:rPr>
      </w:pPr>
      <w:r>
        <w:rPr>
          <w:rFonts w:ascii="Times New Roman" w:eastAsia="仿宋"/>
          <w:color w:val="auto"/>
          <w:szCs w:val="32"/>
        </w:rPr>
        <w:t>5．拍卖主持人宣布拍卖宗地的起叫价、增价规则和增价幅度，并明确提示不设保留价。在拍卖过程中，拍卖主持人可根据现场情况调整增价幅度。</w:t>
      </w:r>
    </w:p>
    <w:p>
      <w:pPr>
        <w:spacing w:line="520" w:lineRule="exact"/>
        <w:ind w:firstLine="640" w:firstLineChars="200"/>
        <w:rPr>
          <w:rFonts w:ascii="Times New Roman" w:eastAsia="仿宋"/>
          <w:color w:val="auto"/>
          <w:szCs w:val="32"/>
        </w:rPr>
      </w:pPr>
      <w:r>
        <w:rPr>
          <w:rFonts w:ascii="Times New Roman" w:eastAsia="仿宋"/>
          <w:color w:val="auto"/>
          <w:szCs w:val="32"/>
        </w:rPr>
        <w:t>6．拍卖主持人报出起叫价，宣布竞价开始。</w:t>
      </w:r>
    </w:p>
    <w:p>
      <w:pPr>
        <w:spacing w:line="520" w:lineRule="exact"/>
        <w:ind w:firstLine="640" w:firstLineChars="200"/>
        <w:rPr>
          <w:rFonts w:ascii="Times New Roman" w:eastAsia="仿宋"/>
          <w:color w:val="auto"/>
          <w:szCs w:val="32"/>
        </w:rPr>
      </w:pPr>
      <w:r>
        <w:rPr>
          <w:rFonts w:ascii="Times New Roman" w:eastAsia="仿宋"/>
          <w:color w:val="auto"/>
          <w:szCs w:val="32"/>
        </w:rPr>
        <w:t>7．竞买人举牌应价或者报价。竞买人举牌报价，可以是主持人的叫价，也可以是叫价加上增价幅度的整数倍。竞买人报价时，手举的竞买号牌应高出头部。经主持人同意后，竞买人方可放下已经举起的竞买号牌。</w:t>
      </w:r>
    </w:p>
    <w:p>
      <w:pPr>
        <w:spacing w:line="520" w:lineRule="exact"/>
        <w:ind w:firstLine="640" w:firstLineChars="200"/>
        <w:rPr>
          <w:rFonts w:ascii="Times New Roman" w:eastAsia="仿宋"/>
          <w:color w:val="auto"/>
          <w:szCs w:val="32"/>
        </w:rPr>
      </w:pPr>
      <w:r>
        <w:rPr>
          <w:rFonts w:ascii="Times New Roman" w:eastAsia="仿宋"/>
          <w:color w:val="auto"/>
          <w:szCs w:val="32"/>
        </w:rPr>
        <w:t>8．拍卖主持人确认该竞买人应价或者报价后继续竞价。</w:t>
      </w:r>
    </w:p>
    <w:p>
      <w:pPr>
        <w:spacing w:line="520" w:lineRule="exact"/>
        <w:ind w:firstLine="640" w:firstLineChars="200"/>
        <w:rPr>
          <w:rFonts w:ascii="Times New Roman" w:eastAsia="仿宋"/>
          <w:color w:val="auto"/>
          <w:szCs w:val="32"/>
        </w:rPr>
      </w:pPr>
      <w:r>
        <w:rPr>
          <w:rFonts w:ascii="Times New Roman" w:eastAsia="仿宋"/>
          <w:color w:val="auto"/>
          <w:szCs w:val="32"/>
        </w:rPr>
        <w:t>9．拍卖主持人连续三次宣布同一应价或报价而没有人再应价或出价的，拍卖主持人落槌表示拍卖成交，并宣布最高应价者为竞得人。成交结果对竞得人和出让人均具有法律效力。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（三）出让人与竞得人依据《成交确认书》约定签订《国有建设用地使用权出让合同》。</w:t>
      </w:r>
    </w:p>
    <w:p>
      <w:pPr>
        <w:spacing w:line="520" w:lineRule="exact"/>
        <w:ind w:firstLine="640" w:firstLineChars="200"/>
        <w:rPr>
          <w:rFonts w:ascii="Times New Roman" w:eastAsia="仿宋"/>
          <w:color w:val="auto"/>
          <w:szCs w:val="32"/>
        </w:rPr>
      </w:pPr>
      <w:r>
        <w:rPr>
          <w:rFonts w:ascii="Times New Roman" w:eastAsia="仿宋"/>
          <w:color w:val="auto"/>
          <w:szCs w:val="32"/>
        </w:rPr>
        <w:t>（四）出让结果公布</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我局将在此次国有建设用地使用权拍卖会结束后10个工作日内，在中国土地市场网（www.landchina.com）、泉州自然资源和规划</w:t>
      </w:r>
      <w:r>
        <w:rPr>
          <w:rFonts w:ascii="Times New Roman" w:eastAsia="仿宋"/>
          <w:color w:val="auto"/>
          <w:kern w:val="10"/>
          <w:szCs w:val="32"/>
        </w:rPr>
        <w:t>信息网（</w:t>
      </w:r>
      <w:r>
        <w:rPr>
          <w:rFonts w:ascii="Times New Roman" w:eastAsia="仿宋"/>
          <w:color w:val="auto"/>
          <w:szCs w:val="32"/>
        </w:rPr>
        <w:t>zyghj.quanzhou.gov.cn</w:t>
      </w:r>
      <w:r>
        <w:rPr>
          <w:rFonts w:ascii="Times New Roman" w:eastAsia="仿宋"/>
          <w:color w:val="auto"/>
          <w:kern w:val="10"/>
          <w:szCs w:val="32"/>
        </w:rPr>
        <w:t>）</w:t>
      </w:r>
      <w:r>
        <w:rPr>
          <w:rFonts w:ascii="Times New Roman" w:eastAsia="仿宋"/>
          <w:color w:val="auto"/>
          <w:szCs w:val="32"/>
        </w:rPr>
        <w:t>公布本次国有建设用地使用权拍卖出让结果。</w:t>
      </w:r>
    </w:p>
    <w:p>
      <w:pPr>
        <w:spacing w:line="520" w:lineRule="exact"/>
        <w:ind w:firstLine="640" w:firstLineChars="200"/>
        <w:rPr>
          <w:rFonts w:ascii="Times New Roman" w:eastAsia="仿宋"/>
          <w:color w:val="auto"/>
          <w:szCs w:val="32"/>
        </w:rPr>
      </w:pPr>
      <w:r>
        <w:rPr>
          <w:rFonts w:ascii="Times New Roman" w:eastAsia="仿宋"/>
          <w:color w:val="auto"/>
          <w:szCs w:val="32"/>
        </w:rPr>
        <w:t>九、竞价规则</w:t>
      </w:r>
    </w:p>
    <w:p>
      <w:pPr>
        <w:spacing w:line="520" w:lineRule="exact"/>
        <w:ind w:firstLine="640" w:firstLineChars="200"/>
        <w:rPr>
          <w:rFonts w:ascii="Times New Roman" w:eastAsia="仿宋"/>
          <w:color w:val="auto"/>
          <w:szCs w:val="32"/>
        </w:rPr>
      </w:pPr>
      <w:r>
        <w:rPr>
          <w:rFonts w:ascii="Times New Roman" w:eastAsia="仿宋"/>
          <w:color w:val="auto"/>
          <w:szCs w:val="32"/>
        </w:rPr>
        <w:t>（一）不设保留价，</w:t>
      </w:r>
      <w:r>
        <w:rPr>
          <w:rFonts w:hint="eastAsia" w:ascii="Times New Roman" w:eastAsia="仿宋"/>
          <w:color w:val="auto"/>
          <w:szCs w:val="32"/>
        </w:rPr>
        <w:t>按照价高者得的原则</w:t>
      </w:r>
      <w:r>
        <w:rPr>
          <w:rFonts w:ascii="Times New Roman" w:eastAsia="仿宋"/>
          <w:color w:val="auto"/>
          <w:szCs w:val="32"/>
        </w:rPr>
        <w:t>确定竞得人。</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（二）竞买人以举牌方式应价，也可以报价，报价的加价幅度不得小于拍卖主持人宣布或调整的增价幅度。</w:t>
      </w:r>
    </w:p>
    <w:p>
      <w:pPr>
        <w:spacing w:line="520" w:lineRule="exact"/>
        <w:ind w:firstLine="640" w:firstLineChars="200"/>
        <w:rPr>
          <w:rFonts w:ascii="Times New Roman" w:eastAsia="仿宋"/>
          <w:color w:val="auto"/>
          <w:szCs w:val="32"/>
        </w:rPr>
      </w:pPr>
      <w:r>
        <w:rPr>
          <w:rFonts w:ascii="Times New Roman" w:eastAsia="仿宋"/>
          <w:color w:val="auto"/>
          <w:kern w:val="10"/>
          <w:szCs w:val="32"/>
        </w:rPr>
        <w:t>（</w:t>
      </w:r>
      <w:r>
        <w:rPr>
          <w:rFonts w:hint="eastAsia" w:ascii="Times New Roman" w:eastAsia="仿宋"/>
          <w:color w:val="auto"/>
          <w:kern w:val="10"/>
          <w:szCs w:val="32"/>
        </w:rPr>
        <w:t>三</w:t>
      </w:r>
      <w:r>
        <w:rPr>
          <w:rFonts w:ascii="Times New Roman" w:eastAsia="仿宋"/>
          <w:color w:val="auto"/>
          <w:kern w:val="10"/>
          <w:szCs w:val="32"/>
        </w:rPr>
        <w:t>）竞买人凭《竞买资格确认书》和法定代表人（自然人、受委托代理人）身份证件领取竞买号牌。</w:t>
      </w:r>
      <w:r>
        <w:rPr>
          <w:rFonts w:ascii="Times New Roman" w:eastAsia="仿宋"/>
          <w:color w:val="auto"/>
          <w:szCs w:val="32"/>
        </w:rPr>
        <w:t>竞买号牌代表竞买人的资格。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w:t>
      </w:r>
      <w:r>
        <w:rPr>
          <w:rFonts w:hint="eastAsia" w:ascii="Times New Roman" w:eastAsia="仿宋"/>
          <w:color w:val="auto"/>
          <w:kern w:val="10"/>
          <w:szCs w:val="32"/>
        </w:rPr>
        <w:t>四</w:t>
      </w:r>
      <w:r>
        <w:rPr>
          <w:rFonts w:ascii="Times New Roman" w:eastAsia="仿宋"/>
          <w:color w:val="auto"/>
          <w:kern w:val="10"/>
          <w:szCs w:val="32"/>
        </w:rPr>
        <w:t>）</w:t>
      </w: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6</w:t>
      </w:r>
      <w:r>
        <w:rPr>
          <w:rFonts w:ascii="Times New Roman" w:eastAsia="仿宋"/>
          <w:color w:val="auto"/>
          <w:szCs w:val="32"/>
        </w:rPr>
        <w:t>月</w:t>
      </w:r>
      <w:r>
        <w:rPr>
          <w:rFonts w:hint="eastAsia" w:ascii="Times New Roman" w:eastAsia="仿宋"/>
          <w:color w:val="auto"/>
          <w:szCs w:val="32"/>
          <w:lang w:val="en-US" w:eastAsia="zh-CN"/>
        </w:rPr>
        <w:t>19</w:t>
      </w:r>
      <w:r>
        <w:rPr>
          <w:rFonts w:ascii="Times New Roman" w:eastAsia="仿宋"/>
          <w:color w:val="auto"/>
          <w:szCs w:val="32"/>
        </w:rPr>
        <w:t>日</w:t>
      </w:r>
      <w:r>
        <w:rPr>
          <w:rFonts w:hint="eastAsia" w:ascii="Times New Roman" w:eastAsia="仿宋"/>
          <w:color w:val="auto"/>
          <w:szCs w:val="32"/>
        </w:rPr>
        <w:t>9</w:t>
      </w:r>
      <w:r>
        <w:rPr>
          <w:rFonts w:ascii="Times New Roman" w:eastAsia="仿宋"/>
          <w:color w:val="auto"/>
          <w:kern w:val="10"/>
          <w:szCs w:val="32"/>
        </w:rPr>
        <w:t>:</w:t>
      </w:r>
      <w:r>
        <w:rPr>
          <w:rFonts w:hint="eastAsia" w:ascii="Times New Roman" w:eastAsia="仿宋"/>
          <w:color w:val="auto"/>
          <w:kern w:val="10"/>
          <w:szCs w:val="32"/>
        </w:rPr>
        <w:t>0</w:t>
      </w:r>
      <w:r>
        <w:rPr>
          <w:rFonts w:ascii="Times New Roman" w:eastAsia="仿宋"/>
          <w:color w:val="auto"/>
          <w:kern w:val="10"/>
          <w:szCs w:val="32"/>
        </w:rPr>
        <w:t>0前，竞买人须领取竞买号牌并进入竞买现场，否则视为放弃竞买资格。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十、缴款时间、交地时间和交地条件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（一）缴款时间</w:t>
      </w:r>
    </w:p>
    <w:p>
      <w:pPr>
        <w:spacing w:line="520" w:lineRule="exact"/>
        <w:ind w:firstLine="640" w:firstLineChars="200"/>
        <w:rPr>
          <w:rFonts w:ascii="Times New Roman" w:eastAsia="仿宋"/>
          <w:color w:val="auto"/>
          <w:kern w:val="10"/>
          <w:szCs w:val="32"/>
        </w:rPr>
      </w:pPr>
      <w:r>
        <w:rPr>
          <w:rFonts w:hint="eastAsia" w:ascii="Times New Roman" w:eastAsia="仿宋"/>
          <w:color w:val="auto"/>
          <w:kern w:val="10"/>
          <w:szCs w:val="32"/>
        </w:rPr>
        <w:t>上述</w:t>
      </w:r>
      <w:r>
        <w:rPr>
          <w:rFonts w:ascii="Times New Roman" w:eastAsia="仿宋"/>
          <w:color w:val="auto"/>
          <w:kern w:val="10"/>
          <w:szCs w:val="32"/>
        </w:rPr>
        <w:t>地块竞得人自竞得之日起30日内应缴交成交价总额50%的成交价款（竞买保证金转作受让地块的定金，抵作土地出让价款），余款自竞得之日起</w:t>
      </w:r>
      <w:r>
        <w:rPr>
          <w:rFonts w:hint="eastAsia" w:ascii="Times New Roman" w:eastAsia="仿宋"/>
          <w:color w:val="auto"/>
          <w:kern w:val="10"/>
          <w:szCs w:val="32"/>
        </w:rPr>
        <w:t>6</w:t>
      </w:r>
      <w:r>
        <w:rPr>
          <w:rFonts w:ascii="Times New Roman" w:eastAsia="仿宋"/>
          <w:color w:val="auto"/>
          <w:kern w:val="10"/>
          <w:szCs w:val="32"/>
        </w:rPr>
        <w:t>个月内交清</w:t>
      </w:r>
      <w:r>
        <w:rPr>
          <w:rFonts w:hint="eastAsia" w:ascii="Times New Roman" w:eastAsia="仿宋"/>
          <w:color w:val="auto"/>
          <w:kern w:val="10"/>
          <w:szCs w:val="32"/>
        </w:rPr>
        <w:t>。</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竞得人应当按时支付成交价款，不能按时支付成交价款的，自违约之日起，每日按迟延支付款项的1‰向出让人缴纳违约金。延期付款超过60日，经出让人催</w:t>
      </w:r>
      <w:r>
        <w:rPr>
          <w:rFonts w:hint="eastAsia" w:ascii="Times New Roman" w:eastAsia="仿宋"/>
          <w:color w:val="auto"/>
          <w:kern w:val="10"/>
          <w:szCs w:val="32"/>
        </w:rPr>
        <w:t>缴</w:t>
      </w:r>
      <w:r>
        <w:rPr>
          <w:rFonts w:ascii="Times New Roman" w:eastAsia="仿宋"/>
          <w:color w:val="auto"/>
          <w:kern w:val="10"/>
          <w:szCs w:val="32"/>
        </w:rPr>
        <w:t>后仍</w:t>
      </w:r>
      <w:r>
        <w:rPr>
          <w:rFonts w:hint="eastAsia" w:ascii="Times New Roman" w:eastAsia="仿宋"/>
          <w:color w:val="auto"/>
          <w:kern w:val="10"/>
          <w:szCs w:val="32"/>
        </w:rPr>
        <w:t>未</w:t>
      </w:r>
      <w:r>
        <w:rPr>
          <w:rFonts w:ascii="Times New Roman" w:eastAsia="仿宋"/>
          <w:color w:val="auto"/>
          <w:kern w:val="10"/>
          <w:szCs w:val="32"/>
        </w:rPr>
        <w:t>支付成交价款的，出让人有权解除合同并可请求违约赔偿，竞得人无权要求</w:t>
      </w:r>
      <w:r>
        <w:rPr>
          <w:rFonts w:hint="eastAsia" w:ascii="Times New Roman" w:eastAsia="仿宋"/>
          <w:color w:val="auto"/>
          <w:kern w:val="10"/>
          <w:szCs w:val="32"/>
        </w:rPr>
        <w:t>退</w:t>
      </w:r>
      <w:r>
        <w:rPr>
          <w:rFonts w:ascii="Times New Roman" w:eastAsia="仿宋"/>
          <w:color w:val="auto"/>
          <w:kern w:val="10"/>
          <w:szCs w:val="32"/>
        </w:rPr>
        <w:t>还定金。</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（二）交地时间和交地条件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此次拍卖出让地块均以土地现状条件出让，地块出让成交后，竞得人与我局签订《国有建设用地使用权出让合同》。在竞得人缴清所有成交价款后，按上述地块在拍卖出让时的土地现状条件，与我局签订《国有建设用地交地确认书》，办理交地手续。</w:t>
      </w:r>
    </w:p>
    <w:p>
      <w:pPr>
        <w:spacing w:line="520" w:lineRule="exact"/>
        <w:ind w:firstLine="640" w:firstLineChars="200"/>
        <w:rPr>
          <w:rFonts w:ascii="Times New Roman" w:eastAsia="仿宋"/>
          <w:color w:val="auto"/>
          <w:szCs w:val="32"/>
        </w:rPr>
      </w:pPr>
      <w:r>
        <w:rPr>
          <w:rFonts w:ascii="Times New Roman" w:eastAsia="仿宋"/>
          <w:color w:val="auto"/>
          <w:szCs w:val="32"/>
        </w:rPr>
        <w:t>十一、开工、竣工时间</w:t>
      </w:r>
    </w:p>
    <w:p>
      <w:pPr>
        <w:spacing w:line="520" w:lineRule="exact"/>
        <w:ind w:firstLine="640" w:firstLineChars="200"/>
        <w:rPr>
          <w:rFonts w:ascii="Times New Roman" w:eastAsia="仿宋"/>
          <w:color w:val="auto"/>
          <w:szCs w:val="32"/>
        </w:rPr>
      </w:pPr>
      <w:r>
        <w:rPr>
          <w:rFonts w:ascii="Times New Roman" w:eastAsia="仿宋"/>
          <w:color w:val="auto"/>
          <w:szCs w:val="32"/>
        </w:rPr>
        <w:t>上述地块竞得人应在签订《国有建设用地使用权出让合同》之日起1年内开工，并在开工后3年内竣工。</w:t>
      </w:r>
    </w:p>
    <w:p>
      <w:pPr>
        <w:spacing w:line="520" w:lineRule="exact"/>
        <w:ind w:firstLine="640" w:firstLineChars="200"/>
        <w:rPr>
          <w:rFonts w:ascii="Times New Roman" w:eastAsia="仿宋"/>
          <w:color w:val="auto"/>
          <w:szCs w:val="32"/>
        </w:rPr>
      </w:pPr>
      <w:r>
        <w:rPr>
          <w:rFonts w:ascii="Times New Roman" w:eastAsia="仿宋"/>
          <w:color w:val="auto"/>
          <w:szCs w:val="32"/>
        </w:rPr>
        <w:t>竞得人未能按照合同约定日期或同意延建所另行约定日期开工建设或竣工的，每延期</w:t>
      </w:r>
      <w:r>
        <w:rPr>
          <w:rFonts w:hint="eastAsia" w:ascii="Times New Roman" w:eastAsia="仿宋"/>
          <w:color w:val="auto"/>
          <w:szCs w:val="32"/>
          <w:lang w:val="en-US" w:eastAsia="zh-CN"/>
        </w:rPr>
        <w:t>1</w:t>
      </w:r>
      <w:r>
        <w:rPr>
          <w:rFonts w:ascii="Times New Roman" w:eastAsia="仿宋"/>
          <w:color w:val="auto"/>
          <w:szCs w:val="32"/>
        </w:rPr>
        <w:t>日，应向出让人支付相当于成交价款总额1‰的违约金。</w:t>
      </w:r>
    </w:p>
    <w:p>
      <w:pPr>
        <w:spacing w:line="520" w:lineRule="exact"/>
        <w:ind w:firstLine="640" w:firstLineChars="200"/>
        <w:rPr>
          <w:rFonts w:ascii="Times New Roman" w:eastAsia="仿宋"/>
          <w:color w:val="auto"/>
          <w:szCs w:val="32"/>
        </w:rPr>
      </w:pPr>
      <w:r>
        <w:rPr>
          <w:rFonts w:ascii="Times New Roman" w:eastAsia="仿宋"/>
          <w:color w:val="auto"/>
          <w:szCs w:val="32"/>
        </w:rPr>
        <w:t>竞得人应按照2010年6月28日原泉州市国土资源局在《泉州晚报》上发布的《泉州市国土资源局关于实施房地产用地开发利用情况申报制度的通告》要求进行开工、竣工申报。</w:t>
      </w:r>
    </w:p>
    <w:p>
      <w:pPr>
        <w:spacing w:line="520" w:lineRule="exact"/>
        <w:ind w:firstLine="640" w:firstLineChars="200"/>
        <w:rPr>
          <w:rFonts w:ascii="Times New Roman" w:eastAsia="仿宋"/>
          <w:color w:val="auto"/>
          <w:szCs w:val="32"/>
        </w:rPr>
      </w:pPr>
      <w:r>
        <w:rPr>
          <w:rFonts w:ascii="Times New Roman" w:eastAsia="仿宋"/>
          <w:color w:val="auto"/>
          <w:szCs w:val="32"/>
        </w:rPr>
        <w:t>竞得人造成土地闲置，按《闲置土地处置办法》有关规定执行。</w:t>
      </w:r>
    </w:p>
    <w:p>
      <w:pPr>
        <w:spacing w:line="520" w:lineRule="exact"/>
        <w:ind w:firstLine="640" w:firstLineChars="200"/>
        <w:rPr>
          <w:rFonts w:ascii="Times New Roman" w:eastAsia="仿宋"/>
          <w:color w:val="auto"/>
          <w:szCs w:val="32"/>
        </w:rPr>
      </w:pPr>
      <w:r>
        <w:rPr>
          <w:rFonts w:ascii="Times New Roman" w:eastAsia="仿宋"/>
          <w:color w:val="auto"/>
          <w:szCs w:val="32"/>
        </w:rPr>
        <w:t>十二、注意事项</w:t>
      </w:r>
    </w:p>
    <w:p>
      <w:pPr>
        <w:spacing w:line="520" w:lineRule="exact"/>
        <w:ind w:firstLine="640" w:firstLineChars="200"/>
        <w:rPr>
          <w:rFonts w:ascii="Times New Roman" w:eastAsia="仿宋"/>
          <w:color w:val="auto"/>
          <w:szCs w:val="32"/>
        </w:rPr>
      </w:pPr>
      <w:r>
        <w:rPr>
          <w:rFonts w:ascii="Times New Roman" w:eastAsia="仿宋"/>
          <w:color w:val="auto"/>
          <w:szCs w:val="32"/>
        </w:rPr>
        <w:t>（一）竞买人须全面阅读有关拍卖文件，如有疑问可以在拍卖会开始日以前用书面或口头方式向我局咨询。竞买人可到现场踏勘拍卖出让地块。申请一经受理确认后，即视为</w:t>
      </w:r>
      <w:bookmarkStart w:id="0" w:name="_Hlk85133807"/>
      <w:r>
        <w:rPr>
          <w:rFonts w:ascii="Times New Roman" w:eastAsia="仿宋"/>
          <w:color w:val="auto"/>
          <w:szCs w:val="32"/>
        </w:rPr>
        <w:t>竞买人</w:t>
      </w:r>
      <w:bookmarkEnd w:id="0"/>
      <w:r>
        <w:rPr>
          <w:rFonts w:ascii="Times New Roman" w:eastAsia="仿宋"/>
          <w:color w:val="auto"/>
          <w:szCs w:val="32"/>
        </w:rPr>
        <w:t>对拍卖文件及地块现状无异议并全部接受，并对有关承诺承担法律责任。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90日内办理完成注册登记手续，由我局与新公司签订《国有建设用地使用权出让合同变更协议》。</w:t>
      </w:r>
    </w:p>
    <w:p>
      <w:pPr>
        <w:spacing w:line="520" w:lineRule="exact"/>
        <w:ind w:firstLine="640" w:firstLineChars="200"/>
        <w:rPr>
          <w:rFonts w:ascii="Times New Roman" w:eastAsia="仿宋"/>
          <w:color w:val="auto"/>
          <w:szCs w:val="32"/>
        </w:rPr>
      </w:pPr>
      <w:r>
        <w:rPr>
          <w:rFonts w:ascii="Times New Roman" w:eastAsia="仿宋"/>
          <w:color w:val="auto"/>
          <w:szCs w:val="32"/>
        </w:rPr>
        <w:t>（三）竞买人一经应价或报价，不可撤回。</w:t>
      </w:r>
    </w:p>
    <w:p>
      <w:pPr>
        <w:spacing w:line="520" w:lineRule="exact"/>
        <w:ind w:firstLine="640" w:firstLineChars="200"/>
        <w:rPr>
          <w:rFonts w:ascii="Times New Roman" w:eastAsia="仿宋"/>
          <w:color w:val="auto"/>
          <w:szCs w:val="32"/>
        </w:rPr>
      </w:pPr>
      <w:r>
        <w:rPr>
          <w:rFonts w:ascii="Times New Roman" w:eastAsia="仿宋"/>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五）竞得人交纳的竞买保证金，在拍卖成交后转作受让地块的定金，定金抵作土地出让价款，由泉州市产权交易中心有限公司在拍卖活动结束后3个工作日内汇入出让人指定账户。其它竞买人交纳的竞买保证金，由泉州市产权交易中心有限公司在拍卖活动结束后5个工作日内予以退还，不计利息。</w:t>
      </w:r>
    </w:p>
    <w:p>
      <w:pPr>
        <w:spacing w:line="520" w:lineRule="exact"/>
        <w:ind w:firstLine="640" w:firstLineChars="200"/>
        <w:rPr>
          <w:rFonts w:ascii="Times New Roman" w:eastAsia="仿宋"/>
          <w:color w:val="auto"/>
          <w:szCs w:val="32"/>
        </w:rPr>
      </w:pPr>
      <w:r>
        <w:rPr>
          <w:rFonts w:ascii="Times New Roman" w:eastAsia="仿宋"/>
          <w:color w:val="auto"/>
          <w:szCs w:val="32"/>
        </w:rPr>
        <w:t>（六）有下列情形之一的，出让人或组织方应当在拍卖会前终止拍卖活动，并通知竞买人：</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1．竞买人串通损害国家利益、社会利益或他人合法权益的；</w:t>
      </w:r>
    </w:p>
    <w:p>
      <w:pPr>
        <w:spacing w:line="520" w:lineRule="exact"/>
        <w:ind w:firstLine="640" w:firstLineChars="200"/>
        <w:rPr>
          <w:rFonts w:ascii="Times New Roman" w:eastAsia="仿宋"/>
          <w:color w:val="auto"/>
          <w:szCs w:val="32"/>
        </w:rPr>
      </w:pPr>
      <w:r>
        <w:rPr>
          <w:rFonts w:ascii="Times New Roman" w:eastAsia="仿宋"/>
          <w:color w:val="auto"/>
          <w:szCs w:val="32"/>
        </w:rPr>
        <w:t>2．拍卖工作人员私下接触竞买人，足以影响拍卖公正性的；</w:t>
      </w:r>
    </w:p>
    <w:p>
      <w:pPr>
        <w:spacing w:line="520" w:lineRule="exact"/>
        <w:ind w:firstLine="640" w:firstLineChars="200"/>
        <w:rPr>
          <w:rFonts w:ascii="Times New Roman" w:eastAsia="仿宋"/>
          <w:color w:val="auto"/>
          <w:szCs w:val="32"/>
        </w:rPr>
      </w:pPr>
      <w:r>
        <w:rPr>
          <w:rFonts w:ascii="Times New Roman" w:eastAsia="仿宋"/>
          <w:color w:val="auto"/>
          <w:szCs w:val="32"/>
        </w:rPr>
        <w:t>3．应当依法终止拍卖活动的其他情形。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（七）竞得人有下列行为之一的，视为违约，出让人或组织方可取消其竞得人资格，竞买保证金不予退还：</w:t>
      </w:r>
    </w:p>
    <w:p>
      <w:pPr>
        <w:spacing w:line="520" w:lineRule="exact"/>
        <w:ind w:firstLine="640" w:firstLineChars="200"/>
        <w:rPr>
          <w:rFonts w:ascii="Times New Roman" w:eastAsia="仿宋"/>
          <w:color w:val="auto"/>
          <w:szCs w:val="32"/>
        </w:rPr>
      </w:pPr>
      <w:r>
        <w:rPr>
          <w:rFonts w:ascii="Times New Roman" w:eastAsia="仿宋"/>
          <w:color w:val="auto"/>
          <w:szCs w:val="32"/>
        </w:rPr>
        <w:t>1．竞得人逾期或拒绝签订《成交确认书》的；</w:t>
      </w:r>
    </w:p>
    <w:p>
      <w:pPr>
        <w:spacing w:line="520" w:lineRule="exact"/>
        <w:ind w:firstLine="640" w:firstLineChars="200"/>
        <w:rPr>
          <w:rFonts w:ascii="Times New Roman" w:eastAsia="仿宋"/>
          <w:color w:val="auto"/>
          <w:szCs w:val="32"/>
        </w:rPr>
      </w:pPr>
      <w:r>
        <w:rPr>
          <w:rFonts w:ascii="Times New Roman" w:eastAsia="仿宋"/>
          <w:color w:val="auto"/>
          <w:szCs w:val="32"/>
        </w:rPr>
        <w:t>2</w:t>
      </w:r>
      <w:bookmarkStart w:id="1" w:name="OLE_LINK2"/>
      <w:r>
        <w:rPr>
          <w:rFonts w:ascii="Times New Roman" w:eastAsia="仿宋"/>
          <w:color w:val="auto"/>
          <w:szCs w:val="32"/>
        </w:rPr>
        <w:t>．</w:t>
      </w:r>
      <w:bookmarkEnd w:id="1"/>
      <w:r>
        <w:rPr>
          <w:rFonts w:ascii="Times New Roman" w:eastAsia="仿宋"/>
          <w:color w:val="auto"/>
          <w:szCs w:val="32"/>
        </w:rPr>
        <w:t>竞得人逾期或拒绝签订《国有建设用地使用权出让合同》的。</w:t>
      </w:r>
    </w:p>
    <w:p>
      <w:pPr>
        <w:spacing w:line="520" w:lineRule="exact"/>
        <w:ind w:firstLine="640" w:firstLineChars="200"/>
        <w:rPr>
          <w:rFonts w:ascii="Times New Roman" w:eastAsia="仿宋"/>
          <w:color w:val="auto"/>
          <w:szCs w:val="32"/>
        </w:rPr>
      </w:pPr>
      <w:r>
        <w:rPr>
          <w:rFonts w:ascii="Times New Roman" w:eastAsia="仿宋"/>
          <w:color w:val="auto"/>
          <w:szCs w:val="32"/>
        </w:rPr>
        <w:t>3．竞得人开出的银行支票或汇票在有效期内不能兑现或不能全部兑现。</w:t>
      </w:r>
    </w:p>
    <w:p>
      <w:pPr>
        <w:spacing w:line="520" w:lineRule="exact"/>
        <w:ind w:firstLine="640" w:firstLineChars="200"/>
        <w:rPr>
          <w:rFonts w:ascii="Times New Roman" w:eastAsia="仿宋"/>
          <w:color w:val="auto"/>
          <w:szCs w:val="32"/>
        </w:rPr>
      </w:pPr>
      <w:r>
        <w:rPr>
          <w:rFonts w:ascii="Times New Roman" w:eastAsia="仿宋"/>
          <w:color w:val="auto"/>
          <w:szCs w:val="32"/>
        </w:rPr>
        <w:t>因竞得人违约，竞得人应当支付本次拍卖活动所支出的全部费用；出让人另行出让的价格低于原拍卖成交价的，原竞得人须按实际差额支付赔偿金。该幅地块拍卖成交价币种为人民币。</w:t>
      </w:r>
    </w:p>
    <w:p>
      <w:pPr>
        <w:numPr>
          <w:ilvl w:val="0"/>
          <w:numId w:val="1"/>
        </w:numPr>
        <w:spacing w:line="520" w:lineRule="exact"/>
        <w:ind w:firstLine="640" w:firstLineChars="200"/>
        <w:rPr>
          <w:rFonts w:ascii="Times New Roman" w:eastAsia="仿宋"/>
          <w:color w:val="auto"/>
          <w:szCs w:val="32"/>
        </w:rPr>
      </w:pPr>
      <w:r>
        <w:rPr>
          <w:rFonts w:ascii="Times New Roman" w:eastAsia="仿宋"/>
          <w:color w:val="auto"/>
          <w:szCs w:val="32"/>
        </w:rPr>
        <w:t>拍卖成交价即为该幅地块的总价款，即在满足本出让须知前提下应缴纳的总价款。该价款不包含城市市政公用设施配套费及其他税费，城市市政公用设施配套费及其他税费由竞得人按规定向有关部门另行缴纳。本次交易服务费由竞得人承担，由市产权交易中心向竞得人收取。具体标准如下：</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成交金额</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100万元以下（含100万元）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100-500万元部分（含500万元）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500-1000万元部分（含1000万元）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1000-3000万元部分（含3000万元）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3000-5000万元部分（含5000万元）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5000-10000万元部分（含10000万元）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10000万元以上</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w:t>
            </w:r>
          </w:p>
        </w:tc>
      </w:tr>
    </w:tbl>
    <w:p>
      <w:pPr>
        <w:spacing w:line="520" w:lineRule="exact"/>
        <w:rPr>
          <w:rFonts w:ascii="Times New Roman" w:eastAsia="仿宋"/>
          <w:color w:val="auto"/>
          <w:szCs w:val="32"/>
        </w:rPr>
      </w:pPr>
      <w:r>
        <w:rPr>
          <w:rFonts w:ascii="Times New Roman" w:eastAsia="仿宋"/>
          <w:color w:val="auto"/>
          <w:szCs w:val="32"/>
        </w:rPr>
        <w:t>注：按上述费率</w:t>
      </w:r>
      <w:r>
        <w:rPr>
          <w:rFonts w:hint="eastAsia" w:ascii="Times New Roman" w:eastAsia="仿宋"/>
          <w:color w:val="auto"/>
          <w:szCs w:val="32"/>
        </w:rPr>
        <w:t>分级累进</w:t>
      </w:r>
      <w:r>
        <w:rPr>
          <w:rFonts w:ascii="Times New Roman" w:eastAsia="仿宋"/>
          <w:color w:val="auto"/>
          <w:szCs w:val="32"/>
        </w:rPr>
        <w:t>计收</w:t>
      </w:r>
      <w:r>
        <w:rPr>
          <w:rFonts w:hint="eastAsia" w:ascii="Times New Roman" w:eastAsia="仿宋"/>
          <w:color w:val="auto"/>
          <w:szCs w:val="32"/>
        </w:rPr>
        <w:t>，</w:t>
      </w:r>
      <w:r>
        <w:rPr>
          <w:rFonts w:ascii="Times New Roman" w:eastAsia="仿宋"/>
          <w:color w:val="auto"/>
          <w:szCs w:val="32"/>
        </w:rPr>
        <w:t>每宗收费金额不足100元的按100元收取。</w:t>
      </w:r>
    </w:p>
    <w:p>
      <w:pPr>
        <w:spacing w:line="520" w:lineRule="exact"/>
        <w:rPr>
          <w:rFonts w:ascii="Times New Roman" w:eastAsia="仿宋"/>
          <w:color w:val="auto"/>
          <w:szCs w:val="32"/>
        </w:rPr>
      </w:pPr>
      <w:r>
        <w:rPr>
          <w:rFonts w:ascii="Times New Roman" w:eastAsia="仿宋"/>
          <w:color w:val="auto"/>
          <w:szCs w:val="32"/>
        </w:rPr>
        <w:t xml:space="preserve">    竞得人须在成交之日起3个工作日内将交易服务费汇到泉州市产权交易中心有限公司指定账号内。</w:t>
      </w:r>
      <w:r>
        <w:rPr>
          <w:rFonts w:ascii="Times New Roman" w:eastAsia="仿宋"/>
          <w:bCs/>
          <w:color w:val="auto"/>
          <w:szCs w:val="32"/>
        </w:rPr>
        <w:t>交易服务费账户户名</w:t>
      </w:r>
      <w:r>
        <w:rPr>
          <w:rFonts w:ascii="Times New Roman" w:eastAsia="仿宋"/>
          <w:color w:val="auto"/>
          <w:szCs w:val="32"/>
        </w:rPr>
        <w:t>：泉州市产权交易中心有限公司，兴业银行泉州丰泽支行152690100100090830。</w:t>
      </w:r>
    </w:p>
    <w:p>
      <w:pPr>
        <w:spacing w:line="520" w:lineRule="exact"/>
        <w:ind w:firstLine="640" w:firstLineChars="200"/>
        <w:rPr>
          <w:rFonts w:ascii="Times New Roman" w:eastAsia="仿宋"/>
          <w:color w:val="auto"/>
          <w:szCs w:val="32"/>
        </w:rPr>
      </w:pPr>
      <w:r>
        <w:rPr>
          <w:rFonts w:ascii="Times New Roman" w:eastAsia="仿宋"/>
          <w:color w:val="auto"/>
          <w:szCs w:val="32"/>
        </w:rPr>
        <w:t>（九）竞得人与出让人签订《国有建设用地使用权出让合同》后，应当按出让合同约定支付拍卖成交价款。竞得人不能按时支付拍卖成交价款的，自滞纳之日起，每日按迟延支付款项的千分之一加收滞纳金。延期付款超过60日的，出让人可解除合同，并可请求违约赔偿。</w:t>
      </w:r>
    </w:p>
    <w:p>
      <w:pPr>
        <w:spacing w:line="520" w:lineRule="exact"/>
        <w:ind w:firstLine="640" w:firstLineChars="200"/>
        <w:rPr>
          <w:rFonts w:ascii="Times New Roman" w:eastAsia="仿宋"/>
          <w:color w:val="auto"/>
          <w:szCs w:val="32"/>
        </w:rPr>
      </w:pPr>
      <w:r>
        <w:rPr>
          <w:rFonts w:ascii="Times New Roman" w:eastAsia="仿宋"/>
          <w:color w:val="auto"/>
          <w:szCs w:val="32"/>
        </w:rPr>
        <w:t>（十）竞得人付清全部拍卖成交价款后，依法申请办理土地登记，领取《不动产权证》，取得土地使用权。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（十一）竞得人提供虚假文件或隐瞒事实的，出让人或组织方可取消其竞得资格，终止《国有建设用地使用权出让合同》，经政府批准，注销其《不动产权证》，造成损失的，按本注意事项第七条规定赔偿。</w:t>
      </w:r>
    </w:p>
    <w:p>
      <w:pPr>
        <w:spacing w:line="520" w:lineRule="exact"/>
        <w:ind w:firstLine="640" w:firstLineChars="200"/>
        <w:rPr>
          <w:rFonts w:ascii="Times New Roman" w:eastAsia="仿宋"/>
          <w:color w:val="auto"/>
          <w:szCs w:val="32"/>
        </w:rPr>
      </w:pPr>
      <w:r>
        <w:rPr>
          <w:rFonts w:ascii="Times New Roman" w:eastAsia="仿宋"/>
          <w:color w:val="auto"/>
          <w:szCs w:val="32"/>
        </w:rPr>
        <w:t>（十二）拍卖不成交的，按规定由我局重新组织出让。</w:t>
      </w:r>
    </w:p>
    <w:p>
      <w:pPr>
        <w:spacing w:line="520" w:lineRule="exact"/>
        <w:ind w:firstLine="640" w:firstLineChars="200"/>
        <w:rPr>
          <w:rFonts w:ascii="Times New Roman" w:eastAsia="仿宋"/>
          <w:color w:val="auto"/>
          <w:szCs w:val="32"/>
        </w:rPr>
      </w:pPr>
      <w:r>
        <w:rPr>
          <w:rFonts w:ascii="Times New Roman" w:eastAsia="仿宋"/>
          <w:color w:val="auto"/>
          <w:szCs w:val="32"/>
        </w:rPr>
        <w:t>（十三）参加拍卖活动的人员，应遵守现场的纪律，服从管理人员的管理。</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（十四）</w:t>
      </w:r>
      <w:r>
        <w:rPr>
          <w:rFonts w:ascii="Times New Roman" w:eastAsia="仿宋"/>
          <w:color w:val="auto"/>
          <w:kern w:val="10"/>
          <w:szCs w:val="32"/>
        </w:rPr>
        <w:t>拍卖工作人员对拍卖出让标的，无论采取任何方式所作的介绍及评论，均作为参考性意见，不构成对拍卖标的任何担保。</w:t>
      </w:r>
    </w:p>
    <w:p>
      <w:pPr>
        <w:spacing w:line="520" w:lineRule="exact"/>
        <w:ind w:firstLine="640" w:firstLineChars="200"/>
        <w:rPr>
          <w:rFonts w:ascii="Times New Roman" w:eastAsia="仿宋"/>
          <w:color w:val="auto"/>
          <w:szCs w:val="32"/>
        </w:rPr>
      </w:pPr>
      <w:r>
        <w:rPr>
          <w:rFonts w:ascii="Times New Roman" w:eastAsia="仿宋"/>
          <w:color w:val="auto"/>
          <w:szCs w:val="32"/>
        </w:rPr>
        <w:t>（十五）我局对本《须知》有解释权。未尽事宜依照原国土资源部《招标拍卖挂牌出让国有土地使用权规范（试行）》、《福建省国有土地使用权出让工作规范（试行）》办理。</w:t>
      </w:r>
    </w:p>
    <w:p>
      <w:pPr>
        <w:spacing w:line="520" w:lineRule="exact"/>
        <w:ind w:right="1440" w:rightChars="450"/>
        <w:rPr>
          <w:rFonts w:ascii="Times New Roman" w:eastAsia="仿宋"/>
          <w:color w:val="auto"/>
          <w:szCs w:val="32"/>
        </w:rPr>
      </w:pPr>
    </w:p>
    <w:p>
      <w:pPr>
        <w:spacing w:line="520" w:lineRule="exact"/>
        <w:ind w:right="1440" w:rightChars="450"/>
        <w:jc w:val="right"/>
        <w:rPr>
          <w:rFonts w:ascii="Times New Roman" w:eastAsia="仿宋"/>
          <w:color w:val="auto"/>
          <w:szCs w:val="32"/>
        </w:rPr>
      </w:pPr>
      <w:r>
        <w:rPr>
          <w:rFonts w:ascii="Times New Roman" w:eastAsia="仿宋"/>
          <w:color w:val="auto"/>
          <w:szCs w:val="32"/>
        </w:rPr>
        <w:t>泉州市自然资源和规划局</w:t>
      </w:r>
    </w:p>
    <w:p>
      <w:pPr>
        <w:spacing w:line="520" w:lineRule="exact"/>
        <w:ind w:right="1920" w:rightChars="600"/>
        <w:jc w:val="right"/>
        <w:rPr>
          <w:rFonts w:ascii="Times New Roman" w:eastAsia="仿宋"/>
          <w:color w:val="auto"/>
          <w:szCs w:val="32"/>
        </w:rPr>
      </w:pP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5</w:t>
      </w:r>
      <w:r>
        <w:rPr>
          <w:rFonts w:ascii="Times New Roman" w:eastAsia="仿宋"/>
          <w:color w:val="auto"/>
          <w:szCs w:val="32"/>
        </w:rPr>
        <w:t>月</w:t>
      </w:r>
      <w:r>
        <w:rPr>
          <w:rFonts w:hint="eastAsia" w:ascii="Times New Roman" w:eastAsia="仿宋"/>
          <w:color w:val="auto"/>
          <w:szCs w:val="32"/>
          <w:lang w:val="en-US" w:eastAsia="zh-CN"/>
        </w:rPr>
        <w:t>30</w:t>
      </w:r>
      <w:r>
        <w:rPr>
          <w:rFonts w:ascii="Times New Roman" w:eastAsia="仿宋"/>
          <w:color w:val="auto"/>
          <w:szCs w:val="32"/>
        </w:rPr>
        <w:t>日</w:t>
      </w:r>
    </w:p>
    <w:sectPr>
      <w:headerReference r:id="rId3" w:type="default"/>
      <w:footerReference r:id="rId4" w:type="default"/>
      <w:footerReference r:id="rId5" w:type="even"/>
      <w:pgSz w:w="11907" w:h="16840"/>
      <w:pgMar w:top="1361" w:right="1588" w:bottom="136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6F3FC414-03C0-4EA7-B1C4-AAF9729EF551}"/>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2" w:fontKey="{6298D4A1-3402-4C62-A155-2219EB94BFFA}"/>
  </w:font>
  <w:font w:name="仿宋">
    <w:panose1 w:val="02010609060101010101"/>
    <w:charset w:val="86"/>
    <w:family w:val="modern"/>
    <w:pitch w:val="default"/>
    <w:sig w:usb0="800002BF" w:usb1="38CF7CFA" w:usb2="00000016" w:usb3="00000000" w:csb0="00040001" w:csb1="00000000"/>
    <w:embedRegular r:id="rId3" w:fontKey="{150E1201-79B1-4108-A327-452D6E24765C}"/>
  </w:font>
  <w:font w:name="楷体_GB2312">
    <w:altName w:val="楷体"/>
    <w:panose1 w:val="02010609030101010101"/>
    <w:charset w:val="86"/>
    <w:family w:val="modern"/>
    <w:pitch w:val="default"/>
    <w:sig w:usb0="00000000" w:usb1="00000000" w:usb2="00000000" w:usb3="00000000" w:csb0="00040000" w:csb1="00000000"/>
    <w:embedRegular r:id="rId4" w:fontKey="{E28DF837-D545-4956-89EF-338ACB7B1BC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E1CE8"/>
    <w:multiLevelType w:val="singleLevel"/>
    <w:tmpl w:val="627E1CE8"/>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5"/>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ZTU2N2M0YmZlOTJhYzVjNzZkYzBkOTkxMDVkYzE3YWIifQ=="/>
  </w:docVars>
  <w:rsids>
    <w:rsidRoot w:val="00172A27"/>
    <w:rsid w:val="000016B5"/>
    <w:rsid w:val="00002AE4"/>
    <w:rsid w:val="00003F9E"/>
    <w:rsid w:val="00006DED"/>
    <w:rsid w:val="00007284"/>
    <w:rsid w:val="00012B7E"/>
    <w:rsid w:val="000272FE"/>
    <w:rsid w:val="00051E2B"/>
    <w:rsid w:val="00053184"/>
    <w:rsid w:val="00060A41"/>
    <w:rsid w:val="00061BAA"/>
    <w:rsid w:val="00064935"/>
    <w:rsid w:val="00067D9D"/>
    <w:rsid w:val="00074FD8"/>
    <w:rsid w:val="000774AA"/>
    <w:rsid w:val="00084A5C"/>
    <w:rsid w:val="000904C3"/>
    <w:rsid w:val="00094F09"/>
    <w:rsid w:val="00096AE8"/>
    <w:rsid w:val="00097F91"/>
    <w:rsid w:val="000B3E98"/>
    <w:rsid w:val="000B4D15"/>
    <w:rsid w:val="000C1454"/>
    <w:rsid w:val="000C1A61"/>
    <w:rsid w:val="000C6FCF"/>
    <w:rsid w:val="000D514D"/>
    <w:rsid w:val="000D619C"/>
    <w:rsid w:val="000E5F80"/>
    <w:rsid w:val="000F39AF"/>
    <w:rsid w:val="000F404B"/>
    <w:rsid w:val="00102501"/>
    <w:rsid w:val="00110003"/>
    <w:rsid w:val="0011133B"/>
    <w:rsid w:val="00124387"/>
    <w:rsid w:val="00136FC0"/>
    <w:rsid w:val="00146076"/>
    <w:rsid w:val="00153487"/>
    <w:rsid w:val="00160731"/>
    <w:rsid w:val="001670DB"/>
    <w:rsid w:val="001710EB"/>
    <w:rsid w:val="00172A27"/>
    <w:rsid w:val="001757A6"/>
    <w:rsid w:val="001853DC"/>
    <w:rsid w:val="001A2265"/>
    <w:rsid w:val="001A61BA"/>
    <w:rsid w:val="001B42D1"/>
    <w:rsid w:val="001B4331"/>
    <w:rsid w:val="001C2F79"/>
    <w:rsid w:val="001D7278"/>
    <w:rsid w:val="001E7468"/>
    <w:rsid w:val="001F4A16"/>
    <w:rsid w:val="002079B1"/>
    <w:rsid w:val="00214E0A"/>
    <w:rsid w:val="002153C7"/>
    <w:rsid w:val="00215564"/>
    <w:rsid w:val="00217409"/>
    <w:rsid w:val="00222FA8"/>
    <w:rsid w:val="00230213"/>
    <w:rsid w:val="00230EA6"/>
    <w:rsid w:val="002310EC"/>
    <w:rsid w:val="002640EE"/>
    <w:rsid w:val="002641D3"/>
    <w:rsid w:val="00265439"/>
    <w:rsid w:val="002701FA"/>
    <w:rsid w:val="002747E3"/>
    <w:rsid w:val="00287634"/>
    <w:rsid w:val="00297A19"/>
    <w:rsid w:val="002A493F"/>
    <w:rsid w:val="002A62DB"/>
    <w:rsid w:val="002B0B0C"/>
    <w:rsid w:val="002B1A68"/>
    <w:rsid w:val="002B2DAB"/>
    <w:rsid w:val="002B5E05"/>
    <w:rsid w:val="002C2C99"/>
    <w:rsid w:val="002C4BE5"/>
    <w:rsid w:val="002C622F"/>
    <w:rsid w:val="002D4747"/>
    <w:rsid w:val="002D60EF"/>
    <w:rsid w:val="002D6203"/>
    <w:rsid w:val="002E3F49"/>
    <w:rsid w:val="002F405D"/>
    <w:rsid w:val="002F61D2"/>
    <w:rsid w:val="00305481"/>
    <w:rsid w:val="00306D3C"/>
    <w:rsid w:val="003137B2"/>
    <w:rsid w:val="00314E95"/>
    <w:rsid w:val="00351390"/>
    <w:rsid w:val="00355A1D"/>
    <w:rsid w:val="00370D21"/>
    <w:rsid w:val="00371488"/>
    <w:rsid w:val="00374ED8"/>
    <w:rsid w:val="0038165A"/>
    <w:rsid w:val="003824A3"/>
    <w:rsid w:val="003834BA"/>
    <w:rsid w:val="00387C74"/>
    <w:rsid w:val="0039207F"/>
    <w:rsid w:val="00392175"/>
    <w:rsid w:val="003963F2"/>
    <w:rsid w:val="003A1A81"/>
    <w:rsid w:val="003B178E"/>
    <w:rsid w:val="003B4A36"/>
    <w:rsid w:val="003C3F2E"/>
    <w:rsid w:val="003E153A"/>
    <w:rsid w:val="00400F82"/>
    <w:rsid w:val="004013BA"/>
    <w:rsid w:val="00402C58"/>
    <w:rsid w:val="004218FA"/>
    <w:rsid w:val="00423CC5"/>
    <w:rsid w:val="00427340"/>
    <w:rsid w:val="0043783F"/>
    <w:rsid w:val="00451A04"/>
    <w:rsid w:val="00451F9D"/>
    <w:rsid w:val="00453EA0"/>
    <w:rsid w:val="00457BD4"/>
    <w:rsid w:val="00464212"/>
    <w:rsid w:val="00467C69"/>
    <w:rsid w:val="00481B90"/>
    <w:rsid w:val="00485D35"/>
    <w:rsid w:val="00493284"/>
    <w:rsid w:val="004A1CEF"/>
    <w:rsid w:val="004A4BEC"/>
    <w:rsid w:val="004B5414"/>
    <w:rsid w:val="004B60CB"/>
    <w:rsid w:val="004B7414"/>
    <w:rsid w:val="004D3197"/>
    <w:rsid w:val="004D3A9A"/>
    <w:rsid w:val="004D41A8"/>
    <w:rsid w:val="004E27FE"/>
    <w:rsid w:val="004E2A53"/>
    <w:rsid w:val="004E5A54"/>
    <w:rsid w:val="004F0E5A"/>
    <w:rsid w:val="004F183F"/>
    <w:rsid w:val="004F6EA6"/>
    <w:rsid w:val="004F74E4"/>
    <w:rsid w:val="00511B4C"/>
    <w:rsid w:val="00511D8D"/>
    <w:rsid w:val="0051676C"/>
    <w:rsid w:val="00516D6D"/>
    <w:rsid w:val="005246B4"/>
    <w:rsid w:val="00526255"/>
    <w:rsid w:val="00543140"/>
    <w:rsid w:val="0055068E"/>
    <w:rsid w:val="00572368"/>
    <w:rsid w:val="00575E9F"/>
    <w:rsid w:val="0059156B"/>
    <w:rsid w:val="00592315"/>
    <w:rsid w:val="00596AB6"/>
    <w:rsid w:val="005A5125"/>
    <w:rsid w:val="005B129B"/>
    <w:rsid w:val="005B567F"/>
    <w:rsid w:val="005C20A2"/>
    <w:rsid w:val="005C6B66"/>
    <w:rsid w:val="005E0CE7"/>
    <w:rsid w:val="005E1122"/>
    <w:rsid w:val="00613A38"/>
    <w:rsid w:val="0062295C"/>
    <w:rsid w:val="006329ED"/>
    <w:rsid w:val="00632C44"/>
    <w:rsid w:val="00640608"/>
    <w:rsid w:val="00653AF0"/>
    <w:rsid w:val="006631F0"/>
    <w:rsid w:val="006707B2"/>
    <w:rsid w:val="00683026"/>
    <w:rsid w:val="00683205"/>
    <w:rsid w:val="00686CD9"/>
    <w:rsid w:val="00686CF6"/>
    <w:rsid w:val="006967D7"/>
    <w:rsid w:val="006A1A28"/>
    <w:rsid w:val="006A31F2"/>
    <w:rsid w:val="006B0619"/>
    <w:rsid w:val="006C2892"/>
    <w:rsid w:val="006D34BF"/>
    <w:rsid w:val="006D4A66"/>
    <w:rsid w:val="006D688E"/>
    <w:rsid w:val="00713120"/>
    <w:rsid w:val="00713844"/>
    <w:rsid w:val="0072372E"/>
    <w:rsid w:val="0073786C"/>
    <w:rsid w:val="0074100E"/>
    <w:rsid w:val="00755099"/>
    <w:rsid w:val="00756046"/>
    <w:rsid w:val="00757C1E"/>
    <w:rsid w:val="007749B1"/>
    <w:rsid w:val="00777879"/>
    <w:rsid w:val="00792D1B"/>
    <w:rsid w:val="007A4CFE"/>
    <w:rsid w:val="007B2736"/>
    <w:rsid w:val="007C094E"/>
    <w:rsid w:val="007C184C"/>
    <w:rsid w:val="007D2FA5"/>
    <w:rsid w:val="007E0CAE"/>
    <w:rsid w:val="007F5702"/>
    <w:rsid w:val="00800474"/>
    <w:rsid w:val="00802BAD"/>
    <w:rsid w:val="00814BC0"/>
    <w:rsid w:val="00820B13"/>
    <w:rsid w:val="00822D00"/>
    <w:rsid w:val="00825984"/>
    <w:rsid w:val="00831E36"/>
    <w:rsid w:val="00847922"/>
    <w:rsid w:val="00850065"/>
    <w:rsid w:val="008517E3"/>
    <w:rsid w:val="0085420B"/>
    <w:rsid w:val="00863E20"/>
    <w:rsid w:val="008841F6"/>
    <w:rsid w:val="00887210"/>
    <w:rsid w:val="00894E0F"/>
    <w:rsid w:val="00896A2D"/>
    <w:rsid w:val="008B2511"/>
    <w:rsid w:val="008D158E"/>
    <w:rsid w:val="008E5CE5"/>
    <w:rsid w:val="008F0766"/>
    <w:rsid w:val="008F4899"/>
    <w:rsid w:val="008F7A37"/>
    <w:rsid w:val="009019DF"/>
    <w:rsid w:val="0090207D"/>
    <w:rsid w:val="00920F22"/>
    <w:rsid w:val="00924A79"/>
    <w:rsid w:val="00935354"/>
    <w:rsid w:val="00935CB2"/>
    <w:rsid w:val="00937CF1"/>
    <w:rsid w:val="009422A5"/>
    <w:rsid w:val="00952239"/>
    <w:rsid w:val="00962E9F"/>
    <w:rsid w:val="00971A9D"/>
    <w:rsid w:val="009821CA"/>
    <w:rsid w:val="00983497"/>
    <w:rsid w:val="009841CB"/>
    <w:rsid w:val="0099290B"/>
    <w:rsid w:val="00993E9B"/>
    <w:rsid w:val="009B20A3"/>
    <w:rsid w:val="009B59AB"/>
    <w:rsid w:val="009C409C"/>
    <w:rsid w:val="009C4DB3"/>
    <w:rsid w:val="009C54AE"/>
    <w:rsid w:val="009D435F"/>
    <w:rsid w:val="009E0DC7"/>
    <w:rsid w:val="009E534C"/>
    <w:rsid w:val="009F129C"/>
    <w:rsid w:val="00A02AA7"/>
    <w:rsid w:val="00A04F8C"/>
    <w:rsid w:val="00A06BDB"/>
    <w:rsid w:val="00A07EAD"/>
    <w:rsid w:val="00A20C13"/>
    <w:rsid w:val="00A35F0D"/>
    <w:rsid w:val="00A47C95"/>
    <w:rsid w:val="00A51B92"/>
    <w:rsid w:val="00A638D9"/>
    <w:rsid w:val="00A71DB3"/>
    <w:rsid w:val="00A94A16"/>
    <w:rsid w:val="00AA65C2"/>
    <w:rsid w:val="00AC1FCD"/>
    <w:rsid w:val="00AD702F"/>
    <w:rsid w:val="00AD7B4E"/>
    <w:rsid w:val="00AE5BED"/>
    <w:rsid w:val="00AF5B6E"/>
    <w:rsid w:val="00AF7651"/>
    <w:rsid w:val="00B06973"/>
    <w:rsid w:val="00B132D7"/>
    <w:rsid w:val="00B25F0C"/>
    <w:rsid w:val="00B27BF3"/>
    <w:rsid w:val="00B31F50"/>
    <w:rsid w:val="00B41844"/>
    <w:rsid w:val="00B4347F"/>
    <w:rsid w:val="00B638CC"/>
    <w:rsid w:val="00B80B67"/>
    <w:rsid w:val="00BA0963"/>
    <w:rsid w:val="00BA0DB2"/>
    <w:rsid w:val="00BA2D61"/>
    <w:rsid w:val="00BA6B08"/>
    <w:rsid w:val="00BB0A74"/>
    <w:rsid w:val="00BC044D"/>
    <w:rsid w:val="00BC1079"/>
    <w:rsid w:val="00BD7737"/>
    <w:rsid w:val="00BE5931"/>
    <w:rsid w:val="00BE5A94"/>
    <w:rsid w:val="00C058D9"/>
    <w:rsid w:val="00C119BB"/>
    <w:rsid w:val="00C31BA7"/>
    <w:rsid w:val="00C31C32"/>
    <w:rsid w:val="00C40B94"/>
    <w:rsid w:val="00C41A28"/>
    <w:rsid w:val="00C46747"/>
    <w:rsid w:val="00C503D2"/>
    <w:rsid w:val="00C53A6B"/>
    <w:rsid w:val="00C84B93"/>
    <w:rsid w:val="00C979BC"/>
    <w:rsid w:val="00CA1CD9"/>
    <w:rsid w:val="00CA48D8"/>
    <w:rsid w:val="00CA624D"/>
    <w:rsid w:val="00CA6C71"/>
    <w:rsid w:val="00CB24B8"/>
    <w:rsid w:val="00CD5A27"/>
    <w:rsid w:val="00CE77D0"/>
    <w:rsid w:val="00CF360E"/>
    <w:rsid w:val="00CF5063"/>
    <w:rsid w:val="00CF56D1"/>
    <w:rsid w:val="00CF5A47"/>
    <w:rsid w:val="00CF5F4A"/>
    <w:rsid w:val="00D06D8C"/>
    <w:rsid w:val="00D10EB0"/>
    <w:rsid w:val="00D17799"/>
    <w:rsid w:val="00D25967"/>
    <w:rsid w:val="00D25DC0"/>
    <w:rsid w:val="00D26820"/>
    <w:rsid w:val="00D278BF"/>
    <w:rsid w:val="00D304E2"/>
    <w:rsid w:val="00D3252E"/>
    <w:rsid w:val="00D33604"/>
    <w:rsid w:val="00D45A0E"/>
    <w:rsid w:val="00D53E6B"/>
    <w:rsid w:val="00D72D0D"/>
    <w:rsid w:val="00D87F25"/>
    <w:rsid w:val="00D90B10"/>
    <w:rsid w:val="00D945ED"/>
    <w:rsid w:val="00D948CE"/>
    <w:rsid w:val="00D94B4A"/>
    <w:rsid w:val="00DA4E52"/>
    <w:rsid w:val="00DB6094"/>
    <w:rsid w:val="00DB60BB"/>
    <w:rsid w:val="00DD5681"/>
    <w:rsid w:val="00DF14C6"/>
    <w:rsid w:val="00DF22CE"/>
    <w:rsid w:val="00DF2896"/>
    <w:rsid w:val="00E00097"/>
    <w:rsid w:val="00E00A6D"/>
    <w:rsid w:val="00E1234A"/>
    <w:rsid w:val="00E3095C"/>
    <w:rsid w:val="00E30B3F"/>
    <w:rsid w:val="00E36D01"/>
    <w:rsid w:val="00E473EB"/>
    <w:rsid w:val="00E57CE8"/>
    <w:rsid w:val="00E631B1"/>
    <w:rsid w:val="00E63D2F"/>
    <w:rsid w:val="00E728FF"/>
    <w:rsid w:val="00E84CD3"/>
    <w:rsid w:val="00E86714"/>
    <w:rsid w:val="00E87845"/>
    <w:rsid w:val="00E9243E"/>
    <w:rsid w:val="00EA1A86"/>
    <w:rsid w:val="00EA7921"/>
    <w:rsid w:val="00EC40B9"/>
    <w:rsid w:val="00ED3292"/>
    <w:rsid w:val="00ED52FA"/>
    <w:rsid w:val="00EE6903"/>
    <w:rsid w:val="00EF11C3"/>
    <w:rsid w:val="00EF6658"/>
    <w:rsid w:val="00F03043"/>
    <w:rsid w:val="00F05F6E"/>
    <w:rsid w:val="00F13C00"/>
    <w:rsid w:val="00F32C7A"/>
    <w:rsid w:val="00F34FF9"/>
    <w:rsid w:val="00F41DC9"/>
    <w:rsid w:val="00F44D61"/>
    <w:rsid w:val="00F45686"/>
    <w:rsid w:val="00F5404E"/>
    <w:rsid w:val="00F63CF4"/>
    <w:rsid w:val="00F8173E"/>
    <w:rsid w:val="00F914F5"/>
    <w:rsid w:val="00F95305"/>
    <w:rsid w:val="00FA22AF"/>
    <w:rsid w:val="00FB0A85"/>
    <w:rsid w:val="00FC5629"/>
    <w:rsid w:val="00FE7CC7"/>
    <w:rsid w:val="00FF0D97"/>
    <w:rsid w:val="00FF7CF7"/>
    <w:rsid w:val="03D0075A"/>
    <w:rsid w:val="060058D9"/>
    <w:rsid w:val="076B4F50"/>
    <w:rsid w:val="0A050A0A"/>
    <w:rsid w:val="105D2635"/>
    <w:rsid w:val="10801B04"/>
    <w:rsid w:val="13867A9F"/>
    <w:rsid w:val="14C702EB"/>
    <w:rsid w:val="157435CA"/>
    <w:rsid w:val="15956862"/>
    <w:rsid w:val="17646D55"/>
    <w:rsid w:val="17861AEB"/>
    <w:rsid w:val="185C25B1"/>
    <w:rsid w:val="1AB322F0"/>
    <w:rsid w:val="1F351FAF"/>
    <w:rsid w:val="1F86792F"/>
    <w:rsid w:val="1FF746DA"/>
    <w:rsid w:val="20772D49"/>
    <w:rsid w:val="20B024A1"/>
    <w:rsid w:val="25205CF8"/>
    <w:rsid w:val="25E129FE"/>
    <w:rsid w:val="29535BBE"/>
    <w:rsid w:val="2BD42381"/>
    <w:rsid w:val="2E9F243D"/>
    <w:rsid w:val="2EE17814"/>
    <w:rsid w:val="2FEF7D77"/>
    <w:rsid w:val="31417311"/>
    <w:rsid w:val="3566232B"/>
    <w:rsid w:val="39DD2AC7"/>
    <w:rsid w:val="3A314ED2"/>
    <w:rsid w:val="3A7D040E"/>
    <w:rsid w:val="3B0E44F4"/>
    <w:rsid w:val="3D15067F"/>
    <w:rsid w:val="3DB14890"/>
    <w:rsid w:val="3E8C3A26"/>
    <w:rsid w:val="3F73645C"/>
    <w:rsid w:val="412A0477"/>
    <w:rsid w:val="42041D48"/>
    <w:rsid w:val="45D07A7B"/>
    <w:rsid w:val="45FB48A4"/>
    <w:rsid w:val="48DB5365"/>
    <w:rsid w:val="48E2729B"/>
    <w:rsid w:val="4BDF7549"/>
    <w:rsid w:val="4DF37842"/>
    <w:rsid w:val="4F46621E"/>
    <w:rsid w:val="53417DE8"/>
    <w:rsid w:val="545D6861"/>
    <w:rsid w:val="551E49A7"/>
    <w:rsid w:val="565C1810"/>
    <w:rsid w:val="58805E0B"/>
    <w:rsid w:val="59FFFD36"/>
    <w:rsid w:val="5A100A69"/>
    <w:rsid w:val="5AC66E6D"/>
    <w:rsid w:val="5C2F2B85"/>
    <w:rsid w:val="5D711BC1"/>
    <w:rsid w:val="5DC00719"/>
    <w:rsid w:val="5E6370DC"/>
    <w:rsid w:val="5E7210B7"/>
    <w:rsid w:val="5EBE1F44"/>
    <w:rsid w:val="5EF61BEE"/>
    <w:rsid w:val="5FFCDEF8"/>
    <w:rsid w:val="61E31F82"/>
    <w:rsid w:val="623173B1"/>
    <w:rsid w:val="627AADA0"/>
    <w:rsid w:val="64B6114A"/>
    <w:rsid w:val="654D6D68"/>
    <w:rsid w:val="67835892"/>
    <w:rsid w:val="69287FF9"/>
    <w:rsid w:val="69BA7FBC"/>
    <w:rsid w:val="69EF4473"/>
    <w:rsid w:val="69F5315F"/>
    <w:rsid w:val="6C5E3ED7"/>
    <w:rsid w:val="6D601559"/>
    <w:rsid w:val="6DC95D5B"/>
    <w:rsid w:val="6F4A2587"/>
    <w:rsid w:val="6F565F34"/>
    <w:rsid w:val="6F817756"/>
    <w:rsid w:val="706C57A0"/>
    <w:rsid w:val="70856287"/>
    <w:rsid w:val="71CC5BD1"/>
    <w:rsid w:val="735B762D"/>
    <w:rsid w:val="75BE6923"/>
    <w:rsid w:val="75DE796D"/>
    <w:rsid w:val="761B3A3C"/>
    <w:rsid w:val="772C6592"/>
    <w:rsid w:val="7C614DBC"/>
    <w:rsid w:val="7CED3003"/>
    <w:rsid w:val="7CFE5411"/>
    <w:rsid w:val="7DC16531"/>
    <w:rsid w:val="7DFD2408"/>
    <w:rsid w:val="B6F5B665"/>
    <w:rsid w:val="F33752BE"/>
    <w:rsid w:val="FBBFE06A"/>
    <w:rsid w:val="FD9FE1A1"/>
    <w:rsid w:val="FED7EB8E"/>
    <w:rsid w:val="FFF7157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500" w:lineRule="exact"/>
    </w:pPr>
    <w:rPr>
      <w:sz w:val="30"/>
    </w:rPr>
  </w:style>
  <w:style w:type="paragraph" w:styleId="4">
    <w:name w:val="Date"/>
    <w:basedOn w:val="1"/>
    <w:next w:val="1"/>
    <w:qFormat/>
    <w:uiPriority w:val="0"/>
    <w:pPr>
      <w:ind w:left="100" w:leftChars="2500"/>
    </w:pPr>
  </w:style>
  <w:style w:type="paragraph" w:styleId="5">
    <w:name w:val="Body Text Indent 2"/>
    <w:basedOn w:val="1"/>
    <w:qFormat/>
    <w:uiPriority w:val="0"/>
    <w:pPr>
      <w:ind w:firstLine="6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Autospacing="1" w:afterAutospacing="1"/>
      <w:jc w:val="left"/>
    </w:pPr>
    <w:rPr>
      <w:sz w:val="24"/>
    </w:rPr>
  </w:style>
  <w:style w:type="table" w:styleId="11">
    <w:name w:val="Table Grid"/>
    <w:basedOn w:val="1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paragraph" w:customStyle="1" w:styleId="15">
    <w:name w:val="Char"/>
    <w:basedOn w:val="1"/>
    <w:qFormat/>
    <w:uiPriority w:val="0"/>
  </w:style>
  <w:style w:type="paragraph" w:customStyle="1" w:styleId="16">
    <w:name w:val="_Style 3"/>
    <w:basedOn w:val="1"/>
    <w:qFormat/>
    <w:uiPriority w:val="0"/>
  </w:style>
  <w:style w:type="paragraph" w:customStyle="1" w:styleId="17">
    <w:name w:val="Char Char"/>
    <w:basedOn w:val="1"/>
    <w:qFormat/>
    <w:uiPriority w:val="0"/>
    <w:rPr>
      <w:rFonts w:ascii="Times New Roman" w:eastAsia="宋体"/>
      <w:color w:val="auto"/>
      <w:kern w:val="2"/>
      <w:sz w:val="21"/>
      <w:szCs w:val="24"/>
    </w:rPr>
  </w:style>
  <w:style w:type="paragraph" w:customStyle="1" w:styleId="18">
    <w:name w:val="Char Char8"/>
    <w:basedOn w:val="1"/>
    <w:qFormat/>
    <w:uiPriority w:val="0"/>
    <w:rPr>
      <w:rFonts w:ascii="Times New Roman" w:eastAsia="宋体"/>
      <w:color w:val="auto"/>
      <w:kern w:val="2"/>
      <w:sz w:val="21"/>
      <w:szCs w:val="24"/>
    </w:rPr>
  </w:style>
  <w:style w:type="paragraph" w:customStyle="1" w:styleId="19">
    <w:name w:val="Char1"/>
    <w:basedOn w:val="1"/>
    <w:qFormat/>
    <w:uiPriority w:val="0"/>
    <w:rPr>
      <w:rFonts w:ascii="Tahoma" w:hAnsi="Tahoma" w:eastAsia="宋体"/>
      <w:color w:val="auto"/>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dfdf</Company>
  <Pages>11</Pages>
  <Words>5718</Words>
  <Characters>6055</Characters>
  <Lines>45</Lines>
  <Paragraphs>12</Paragraphs>
  <TotalTime>2</TotalTime>
  <ScaleCrop>false</ScaleCrop>
  <LinksUpToDate>false</LinksUpToDate>
  <CharactersWithSpaces>6059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2019-12-08T07:04:00Z</dcterms:created>
  <dc:creator>未羽</dc:creator>
  <cp:lastModifiedBy>，</cp:lastModifiedBy>
  <cp:lastPrinted>2021-11-27T15:02:00Z</cp:lastPrinted>
  <dcterms:modified xsi:type="dcterms:W3CDTF">2024-05-29T03:31:24Z</dcterms:modified>
  <dc:title>国有建设用地使用权拍卖出让须知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147DB053FB7B4A7CAC58A0FE60B8BF0F</vt:lpwstr>
  </property>
</Properties>
</file>