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丰2022-13</w:t>
      </w:r>
      <w:r>
        <w:rPr>
          <w:rFonts w:ascii="Times New Roman" w:eastAsia="方正小标宋简体"/>
          <w:bCs/>
          <w:color w:val="auto"/>
          <w:sz w:val="44"/>
          <w:szCs w:val="44"/>
        </w:rPr>
        <w:t>号等</w:t>
      </w:r>
      <w:r>
        <w:rPr>
          <w:rFonts w:hint="eastAsia" w:ascii="Times New Roman" w:eastAsia="方正小标宋简体"/>
          <w:bCs/>
          <w:color w:val="auto"/>
          <w:sz w:val="44"/>
          <w:szCs w:val="44"/>
        </w:rPr>
        <w:t>4</w:t>
      </w:r>
      <w:r>
        <w:rPr>
          <w:rFonts w:ascii="Times New Roman" w:eastAsia="方正小标宋简体"/>
          <w:bCs/>
          <w:color w:val="auto"/>
          <w:sz w:val="44"/>
          <w:szCs w:val="44"/>
        </w:rPr>
        <w:t>宗地块国有建设用地使用权拍卖出让须知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rPr>
        <w:t>丰2022-13</w:t>
      </w:r>
      <w:r>
        <w:rPr>
          <w:rFonts w:ascii="Times New Roman" w:eastAsia="仿宋"/>
          <w:color w:val="auto"/>
          <w:szCs w:val="32"/>
        </w:rPr>
        <w:t>号等4宗地块国有建设用地使用权。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者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spacing w:line="520" w:lineRule="exact"/>
        <w:ind w:firstLine="640" w:firstLineChars="200"/>
        <w:rPr>
          <w:rFonts w:ascii="Times New Roman" w:eastAsia="仿宋"/>
          <w:color w:val="auto"/>
          <w:szCs w:val="32"/>
        </w:rPr>
      </w:pPr>
      <w:r>
        <w:rPr>
          <w:rFonts w:ascii="Times New Roman" w:eastAsia="仿宋"/>
          <w:color w:val="auto"/>
          <w:szCs w:val="32"/>
        </w:rPr>
        <w:t>拍卖时间：2022年</w:t>
      </w:r>
      <w:r>
        <w:rPr>
          <w:rFonts w:hint="eastAsia" w:ascii="Times New Roman" w:eastAsia="仿宋"/>
          <w:color w:val="auto"/>
          <w:szCs w:val="32"/>
        </w:rPr>
        <w:t>10</w:t>
      </w:r>
      <w:r>
        <w:rPr>
          <w:rFonts w:ascii="Times New Roman" w:eastAsia="仿宋"/>
          <w:color w:val="auto"/>
          <w:szCs w:val="32"/>
        </w:rPr>
        <w:t>月</w:t>
      </w:r>
      <w:r>
        <w:rPr>
          <w:rFonts w:hint="eastAsia" w:ascii="Times New Roman" w:eastAsia="仿宋"/>
          <w:color w:val="auto"/>
          <w:szCs w:val="32"/>
        </w:rPr>
        <w:t>20</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szCs w:val="32"/>
        </w:rPr>
        <w:t>：00。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拍卖地点：泉州市行政服务中心（东海大厦）A幢442室（地址：泉州市丰泽区海星街100号）。</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本次国有建设用地使用权采用“限房价、限地价、摇号”方式拍卖出让，按照价高者得的原则确定竞得人，不设保留价；当拍卖溢价率达到15%时（即丰2022-13号地块总价10235万元，平均楼面地价2241.6元/平方米；丰2022-24号地块总价180090万元，平均楼面地价15829元/平方米；丰2022-30号地块总价47610万元，平均楼面地价3552.9元/平方米；洛2022-5号地块总价72795万元，平均楼面地价5849.5元/平方米），采取熔断机制，不再接受更高报价，对于有意向的多个竞买人，当即现场采取摇号方式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20" w:lineRule="exact"/>
        <w:ind w:firstLine="640" w:firstLineChars="200"/>
        <w:rPr>
          <w:rFonts w:ascii="Times New Roman" w:eastAsia="仿宋"/>
          <w:color w:val="auto"/>
          <w:szCs w:val="32"/>
        </w:rPr>
      </w:pPr>
      <w:r>
        <w:rPr>
          <w:rFonts w:ascii="Times New Roman" w:eastAsia="仿宋"/>
          <w:color w:val="auto"/>
          <w:szCs w:val="32"/>
        </w:rPr>
        <w:t>1.丰2022-13号地块。该宗地即2020-3号储备用地，位于丰泽区北峰街道，东至规划18米宽支路，西至规划招联路，南至规划纬三路，北至规划18米宽支路，土地面积15219.77平方米（约合22.83亩）。规划用途为二类居住用地。主要技术指标为：容积率3.0以下1.0以上，建筑密度22%以下，绿地率30%以上，建筑高度80米以下，部分建筑高度可突破至100米（100米建筑的计容建筑面积占总计容建筑面积比例不大于15%）。建设内容为住宅及公共配套服务设施。</w:t>
      </w:r>
    </w:p>
    <w:p>
      <w:pPr>
        <w:spacing w:line="520" w:lineRule="exact"/>
        <w:ind w:firstLine="640" w:firstLineChars="200"/>
        <w:rPr>
          <w:rFonts w:ascii="Times New Roman" w:eastAsia="仿宋"/>
          <w:color w:val="auto"/>
          <w:szCs w:val="32"/>
        </w:rPr>
      </w:pPr>
      <w:r>
        <w:rPr>
          <w:rFonts w:ascii="Times New Roman" w:eastAsia="仿宋"/>
          <w:color w:val="auto"/>
          <w:szCs w:val="32"/>
        </w:rPr>
        <w:t>2.丰2022-24号地块。该宗地即2021-19号储备用地，位于丰泽区，南临海韵街，东南至毓才街，北至宫口路，西临规划61号路，土地面积87517.1平方米（约合131.3亩）。规划用途为二类居住用地。主要技术指标为：容积率1.3以下1.0以上，建筑密度30%以下，绿地率30%以上，建筑高度18米以下。建设内容为住宅及商业等配套设施。其中，商业计容建筑面积为3000平方米（误差不超过±100平方米）。</w:t>
      </w:r>
    </w:p>
    <w:p>
      <w:pPr>
        <w:spacing w:line="520" w:lineRule="exact"/>
        <w:ind w:firstLine="640" w:firstLineChars="200"/>
        <w:rPr>
          <w:rFonts w:ascii="Times New Roman" w:eastAsia="仿宋"/>
          <w:color w:val="auto"/>
          <w:szCs w:val="32"/>
        </w:rPr>
      </w:pPr>
      <w:r>
        <w:rPr>
          <w:rFonts w:ascii="Times New Roman" w:eastAsia="仿宋"/>
          <w:color w:val="auto"/>
          <w:szCs w:val="32"/>
        </w:rPr>
        <w:t>3.丰2022-30号地块。该宗地即2022-31号储备用地，位于丰泽区东滨大道东北侧、纬五路南侧，土地面积53601.41平方米（约合80.4亩）。规划用途为二类居住用地。主要技术指标为：容积率2.5以下，建筑密度20%以下，绿地率35%以上，建筑高度80米以下。建设内容为安置型商品房，如设置商业建筑，计容建筑面积控制在总计容建筑面积的5%以下。</w:t>
      </w:r>
    </w:p>
    <w:p>
      <w:pPr>
        <w:spacing w:line="520" w:lineRule="exact"/>
        <w:ind w:firstLine="640" w:firstLineChars="200"/>
        <w:rPr>
          <w:rFonts w:ascii="Times New Roman" w:eastAsia="仿宋"/>
          <w:color w:val="auto"/>
          <w:szCs w:val="32"/>
        </w:rPr>
      </w:pPr>
      <w:r>
        <w:rPr>
          <w:rFonts w:ascii="Times New Roman" w:eastAsia="仿宋"/>
          <w:color w:val="auto"/>
          <w:szCs w:val="32"/>
        </w:rPr>
        <w:t>4.洛2022-5号地块。该宗地即2022-L03号储备用地，位于</w:t>
      </w:r>
      <w:r>
        <w:rPr>
          <w:rFonts w:hint="eastAsia" w:ascii="Times New Roman" w:eastAsia="仿宋"/>
          <w:color w:val="auto"/>
          <w:szCs w:val="32"/>
        </w:rPr>
        <w:t>洛江区</w:t>
      </w:r>
      <w:r>
        <w:rPr>
          <w:rFonts w:ascii="Times New Roman" w:eastAsia="仿宋"/>
          <w:color w:val="auto"/>
          <w:szCs w:val="32"/>
        </w:rPr>
        <w:t>万安街道后埭社区，北至新城路，东临滨江路，西侧、南侧为山地，土地面积68214.20平方米（约合102.32亩），其中居住用地59260.2平方米，配套公园绿地约8954平方米（公园绿地不计入下列规划指标的计算基数）。规划用途为二类居住用地、商业设施用地、公园绿地。主要技术指标为：容积率2.1以下1.0以上，建筑密度23%以下，绿地率30%以上，建筑高度36米以下</w:t>
      </w:r>
      <w:r>
        <w:rPr>
          <w:rFonts w:hint="eastAsia" w:ascii="Times New Roman" w:eastAsia="仿宋"/>
          <w:color w:val="auto"/>
          <w:szCs w:val="32"/>
        </w:rPr>
        <w:t>（在满足城市天际线控制要求下，部分可突破至60米以下）</w:t>
      </w:r>
      <w:r>
        <w:rPr>
          <w:rFonts w:ascii="Times New Roman" w:eastAsia="仿宋"/>
          <w:color w:val="auto"/>
          <w:szCs w:val="32"/>
        </w:rPr>
        <w:t>。建设内容为住宅及商业配套设施。其中商业设施的计容建筑面积为3800平方米（±200平方米）。</w:t>
      </w:r>
    </w:p>
    <w:p>
      <w:pPr>
        <w:widowControl/>
        <w:spacing w:line="520" w:lineRule="exact"/>
        <w:ind w:firstLine="600"/>
        <w:rPr>
          <w:rFonts w:ascii="Times New Roman" w:eastAsia="仿宋"/>
          <w:color w:val="auto"/>
          <w:szCs w:val="32"/>
        </w:rPr>
      </w:pPr>
      <w:r>
        <w:rPr>
          <w:rFonts w:ascii="Times New Roman" w:eastAsia="仿宋"/>
          <w:color w:val="auto"/>
          <w:szCs w:val="32"/>
        </w:rPr>
        <w:t>（二）规划指标和相关要求</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1．上述地块竞买申请人须具有房地产开发资质。</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2．丰2022-13号地块竞得人须按有关规范要求配套建设相应的公共配套服务设施，包括：社区管理服务用房、社区医疗服务站、居家养老服务站、公厕等，且上述公共配套服务设施应相对集中布置在交通便利、方便群众使用的地方，与项目主体建筑同时设计、同时建设，建成后无偿将产权、使用权移交给政府指定的有权机构。</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3．丰2022-24号地块竞得人须按有关规范要求配套建设相应的公共配套服务设施，包括：社区管理服务用房、社区医疗服务站、居家养老服务站等，且上述公共配套服务设施应相对集中布置在交通便利、方便群众使用的地方，与项目主体建筑同时设计、同时建设，建成后无偿将产权、使用权移交给政府指定的有权机构。</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4．丰2022-30号地块竞得人须按有关规范要求配套建设相应的公共配套服务设施，包括：社区管理服务用房、社区医疗服务站、居家养老服务站、幼儿园、公厕等，且上述公共配套服务设施应相对集中布置在交通便利、方便群众使用的地方，与项目主体建筑同时设计、同时建设，建成后无偿将产权、使用权移交给政府指定的有权机构。</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5．丰2022-24号地块、洛2022-5号地块，竞得人应建设集中商业，并进行整体经营，不可分割销售、不可分割转让。</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6．丰2022-13号地块竞得人应在与我局签订《国有建设用地使用权出让合同》之日起5个工作日内与泉州市住宅建设开发有限公司签订该地块安置型商品房回购协议。回购价格为住宅5820元/</w:t>
      </w:r>
      <w:r>
        <w:rPr>
          <w:rFonts w:hint="eastAsia" w:ascii="Times New Roman" w:eastAsia="仿宋"/>
          <w:color w:val="auto"/>
          <w:szCs w:val="32"/>
        </w:rPr>
        <w:t>平方米</w:t>
      </w:r>
      <w:r>
        <w:rPr>
          <w:rFonts w:ascii="Times New Roman" w:eastAsia="仿宋"/>
          <w:color w:val="auto"/>
          <w:szCs w:val="32"/>
        </w:rPr>
        <w:t>，非人防地下室的标准停车位回购价格按标准位15万元/个。</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7．丰2022-30号地块竞得人应在与我局签订《国有建设用地使用权出让合同》之日起5个工作日内与泉州市东海投资管理有限公司签订该地块安置型商品房回购协议。回购价格为住宅</w:t>
      </w:r>
      <w:r>
        <w:rPr>
          <w:rFonts w:hint="eastAsia" w:ascii="Times New Roman" w:eastAsia="仿宋"/>
          <w:color w:val="auto"/>
          <w:szCs w:val="32"/>
        </w:rPr>
        <w:t>671</w:t>
      </w:r>
      <w:r>
        <w:rPr>
          <w:rFonts w:hint="eastAsia" w:ascii="Times New Roman" w:eastAsia="仿宋"/>
          <w:color w:val="auto"/>
          <w:szCs w:val="32"/>
          <w:lang w:val="en-US" w:eastAsia="zh-CN"/>
        </w:rPr>
        <w:t>6</w:t>
      </w:r>
      <w:bookmarkStart w:id="2" w:name="_GoBack"/>
      <w:bookmarkEnd w:id="2"/>
      <w:r>
        <w:rPr>
          <w:rFonts w:ascii="Times New Roman" w:eastAsia="仿宋"/>
          <w:color w:val="auto"/>
          <w:szCs w:val="32"/>
        </w:rPr>
        <w:t>元/</w:t>
      </w:r>
      <w:r>
        <w:rPr>
          <w:rFonts w:hint="eastAsia" w:ascii="Times New Roman" w:eastAsia="仿宋"/>
          <w:color w:val="auto"/>
          <w:szCs w:val="32"/>
        </w:rPr>
        <w:t>平方米</w:t>
      </w:r>
      <w:r>
        <w:rPr>
          <w:rFonts w:ascii="Times New Roman" w:eastAsia="仿宋"/>
          <w:color w:val="auto"/>
          <w:szCs w:val="32"/>
        </w:rPr>
        <w:t>，商业用房回购价为8000元/</w:t>
      </w:r>
      <w:r>
        <w:rPr>
          <w:rFonts w:hint="eastAsia" w:ascii="Times New Roman" w:eastAsia="仿宋"/>
          <w:color w:val="auto"/>
          <w:szCs w:val="32"/>
        </w:rPr>
        <w:t>平方米</w:t>
      </w:r>
      <w:r>
        <w:rPr>
          <w:rFonts w:ascii="Times New Roman" w:eastAsia="仿宋"/>
          <w:color w:val="auto"/>
          <w:szCs w:val="32"/>
        </w:rPr>
        <w:t>，非人防地下室的标准停车位回购价格按标准位16万元/个。</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8．洛2022-5号地块竞得人须按有关规范要求配套建设相应的公共配套服务设施，包括：社区管理服务用房、社区医疗服务站、居家养老服务站、幼儿园（幼托）等设施，且上述公共配套服务设施应相对集中布置在交通便利、方便群众使用的地方，与项目主体建筑同时设计、同时建设，否则住建部门不予核发预售证，建成后无偿将产权、使用权移交给政府指定的有权机构。</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9．洛2022-5号地块配套的公园绿地，应依山就势，按城市公园和城市绿廊要求合理设计建设，配套公园绿地应预留原上山道路通行需求，不得用于小区停车，不得封闭管理，应对外开放。用地面积约8954平方米。可依据地形地貌，适当调整形状，但位置原则上不得改变，用地规模不得缩小。</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10．丰2022-13号、丰2022-24号、丰2022-30号地块由非泉州市丰泽区的法人竞得的，须在泉州市丰泽区注册成立新公司，所有税收应在当地缴纳；洛2022-5号地块由非泉州市洛江区的法人竞得的，须在泉州市洛江区注册成立新公司，所有税收应在当地缴纳。</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11．丰2022-24号、洛2022-5号地块竞买人应在竞买申请书中承诺，如竞得地块，在项目建设达到预售条件时，同意该项目商品房的预售价格受政府调控。其中丰2022-24号地块商品住宅部分最高销售均价为24998元/平方米（毛坯）、洛2022-5号商品住宅部分最高销售均价为12900元/平方米（毛坯）。</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12．丰2022-24号、洛2022-5号地块的可销售房源应全部按程序办理预售手续并向社会公开销售。严禁采取“以房抵债”、股东或特定全体垄断房源、办理自有产权等方式逃避公开销售，否则住建部门不予办理合同网签备案，产权登记部门不予办理产权。</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13．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返还；若竞买人已签订《国有建设用地使用权出让合同》，则《国有建设用地使用权出让合同》一并解除，已缴纳的土地出让价款不予返还。</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14．按照《泉州市住房和城乡建设局等三部门关于加快推动新型建筑工业化发展的通知》（泉建规〔2022〕3号）要求，上述地块的装配式建筑应占新建建筑面积30%以上。</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15．按照《泉州市人民政府关于印发泉州市促进房地产市场持续健康稳定发展若干意见（2018—2025年）的通知》（泉政文〔2018〕87号）要求，上述地块的建筑单体质量要求达到泉州市优质工程及以上。</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16．按照《泉州市人民政府办公室转发泉州市住房和城乡建设局泉州市自然资源和规划局关于加强新建商品住宅及商办类建筑建设管理的通知》（泉政办明传〔2021〕75号）要求，上述地块开发建设应符合《新建商品住宅建设品质提升事项》要求。</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同一企业及其控股的各个公司，不得参与同一宗地的竞买。</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对于出现同一企业及其控股的各个公司报名参与同一宗地竞买，该类竞买人的竞买资格将按照各竞买人提交完整报名材料的先后顺序确定。经审查，最先提交完整报名材料（按规定交纳竞买保证金且符合申请条件）的竞买人享有竞买资格；同时递交完整报名材料且确定符合申请条件的，以保证金交纳时间在前的确定享有竞买资格。最终确定享有竞买资格的竞买人将发给《竞买资格确认书》，确认书一经发出，其余竞买人均不享有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交纳竞买保证金的截止时间为2022年</w:t>
      </w:r>
      <w:r>
        <w:rPr>
          <w:rFonts w:hint="eastAsia" w:ascii="Times New Roman" w:eastAsia="仿宋"/>
          <w:color w:val="auto"/>
          <w:szCs w:val="32"/>
        </w:rPr>
        <w:t>10</w:t>
      </w:r>
      <w:r>
        <w:rPr>
          <w:rFonts w:ascii="Times New Roman" w:eastAsia="仿宋"/>
          <w:color w:val="auto"/>
          <w:szCs w:val="32"/>
        </w:rPr>
        <w:t>月</w:t>
      </w:r>
      <w:r>
        <w:rPr>
          <w:rFonts w:hint="eastAsia" w:ascii="Times New Roman" w:eastAsia="仿宋"/>
          <w:color w:val="auto"/>
          <w:szCs w:val="32"/>
        </w:rPr>
        <w:t>18</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丰2022-13</w:t>
      </w:r>
      <w:r>
        <w:rPr>
          <w:rFonts w:ascii="Times New Roman" w:eastAsia="仿宋"/>
          <w:color w:val="auto"/>
          <w:szCs w:val="32"/>
        </w:rPr>
        <w:t>号地块的竞买保证金为人民币（大写）贰仟万元整（￥</w:t>
      </w:r>
      <w:r>
        <w:rPr>
          <w:rFonts w:hint="eastAsia" w:ascii="Times New Roman" w:eastAsia="仿宋"/>
          <w:color w:val="auto"/>
          <w:szCs w:val="32"/>
        </w:rPr>
        <w:t>2</w:t>
      </w:r>
      <w:r>
        <w:rPr>
          <w:rFonts w:ascii="Times New Roman" w:eastAsia="仿宋"/>
          <w:color w:val="auto"/>
          <w:szCs w:val="32"/>
        </w:rPr>
        <w:t>0,000,000.00）。</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w:t>
      </w:r>
      <w:r>
        <w:rPr>
          <w:rFonts w:ascii="Times New Roman" w:eastAsia="仿宋"/>
          <w:color w:val="auto"/>
          <w:szCs w:val="32"/>
        </w:rPr>
        <w:t>2022-</w:t>
      </w:r>
      <w:r>
        <w:rPr>
          <w:rFonts w:hint="eastAsia" w:ascii="Times New Roman" w:eastAsia="仿宋"/>
          <w:color w:val="auto"/>
          <w:szCs w:val="32"/>
        </w:rPr>
        <w:t>24</w:t>
      </w:r>
      <w:r>
        <w:rPr>
          <w:rFonts w:ascii="Times New Roman" w:eastAsia="仿宋"/>
          <w:color w:val="auto"/>
          <w:szCs w:val="32"/>
        </w:rPr>
        <w:t>号地块的竞买保证金为人民币（大写）</w:t>
      </w:r>
      <w:r>
        <w:rPr>
          <w:rFonts w:hint="eastAsia" w:ascii="Times New Roman" w:eastAsia="仿宋"/>
          <w:color w:val="auto"/>
          <w:szCs w:val="32"/>
        </w:rPr>
        <w:t>叁亿贰</w:t>
      </w:r>
      <w:r>
        <w:rPr>
          <w:rFonts w:ascii="Times New Roman" w:eastAsia="仿宋"/>
          <w:color w:val="auto"/>
          <w:szCs w:val="32"/>
        </w:rPr>
        <w:t>仟万元整（￥</w:t>
      </w:r>
      <w:r>
        <w:rPr>
          <w:rFonts w:hint="eastAsia" w:ascii="Times New Roman" w:eastAsia="仿宋"/>
          <w:color w:val="auto"/>
          <w:szCs w:val="32"/>
        </w:rPr>
        <w:t>320</w:t>
      </w:r>
      <w:r>
        <w:rPr>
          <w:rFonts w:ascii="Times New Roman" w:eastAsia="仿宋"/>
          <w:color w:val="auto"/>
          <w:szCs w:val="32"/>
        </w:rPr>
        <w:t>,000,000.00）。</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丰2022-30</w:t>
      </w:r>
      <w:r>
        <w:rPr>
          <w:rFonts w:ascii="Times New Roman" w:eastAsia="仿宋"/>
          <w:color w:val="auto"/>
          <w:szCs w:val="32"/>
        </w:rPr>
        <w:t>号地块的竞买保证金为人民币（大写）</w:t>
      </w:r>
      <w:r>
        <w:rPr>
          <w:rFonts w:hint="eastAsia" w:ascii="Times New Roman" w:eastAsia="仿宋"/>
          <w:color w:val="auto"/>
          <w:szCs w:val="32"/>
        </w:rPr>
        <w:t>捌</w:t>
      </w:r>
      <w:r>
        <w:rPr>
          <w:rFonts w:ascii="Times New Roman" w:eastAsia="仿宋"/>
          <w:color w:val="auto"/>
          <w:szCs w:val="32"/>
        </w:rPr>
        <w:t>仟</w:t>
      </w:r>
      <w:r>
        <w:rPr>
          <w:rFonts w:hint="eastAsia" w:ascii="Times New Roman" w:eastAsia="仿宋"/>
          <w:color w:val="auto"/>
          <w:szCs w:val="32"/>
        </w:rPr>
        <w:t>贰佰捌拾</w:t>
      </w:r>
      <w:r>
        <w:rPr>
          <w:rFonts w:ascii="Times New Roman" w:eastAsia="仿宋"/>
          <w:color w:val="auto"/>
          <w:szCs w:val="32"/>
        </w:rPr>
        <w:t>万元整（￥</w:t>
      </w:r>
      <w:r>
        <w:rPr>
          <w:rFonts w:hint="eastAsia" w:ascii="Times New Roman" w:eastAsia="仿宋"/>
          <w:color w:val="auto"/>
          <w:szCs w:val="32"/>
        </w:rPr>
        <w:t>82</w:t>
      </w: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00,000.00）。</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洛</w:t>
      </w:r>
      <w:r>
        <w:rPr>
          <w:rFonts w:ascii="Times New Roman" w:eastAsia="仿宋"/>
          <w:color w:val="auto"/>
          <w:szCs w:val="32"/>
        </w:rPr>
        <w:t>2022-</w:t>
      </w:r>
      <w:r>
        <w:rPr>
          <w:rFonts w:hint="eastAsia" w:ascii="Times New Roman" w:eastAsia="仿宋"/>
          <w:color w:val="auto"/>
          <w:szCs w:val="32"/>
        </w:rPr>
        <w:t>5</w:t>
      </w:r>
      <w:r>
        <w:rPr>
          <w:rFonts w:ascii="Times New Roman" w:eastAsia="仿宋"/>
          <w:color w:val="auto"/>
          <w:szCs w:val="32"/>
        </w:rPr>
        <w:t>号地块的竞买保证金为人民币（大写）</w:t>
      </w:r>
      <w:r>
        <w:rPr>
          <w:rFonts w:hint="eastAsia" w:ascii="Times New Roman" w:eastAsia="仿宋"/>
          <w:color w:val="auto"/>
          <w:szCs w:val="32"/>
        </w:rPr>
        <w:t>壹亿玖仟</w:t>
      </w:r>
      <w:r>
        <w:rPr>
          <w:rFonts w:ascii="Times New Roman" w:eastAsia="仿宋"/>
          <w:color w:val="auto"/>
          <w:szCs w:val="32"/>
        </w:rPr>
        <w:t>万元整（￥</w:t>
      </w:r>
      <w:r>
        <w:rPr>
          <w:rFonts w:hint="eastAsia" w:ascii="Times New Roman" w:eastAsia="仿宋"/>
          <w:color w:val="auto"/>
          <w:szCs w:val="32"/>
        </w:rPr>
        <w:t>190</w:t>
      </w:r>
      <w:r>
        <w:rPr>
          <w:rFonts w:ascii="Times New Roman" w:eastAsia="仿宋"/>
          <w:color w:val="auto"/>
          <w:szCs w:val="32"/>
        </w:rPr>
        <w:t>,000,000.00）。</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竞买人可于2022年</w:t>
      </w:r>
      <w:r>
        <w:rPr>
          <w:rFonts w:hint="eastAsia" w:ascii="Times New Roman" w:eastAsia="仿宋"/>
          <w:color w:val="auto"/>
          <w:szCs w:val="32"/>
        </w:rPr>
        <w:t>9</w:t>
      </w:r>
      <w:r>
        <w:rPr>
          <w:rFonts w:ascii="Times New Roman" w:eastAsia="仿宋"/>
          <w:color w:val="auto"/>
          <w:szCs w:val="32"/>
        </w:rPr>
        <w:t>月</w:t>
      </w:r>
      <w:r>
        <w:rPr>
          <w:rFonts w:hint="eastAsia" w:ascii="Times New Roman" w:eastAsia="仿宋"/>
          <w:color w:val="auto"/>
          <w:szCs w:val="32"/>
        </w:rPr>
        <w:t>30</w:t>
      </w:r>
      <w:r>
        <w:rPr>
          <w:rFonts w:ascii="Times New Roman" w:eastAsia="仿宋"/>
          <w:color w:val="auto"/>
          <w:szCs w:val="32"/>
        </w:rPr>
        <w:t>日至2022年</w:t>
      </w:r>
      <w:r>
        <w:rPr>
          <w:rFonts w:hint="eastAsia" w:ascii="Times New Roman" w:eastAsia="仿宋"/>
          <w:color w:val="auto"/>
          <w:szCs w:val="32"/>
        </w:rPr>
        <w:t>10</w:t>
      </w:r>
      <w:r>
        <w:rPr>
          <w:rFonts w:ascii="Times New Roman" w:eastAsia="仿宋"/>
          <w:color w:val="auto"/>
          <w:szCs w:val="32"/>
        </w:rPr>
        <w:t>月</w:t>
      </w:r>
      <w:r>
        <w:rPr>
          <w:rFonts w:hint="eastAsia" w:ascii="Times New Roman" w:eastAsia="仿宋"/>
          <w:color w:val="auto"/>
          <w:szCs w:val="32"/>
        </w:rPr>
        <w:t>18</w:t>
      </w:r>
      <w:r>
        <w:rPr>
          <w:rFonts w:ascii="Times New Roman" w:eastAsia="仿宋"/>
          <w:color w:val="auto"/>
          <w:szCs w:val="32"/>
        </w:rPr>
        <w:t>日，到泉州市丰泽区海星街100号东海大厦A幢市行政服务中心4楼450室购买索取本次拍卖出让文件，具体包括：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1．国有建设用地使用权出让公告(泉自然资告字〔2022〕</w:t>
      </w:r>
      <w:r>
        <w:rPr>
          <w:rFonts w:hint="eastAsia" w:ascii="Times New Roman" w:eastAsia="仿宋"/>
          <w:color w:val="auto"/>
          <w:szCs w:val="32"/>
        </w:rPr>
        <w:t>6</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2．泉州市国有建设用地使用权拍卖出让须知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12．《住宅用地竞买保证金/成交价款来源情况申报表》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13．各相关地块回购协议</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竞买人应于2022年</w:t>
      </w:r>
      <w:r>
        <w:rPr>
          <w:rFonts w:hint="eastAsia" w:ascii="Times New Roman" w:eastAsia="仿宋"/>
          <w:color w:val="auto"/>
          <w:szCs w:val="32"/>
        </w:rPr>
        <w:t>10</w:t>
      </w:r>
      <w:r>
        <w:rPr>
          <w:rFonts w:ascii="Times New Roman" w:eastAsia="仿宋"/>
          <w:color w:val="auto"/>
          <w:szCs w:val="32"/>
        </w:rPr>
        <w:t>月</w:t>
      </w:r>
      <w:r>
        <w:rPr>
          <w:rFonts w:hint="eastAsia" w:ascii="Times New Roman" w:eastAsia="仿宋"/>
          <w:color w:val="auto"/>
          <w:szCs w:val="32"/>
        </w:rPr>
        <w:t>18</w:t>
      </w:r>
      <w:r>
        <w:rPr>
          <w:rFonts w:ascii="Times New Roman" w:eastAsia="仿宋"/>
          <w:color w:val="auto"/>
          <w:szCs w:val="32"/>
        </w:rPr>
        <w:t>日17时前，到泉州市丰泽区海星街100号东海大厦A幢市行政服务中心4楼450室提交书面申请（不接受邮寄、电子邮件及口头竞买报名），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（6）竞买人委托他人办理的，应提交授权委托书及委托代理人的有效身份证明文件；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2．其他组织申请的，应提交下列文件：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（5）表明该组织负责人身份的有效证明文件；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00" w:lineRule="exact"/>
        <w:ind w:firstLine="640" w:firstLineChars="200"/>
        <w:rPr>
          <w:rFonts w:ascii="Times New Roman" w:eastAsia="仿宋"/>
          <w:color w:val="auto"/>
          <w:szCs w:val="32"/>
        </w:rPr>
      </w:pPr>
      <w:r>
        <w:rPr>
          <w:rFonts w:ascii="Times New Roman" w:eastAsia="仿宋"/>
          <w:color w:val="auto"/>
          <w:szCs w:val="32"/>
        </w:rPr>
        <w:t>3．境外申请人申请的，应提交下列文件：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00" w:lineRule="exact"/>
        <w:ind w:firstLine="640" w:firstLineChars="200"/>
        <w:rPr>
          <w:rFonts w:ascii="Times New Roman" w:eastAsia="仿宋"/>
          <w:color w:val="auto"/>
          <w:szCs w:val="32"/>
        </w:rPr>
      </w:pPr>
      <w:r>
        <w:rPr>
          <w:rFonts w:ascii="Times New Roman" w:eastAsia="仿宋"/>
          <w:color w:val="auto"/>
          <w:szCs w:val="32"/>
        </w:rPr>
        <w:t>（4）境外法人、自然人、其他组织的有效身份证明文件；</w:t>
      </w:r>
    </w:p>
    <w:p>
      <w:pPr>
        <w:spacing w:line="50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（5）申请人委托他人办理的，应提交经公证的授权委托书及委托代理人的有效身份证明文件；</w:t>
      </w:r>
    </w:p>
    <w:p>
      <w:pPr>
        <w:spacing w:line="500" w:lineRule="exact"/>
        <w:ind w:firstLine="640" w:firstLineChars="200"/>
        <w:rPr>
          <w:rFonts w:ascii="Times New Roman" w:eastAsia="仿宋"/>
          <w:color w:val="auto"/>
          <w:szCs w:val="32"/>
        </w:rPr>
      </w:pPr>
      <w:r>
        <w:rPr>
          <w:rFonts w:ascii="Times New Roman" w:eastAsia="仿宋"/>
          <w:color w:val="auto"/>
          <w:szCs w:val="32"/>
        </w:rPr>
        <w:t>（6）竞买保证金交纳凭证；</w:t>
      </w:r>
    </w:p>
    <w:p>
      <w:pPr>
        <w:spacing w:line="500" w:lineRule="exact"/>
        <w:ind w:firstLine="640" w:firstLineChars="200"/>
        <w:rPr>
          <w:rFonts w:ascii="Times New Roman" w:eastAsia="仿宋"/>
          <w:color w:val="auto"/>
          <w:szCs w:val="32"/>
        </w:rPr>
      </w:pPr>
      <w:r>
        <w:rPr>
          <w:rFonts w:ascii="Times New Roman" w:eastAsia="仿宋"/>
          <w:color w:val="auto"/>
          <w:szCs w:val="32"/>
        </w:rPr>
        <w:t>（7）拍卖文件规定需要提交的其他文件。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w:t>
      </w:r>
      <w:r>
        <w:rPr>
          <w:rFonts w:hint="eastAsia" w:ascii="Times New Roman" w:eastAsia="仿宋"/>
          <w:color w:val="auto"/>
          <w:szCs w:val="32"/>
        </w:rPr>
        <w:t>1</w:t>
      </w:r>
      <w:r>
        <w:rPr>
          <w:rFonts w:ascii="Times New Roman" w:eastAsia="仿宋"/>
          <w:color w:val="auto"/>
          <w:szCs w:val="32"/>
        </w:rPr>
        <w:t>日内确认其竞买资格，发给《竞买资格确认书》。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竞买人对拍卖出让文件有疑问的，可以在拍卖会开始前以书面或者口头方式向我局咨询。我局于2022年</w:t>
      </w:r>
      <w:r>
        <w:rPr>
          <w:rFonts w:hint="eastAsia" w:ascii="Times New Roman" w:eastAsia="仿宋"/>
          <w:color w:val="auto"/>
          <w:szCs w:val="32"/>
        </w:rPr>
        <w:t>10</w:t>
      </w:r>
      <w:r>
        <w:rPr>
          <w:rFonts w:ascii="Times New Roman" w:eastAsia="仿宋"/>
          <w:color w:val="auto"/>
          <w:szCs w:val="32"/>
        </w:rPr>
        <w:t>月</w:t>
      </w:r>
      <w:r>
        <w:rPr>
          <w:rFonts w:hint="eastAsia" w:ascii="Times New Roman" w:eastAsia="仿宋"/>
          <w:color w:val="auto"/>
          <w:szCs w:val="32"/>
        </w:rPr>
        <w:t>10</w:t>
      </w:r>
      <w:r>
        <w:rPr>
          <w:rFonts w:ascii="Times New Roman" w:eastAsia="仿宋"/>
          <w:color w:val="auto"/>
          <w:szCs w:val="32"/>
        </w:rPr>
        <w:t>日至2022年</w:t>
      </w:r>
      <w:r>
        <w:rPr>
          <w:rFonts w:hint="eastAsia" w:ascii="Times New Roman" w:eastAsia="仿宋"/>
          <w:color w:val="auto"/>
          <w:szCs w:val="32"/>
        </w:rPr>
        <w:t>10</w:t>
      </w:r>
      <w:r>
        <w:rPr>
          <w:rFonts w:ascii="Times New Roman" w:eastAsia="仿宋"/>
          <w:color w:val="auto"/>
          <w:szCs w:val="32"/>
        </w:rPr>
        <w:t>月</w:t>
      </w:r>
      <w:r>
        <w:rPr>
          <w:rFonts w:hint="eastAsia" w:ascii="Times New Roman" w:eastAsia="仿宋"/>
          <w:color w:val="auto"/>
          <w:szCs w:val="32"/>
        </w:rPr>
        <w:t>11</w:t>
      </w:r>
      <w:r>
        <w:rPr>
          <w:rFonts w:ascii="Times New Roman" w:eastAsia="仿宋"/>
          <w:color w:val="auto"/>
          <w:szCs w:val="32"/>
        </w:rPr>
        <w:t>日组织竞买人对拟出让地块进行现场踏勘。需由我局派员陪同实地踏勘的，请提前与我局联系（联系电话：0595－22769392）。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丰2022-13</w:t>
      </w:r>
      <w:r>
        <w:rPr>
          <w:rFonts w:ascii="Times New Roman" w:eastAsia="仿宋"/>
          <w:color w:val="auto"/>
          <w:szCs w:val="32"/>
        </w:rPr>
        <w:t>号地块，起叫价为人民币（大写）</w:t>
      </w:r>
      <w:r>
        <w:rPr>
          <w:rFonts w:hint="eastAsia" w:ascii="Times New Roman" w:eastAsia="仿宋"/>
          <w:color w:val="auto"/>
          <w:szCs w:val="32"/>
        </w:rPr>
        <w:t>捌仟玖佰万</w:t>
      </w:r>
      <w:r>
        <w:rPr>
          <w:rFonts w:ascii="Times New Roman" w:eastAsia="仿宋"/>
          <w:color w:val="auto"/>
          <w:szCs w:val="32"/>
        </w:rPr>
        <w:t>元整（￥</w:t>
      </w:r>
      <w:r>
        <w:rPr>
          <w:rFonts w:hint="eastAsia" w:ascii="Times New Roman" w:eastAsia="仿宋"/>
          <w:color w:val="auto"/>
          <w:szCs w:val="32"/>
        </w:rPr>
        <w:t>8900</w:t>
      </w:r>
      <w:r>
        <w:rPr>
          <w:rFonts w:ascii="Times New Roman" w:eastAsia="仿宋"/>
          <w:color w:val="auto"/>
          <w:szCs w:val="32"/>
        </w:rPr>
        <w:t>0,000.00），增价幅度为人民币（大写）</w:t>
      </w:r>
      <w:r>
        <w:rPr>
          <w:rFonts w:hint="eastAsia" w:ascii="Times New Roman" w:eastAsia="仿宋"/>
          <w:color w:val="auto"/>
          <w:szCs w:val="32"/>
        </w:rPr>
        <w:t>叁拾万</w:t>
      </w:r>
      <w:r>
        <w:rPr>
          <w:rFonts w:ascii="Times New Roman" w:eastAsia="仿宋"/>
          <w:color w:val="auto"/>
          <w:szCs w:val="32"/>
        </w:rPr>
        <w:t>元整（￥</w:t>
      </w:r>
      <w:r>
        <w:rPr>
          <w:rFonts w:hint="eastAsia" w:ascii="Times New Roman" w:eastAsia="仿宋"/>
          <w:color w:val="auto"/>
          <w:szCs w:val="32"/>
        </w:rPr>
        <w:t>30</w:t>
      </w:r>
      <w:r>
        <w:rPr>
          <w:rFonts w:ascii="Times New Roman" w:eastAsia="仿宋"/>
          <w:color w:val="auto"/>
          <w:szCs w:val="32"/>
        </w:rPr>
        <w:t>0,000.00）。</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丰2022-24</w:t>
      </w:r>
      <w:r>
        <w:rPr>
          <w:rFonts w:ascii="Times New Roman" w:eastAsia="仿宋"/>
          <w:color w:val="auto"/>
          <w:szCs w:val="32"/>
        </w:rPr>
        <w:t>号地块，起叫价为人民币（大写）</w:t>
      </w:r>
      <w:r>
        <w:rPr>
          <w:rFonts w:hint="eastAsia" w:ascii="Times New Roman" w:eastAsia="仿宋"/>
          <w:color w:val="auto"/>
          <w:szCs w:val="32"/>
        </w:rPr>
        <w:t>壹拾伍亿陆仟陆佰万</w:t>
      </w:r>
      <w:r>
        <w:rPr>
          <w:rFonts w:ascii="Times New Roman" w:eastAsia="仿宋"/>
          <w:color w:val="auto"/>
          <w:szCs w:val="32"/>
        </w:rPr>
        <w:t>元整（￥</w:t>
      </w:r>
      <w:r>
        <w:rPr>
          <w:rFonts w:hint="eastAsia" w:ascii="Times New Roman" w:eastAsia="仿宋"/>
          <w:color w:val="auto"/>
          <w:szCs w:val="32"/>
        </w:rPr>
        <w:t>1566000</w:t>
      </w:r>
      <w:r>
        <w:rPr>
          <w:rFonts w:ascii="Times New Roman" w:eastAsia="仿宋"/>
          <w:color w:val="auto"/>
          <w:szCs w:val="32"/>
        </w:rPr>
        <w:t>,000.00），增价幅度为人民币（大写）</w:t>
      </w:r>
      <w:r>
        <w:rPr>
          <w:rFonts w:hint="eastAsia" w:ascii="Times New Roman" w:eastAsia="仿宋"/>
          <w:color w:val="auto"/>
          <w:szCs w:val="32"/>
        </w:rPr>
        <w:t>伍佰万</w:t>
      </w:r>
      <w:r>
        <w:rPr>
          <w:rFonts w:ascii="Times New Roman" w:eastAsia="仿宋"/>
          <w:color w:val="auto"/>
          <w:szCs w:val="32"/>
        </w:rPr>
        <w:t>元整（￥50</w:t>
      </w:r>
      <w:r>
        <w:rPr>
          <w:rFonts w:hint="eastAsia" w:ascii="Times New Roman" w:eastAsia="仿宋"/>
          <w:color w:val="auto"/>
          <w:szCs w:val="32"/>
        </w:rPr>
        <w:t>0</w:t>
      </w:r>
      <w:r>
        <w:rPr>
          <w:rFonts w:ascii="Times New Roman" w:eastAsia="仿宋"/>
          <w:color w:val="auto"/>
          <w:szCs w:val="32"/>
        </w:rPr>
        <w:t>0,000.00）。</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丰2022-30</w:t>
      </w:r>
      <w:r>
        <w:rPr>
          <w:rFonts w:ascii="Times New Roman" w:eastAsia="仿宋"/>
          <w:color w:val="auto"/>
          <w:szCs w:val="32"/>
        </w:rPr>
        <w:t>号地块，起叫价为人民币（大写）</w:t>
      </w:r>
      <w:r>
        <w:rPr>
          <w:rFonts w:hint="eastAsia" w:ascii="Times New Roman" w:eastAsia="仿宋"/>
          <w:color w:val="auto"/>
          <w:szCs w:val="32"/>
        </w:rPr>
        <w:t>肆亿壹仟肆佰万</w:t>
      </w:r>
      <w:r>
        <w:rPr>
          <w:rFonts w:ascii="Times New Roman" w:eastAsia="仿宋"/>
          <w:color w:val="auto"/>
          <w:szCs w:val="32"/>
        </w:rPr>
        <w:t>元整（￥</w:t>
      </w:r>
      <w:r>
        <w:rPr>
          <w:rFonts w:hint="eastAsia" w:ascii="Times New Roman" w:eastAsia="仿宋"/>
          <w:color w:val="auto"/>
          <w:szCs w:val="32"/>
        </w:rPr>
        <w:t>41400</w:t>
      </w:r>
      <w:r>
        <w:rPr>
          <w:rFonts w:ascii="Times New Roman" w:eastAsia="仿宋"/>
          <w:color w:val="auto"/>
          <w:szCs w:val="32"/>
        </w:rPr>
        <w:t>0,000.00），增价幅度为人民币（大写）</w:t>
      </w:r>
      <w:r>
        <w:rPr>
          <w:rFonts w:hint="eastAsia" w:ascii="Times New Roman" w:eastAsia="仿宋"/>
          <w:color w:val="auto"/>
          <w:szCs w:val="32"/>
        </w:rPr>
        <w:t>壹佰叁拾万</w:t>
      </w:r>
      <w:r>
        <w:rPr>
          <w:rFonts w:ascii="Times New Roman" w:eastAsia="仿宋"/>
          <w:color w:val="auto"/>
          <w:szCs w:val="32"/>
        </w:rPr>
        <w:t>元整（￥</w:t>
      </w:r>
      <w:r>
        <w:rPr>
          <w:rFonts w:hint="eastAsia" w:ascii="Times New Roman" w:eastAsia="仿宋"/>
          <w:color w:val="auto"/>
          <w:szCs w:val="32"/>
        </w:rPr>
        <w:t>130</w:t>
      </w:r>
      <w:r>
        <w:rPr>
          <w:rFonts w:ascii="Times New Roman" w:eastAsia="仿宋"/>
          <w:color w:val="auto"/>
          <w:szCs w:val="32"/>
        </w:rPr>
        <w:t>0,000.00）。</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洛2022-5号</w:t>
      </w:r>
      <w:r>
        <w:rPr>
          <w:rFonts w:ascii="Times New Roman" w:eastAsia="仿宋"/>
          <w:color w:val="auto"/>
          <w:szCs w:val="32"/>
        </w:rPr>
        <w:t>地块，起叫价为人民币（大写）</w:t>
      </w:r>
      <w:r>
        <w:rPr>
          <w:rFonts w:hint="eastAsia" w:ascii="Times New Roman" w:eastAsia="仿宋"/>
          <w:color w:val="auto"/>
          <w:szCs w:val="32"/>
        </w:rPr>
        <w:t>陆亿叁仟叁佰万</w:t>
      </w:r>
      <w:r>
        <w:rPr>
          <w:rFonts w:ascii="Times New Roman" w:eastAsia="仿宋"/>
          <w:color w:val="auto"/>
          <w:szCs w:val="32"/>
        </w:rPr>
        <w:t>元整（￥</w:t>
      </w:r>
      <w:r>
        <w:rPr>
          <w:rFonts w:hint="eastAsia" w:ascii="Times New Roman" w:eastAsia="仿宋"/>
          <w:color w:val="auto"/>
          <w:szCs w:val="32"/>
        </w:rPr>
        <w:t>63300</w:t>
      </w:r>
      <w:r>
        <w:rPr>
          <w:rFonts w:ascii="Times New Roman" w:eastAsia="仿宋"/>
          <w:color w:val="auto"/>
          <w:szCs w:val="32"/>
        </w:rPr>
        <w:t>0,000.00），增价幅度为人民币（大写）</w:t>
      </w:r>
      <w:r>
        <w:rPr>
          <w:rFonts w:hint="eastAsia" w:ascii="Times New Roman" w:eastAsia="仿宋"/>
          <w:color w:val="auto"/>
          <w:szCs w:val="32"/>
        </w:rPr>
        <w:t>贰佰万</w:t>
      </w:r>
      <w:r>
        <w:rPr>
          <w:rFonts w:ascii="Times New Roman" w:eastAsia="仿宋"/>
          <w:color w:val="auto"/>
          <w:szCs w:val="32"/>
        </w:rPr>
        <w:t>元整（￥</w:t>
      </w:r>
      <w:r>
        <w:rPr>
          <w:rFonts w:hint="eastAsia" w:ascii="Times New Roman" w:eastAsia="仿宋"/>
          <w:color w:val="auto"/>
          <w:szCs w:val="32"/>
        </w:rPr>
        <w:t>200</w:t>
      </w:r>
      <w:r>
        <w:rPr>
          <w:rFonts w:ascii="Times New Roman" w:eastAsia="仿宋"/>
          <w:color w:val="auto"/>
          <w:szCs w:val="32"/>
        </w:rPr>
        <w:t>0,000.00）。</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或相应宗地的出让价格上限。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10.若竞买人出价达到相应宗地出让价格上限，不再接受更高报价，由拍卖主持人宣布转为由愿意出价相应宗地出让上限价的竞买人报名参加摇号，并宣读《摇号规则》，同时由记录人进行登记。</w:t>
      </w:r>
    </w:p>
    <w:p>
      <w:pPr>
        <w:spacing w:line="520" w:lineRule="exact"/>
        <w:ind w:firstLine="640" w:firstLineChars="200"/>
        <w:rPr>
          <w:rFonts w:ascii="Times New Roman" w:eastAsia="仿宋"/>
          <w:color w:val="auto"/>
          <w:szCs w:val="32"/>
        </w:rPr>
      </w:pPr>
      <w:r>
        <w:rPr>
          <w:rFonts w:ascii="Times New Roman" w:eastAsia="仿宋"/>
          <w:color w:val="auto"/>
          <w:szCs w:val="32"/>
        </w:rPr>
        <w:t>11.拍卖主持人对登记的竞买人通过随机摇号的方式确定竞买人，并由记录人做好相关记录。</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（一）不设保留价，当竞买人出价达到相应宗地出让上限价时，不再接受更高报价，对于有意向的多个竞买人，采取摇号方式确定竞得人。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（二）竞买人以举牌方式应价，也可以报价，除相应宗地上限价外，报价的加价幅度不得小于拍卖主持人宣布或调整的增价幅度。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（三）本次拍卖不设保留价。</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（四）竞买人凭《竞买资格确认书》和法定代表人（自然人、受委托代理人）身份证件领取竞买号牌。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（五）</w:t>
      </w:r>
      <w:r>
        <w:rPr>
          <w:rFonts w:ascii="Times New Roman" w:eastAsia="仿宋"/>
          <w:color w:val="auto"/>
          <w:szCs w:val="32"/>
        </w:rPr>
        <w:t>2022年</w:t>
      </w:r>
      <w:r>
        <w:rPr>
          <w:rFonts w:hint="eastAsia" w:ascii="Times New Roman" w:eastAsia="仿宋"/>
          <w:color w:val="auto"/>
          <w:szCs w:val="32"/>
        </w:rPr>
        <w:t>10</w:t>
      </w:r>
      <w:r>
        <w:rPr>
          <w:rFonts w:ascii="Times New Roman" w:eastAsia="仿宋"/>
          <w:color w:val="auto"/>
          <w:szCs w:val="32"/>
        </w:rPr>
        <w:t>月</w:t>
      </w:r>
      <w:r>
        <w:rPr>
          <w:rFonts w:hint="eastAsia" w:ascii="Times New Roman" w:eastAsia="仿宋"/>
          <w:color w:val="auto"/>
          <w:szCs w:val="32"/>
        </w:rPr>
        <w:t>20</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1．丰2022-24号地块竞得人自竞得之日起30日内应缴交成交价总额50%的成交价款（竞买保证金转作受让地块的定金，抵作土地出让价款），余款自竞得之日起6个月内交清。</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2．其余地块竞得人自竞得之日起30日内应缴交成交价总额50%的成交价款（竞买保证金转作受让地块的定金，抵作土地出让价款），余款自竞得之日起3个月内交清。</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交后仍不能支付成交价款的，出让人有权解除合同，竞得人无权要求返还定金，出让人并可请求违约赔偿。</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竞得人未能按照合同约定日期或同意延建所另行约定日期开工建设或竣工的，每延期一日，应向出让人支付相当于成交价款总额1‰的违约金。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ascii="Times New Roman" w:eastAsia="仿宋"/>
          <w:color w:val="auto"/>
          <w:szCs w:val="32"/>
        </w:rPr>
        <w:t>竞买人</w:t>
      </w:r>
      <w:bookmarkEnd w:id="0"/>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1" w:name="OLE_LINK2"/>
      <w:r>
        <w:rPr>
          <w:rFonts w:ascii="Times New Roman" w:eastAsia="仿宋"/>
          <w:color w:val="auto"/>
          <w:szCs w:val="32"/>
        </w:rPr>
        <w:t>．</w:t>
      </w:r>
      <w:bookmarkEnd w:id="1"/>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2"/>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jc w:val="center"/>
              <w:rPr>
                <w:rFonts w:ascii="Times New Roman" w:eastAsia="仿宋"/>
                <w:color w:val="auto"/>
                <w:szCs w:val="32"/>
              </w:rPr>
            </w:pPr>
            <w:r>
              <w:rPr>
                <w:rFonts w:ascii="Times New Roman" w:eastAsia="仿宋"/>
                <w:color w:val="auto"/>
                <w:szCs w:val="32"/>
              </w:rPr>
              <w:t>成交金额</w:t>
            </w:r>
          </w:p>
        </w:tc>
        <w:tc>
          <w:tcPr>
            <w:tcW w:w="2761" w:type="dxa"/>
          </w:tcPr>
          <w:p>
            <w:pPr>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jc w:val="center"/>
              <w:rPr>
                <w:rFonts w:ascii="Times New Roman" w:eastAsia="仿宋"/>
                <w:color w:val="auto"/>
                <w:szCs w:val="32"/>
              </w:rPr>
            </w:pPr>
            <w:r>
              <w:rPr>
                <w:rFonts w:ascii="Times New Roman" w:eastAsia="仿宋"/>
                <w:color w:val="auto"/>
                <w:szCs w:val="32"/>
              </w:rPr>
              <w:t>10000万元以上</w:t>
            </w:r>
          </w:p>
        </w:tc>
        <w:tc>
          <w:tcPr>
            <w:tcW w:w="2761" w:type="dxa"/>
          </w:tcPr>
          <w:p>
            <w:pPr>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2022年</w:t>
      </w:r>
      <w:r>
        <w:rPr>
          <w:rFonts w:hint="eastAsia" w:ascii="Times New Roman" w:eastAsia="仿宋"/>
          <w:color w:val="auto"/>
          <w:szCs w:val="32"/>
        </w:rPr>
        <w:t>9</w:t>
      </w:r>
      <w:r>
        <w:rPr>
          <w:rFonts w:ascii="Times New Roman" w:eastAsia="仿宋"/>
          <w:color w:val="auto"/>
          <w:szCs w:val="32"/>
        </w:rPr>
        <w:t>月</w:t>
      </w:r>
      <w:r>
        <w:rPr>
          <w:rFonts w:hint="eastAsia" w:ascii="Times New Roman" w:eastAsia="仿宋"/>
          <w:color w:val="auto"/>
          <w:szCs w:val="32"/>
        </w:rPr>
        <w:t>29</w:t>
      </w:r>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lvl>
  </w:abstractNum>
  <w:abstractNum w:abstractNumId="1">
    <w:nsid w:val="627E1CE8"/>
    <w:multiLevelType w:val="singleLevel"/>
    <w:tmpl w:val="627E1CE8"/>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5"/>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6B5"/>
    <w:rsid w:val="00002AE4"/>
    <w:rsid w:val="00003F9E"/>
    <w:rsid w:val="00006DED"/>
    <w:rsid w:val="00012B7E"/>
    <w:rsid w:val="00053184"/>
    <w:rsid w:val="00060A41"/>
    <w:rsid w:val="00061BAA"/>
    <w:rsid w:val="00064935"/>
    <w:rsid w:val="00067D9D"/>
    <w:rsid w:val="00084A5C"/>
    <w:rsid w:val="000904C3"/>
    <w:rsid w:val="00094F09"/>
    <w:rsid w:val="00096AE8"/>
    <w:rsid w:val="00097F91"/>
    <w:rsid w:val="000B3E98"/>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30213"/>
    <w:rsid w:val="002310EC"/>
    <w:rsid w:val="002640EE"/>
    <w:rsid w:val="002641D3"/>
    <w:rsid w:val="00265439"/>
    <w:rsid w:val="002701FA"/>
    <w:rsid w:val="002747E3"/>
    <w:rsid w:val="00287634"/>
    <w:rsid w:val="00297A19"/>
    <w:rsid w:val="002A493F"/>
    <w:rsid w:val="002A62DB"/>
    <w:rsid w:val="002B0B0C"/>
    <w:rsid w:val="002B2DAB"/>
    <w:rsid w:val="002C622F"/>
    <w:rsid w:val="002D60EF"/>
    <w:rsid w:val="002D6203"/>
    <w:rsid w:val="002E3F49"/>
    <w:rsid w:val="002F405D"/>
    <w:rsid w:val="002F61D2"/>
    <w:rsid w:val="00305481"/>
    <w:rsid w:val="003137B2"/>
    <w:rsid w:val="00314E95"/>
    <w:rsid w:val="00351390"/>
    <w:rsid w:val="00355A1D"/>
    <w:rsid w:val="00370D21"/>
    <w:rsid w:val="00371488"/>
    <w:rsid w:val="003834BA"/>
    <w:rsid w:val="00387C74"/>
    <w:rsid w:val="0039207F"/>
    <w:rsid w:val="00392175"/>
    <w:rsid w:val="003963F2"/>
    <w:rsid w:val="003A1A81"/>
    <w:rsid w:val="003B178E"/>
    <w:rsid w:val="003B4A36"/>
    <w:rsid w:val="00400F82"/>
    <w:rsid w:val="004013BA"/>
    <w:rsid w:val="00402C58"/>
    <w:rsid w:val="004218FA"/>
    <w:rsid w:val="00423CC5"/>
    <w:rsid w:val="00427340"/>
    <w:rsid w:val="0043783F"/>
    <w:rsid w:val="00451A04"/>
    <w:rsid w:val="00451F9D"/>
    <w:rsid w:val="00457BD4"/>
    <w:rsid w:val="00464212"/>
    <w:rsid w:val="00467C69"/>
    <w:rsid w:val="00481B90"/>
    <w:rsid w:val="00485D35"/>
    <w:rsid w:val="00493284"/>
    <w:rsid w:val="004A4BEC"/>
    <w:rsid w:val="004B5414"/>
    <w:rsid w:val="004B60CB"/>
    <w:rsid w:val="004B7414"/>
    <w:rsid w:val="004D3197"/>
    <w:rsid w:val="004D3A9A"/>
    <w:rsid w:val="004D41A8"/>
    <w:rsid w:val="004E27FE"/>
    <w:rsid w:val="004E2A53"/>
    <w:rsid w:val="004E5A54"/>
    <w:rsid w:val="004F183F"/>
    <w:rsid w:val="004F74E4"/>
    <w:rsid w:val="00511B4C"/>
    <w:rsid w:val="00511D8D"/>
    <w:rsid w:val="0051676C"/>
    <w:rsid w:val="00516D6D"/>
    <w:rsid w:val="00543140"/>
    <w:rsid w:val="0055068E"/>
    <w:rsid w:val="00572368"/>
    <w:rsid w:val="00575E9F"/>
    <w:rsid w:val="00592315"/>
    <w:rsid w:val="00596AB6"/>
    <w:rsid w:val="005A5125"/>
    <w:rsid w:val="005B129B"/>
    <w:rsid w:val="005B567F"/>
    <w:rsid w:val="005C20A2"/>
    <w:rsid w:val="005C6B66"/>
    <w:rsid w:val="005E0CE7"/>
    <w:rsid w:val="005E1122"/>
    <w:rsid w:val="0062295C"/>
    <w:rsid w:val="006329ED"/>
    <w:rsid w:val="00632C44"/>
    <w:rsid w:val="00640608"/>
    <w:rsid w:val="00653AF0"/>
    <w:rsid w:val="006631F0"/>
    <w:rsid w:val="00683026"/>
    <w:rsid w:val="00683205"/>
    <w:rsid w:val="00686CD9"/>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4A79"/>
    <w:rsid w:val="00935354"/>
    <w:rsid w:val="00935CB2"/>
    <w:rsid w:val="00937CF1"/>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6BDB"/>
    <w:rsid w:val="00A07EAD"/>
    <w:rsid w:val="00A20C13"/>
    <w:rsid w:val="00A35F0D"/>
    <w:rsid w:val="00A51B92"/>
    <w:rsid w:val="00A638D9"/>
    <w:rsid w:val="00A71DB3"/>
    <w:rsid w:val="00A94A16"/>
    <w:rsid w:val="00AA65C2"/>
    <w:rsid w:val="00AC1FCD"/>
    <w:rsid w:val="00AD702F"/>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B0A74"/>
    <w:rsid w:val="00BC1079"/>
    <w:rsid w:val="00BD7737"/>
    <w:rsid w:val="00BE5931"/>
    <w:rsid w:val="00BE5A94"/>
    <w:rsid w:val="00C058D9"/>
    <w:rsid w:val="00C119BB"/>
    <w:rsid w:val="00C31BA7"/>
    <w:rsid w:val="00C31C32"/>
    <w:rsid w:val="00C40B94"/>
    <w:rsid w:val="00C41A28"/>
    <w:rsid w:val="00C503D2"/>
    <w:rsid w:val="00C84B93"/>
    <w:rsid w:val="00C979BC"/>
    <w:rsid w:val="00CA1CD9"/>
    <w:rsid w:val="00CA48D8"/>
    <w:rsid w:val="00CA624D"/>
    <w:rsid w:val="00CA6C71"/>
    <w:rsid w:val="00CB24B8"/>
    <w:rsid w:val="00CD5A27"/>
    <w:rsid w:val="00CF360E"/>
    <w:rsid w:val="00CF5063"/>
    <w:rsid w:val="00CF56D1"/>
    <w:rsid w:val="00CF5A47"/>
    <w:rsid w:val="00CF5F4A"/>
    <w:rsid w:val="00D10EB0"/>
    <w:rsid w:val="00D17799"/>
    <w:rsid w:val="00D25967"/>
    <w:rsid w:val="00D25DC0"/>
    <w:rsid w:val="00D278BF"/>
    <w:rsid w:val="00D304E2"/>
    <w:rsid w:val="00D3252E"/>
    <w:rsid w:val="00D33604"/>
    <w:rsid w:val="00D45A0E"/>
    <w:rsid w:val="00D53E6B"/>
    <w:rsid w:val="00D72D0D"/>
    <w:rsid w:val="00D87F25"/>
    <w:rsid w:val="00D90B10"/>
    <w:rsid w:val="00D945ED"/>
    <w:rsid w:val="00D948CE"/>
    <w:rsid w:val="00DA4E52"/>
    <w:rsid w:val="00DB6094"/>
    <w:rsid w:val="00DB60BB"/>
    <w:rsid w:val="00DD5681"/>
    <w:rsid w:val="00DF14C6"/>
    <w:rsid w:val="00DF22CE"/>
    <w:rsid w:val="00DF2896"/>
    <w:rsid w:val="00E00097"/>
    <w:rsid w:val="00E00A6D"/>
    <w:rsid w:val="00E1234A"/>
    <w:rsid w:val="00E3095C"/>
    <w:rsid w:val="00E30B3F"/>
    <w:rsid w:val="00E473EB"/>
    <w:rsid w:val="00E631B1"/>
    <w:rsid w:val="00E63D2F"/>
    <w:rsid w:val="00E728FF"/>
    <w:rsid w:val="00E86714"/>
    <w:rsid w:val="00E87845"/>
    <w:rsid w:val="00EA1A86"/>
    <w:rsid w:val="00EA7921"/>
    <w:rsid w:val="00EC40B9"/>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E7CC7"/>
    <w:rsid w:val="00FF0D97"/>
    <w:rsid w:val="00FF7CF7"/>
    <w:rsid w:val="03D0075A"/>
    <w:rsid w:val="060058D9"/>
    <w:rsid w:val="076B4F50"/>
    <w:rsid w:val="10801B04"/>
    <w:rsid w:val="14C702EB"/>
    <w:rsid w:val="17861AEB"/>
    <w:rsid w:val="185C25B1"/>
    <w:rsid w:val="1AB322F0"/>
    <w:rsid w:val="1F351FAF"/>
    <w:rsid w:val="1F86792F"/>
    <w:rsid w:val="1FF746DA"/>
    <w:rsid w:val="20B024A1"/>
    <w:rsid w:val="25205CF8"/>
    <w:rsid w:val="25E129FE"/>
    <w:rsid w:val="29535BBE"/>
    <w:rsid w:val="2BD42381"/>
    <w:rsid w:val="2E9F243D"/>
    <w:rsid w:val="2FEF7D77"/>
    <w:rsid w:val="3566232B"/>
    <w:rsid w:val="3A7D040E"/>
    <w:rsid w:val="3B0E44F4"/>
    <w:rsid w:val="3E8C3A26"/>
    <w:rsid w:val="412A0477"/>
    <w:rsid w:val="48DB5365"/>
    <w:rsid w:val="4DF37842"/>
    <w:rsid w:val="4F46621E"/>
    <w:rsid w:val="53417DE8"/>
    <w:rsid w:val="565C1810"/>
    <w:rsid w:val="58805E0B"/>
    <w:rsid w:val="59FFFD36"/>
    <w:rsid w:val="5A100A69"/>
    <w:rsid w:val="5AC66E6D"/>
    <w:rsid w:val="5C2F2B85"/>
    <w:rsid w:val="5DC00719"/>
    <w:rsid w:val="5E7210B7"/>
    <w:rsid w:val="5EBE1F44"/>
    <w:rsid w:val="5EF61BEE"/>
    <w:rsid w:val="627AADA0"/>
    <w:rsid w:val="64B6114A"/>
    <w:rsid w:val="654D6D68"/>
    <w:rsid w:val="67835892"/>
    <w:rsid w:val="69287FF9"/>
    <w:rsid w:val="69BA7FBC"/>
    <w:rsid w:val="69EF4473"/>
    <w:rsid w:val="69F5315F"/>
    <w:rsid w:val="6C5E3ED7"/>
    <w:rsid w:val="6D601559"/>
    <w:rsid w:val="6F565F34"/>
    <w:rsid w:val="6F817756"/>
    <w:rsid w:val="706C57A0"/>
    <w:rsid w:val="70856287"/>
    <w:rsid w:val="71CC5BD1"/>
    <w:rsid w:val="75BE6923"/>
    <w:rsid w:val="75DE796D"/>
    <w:rsid w:val="772C6592"/>
    <w:rsid w:val="7CED3003"/>
    <w:rsid w:val="7DC16531"/>
    <w:rsid w:val="B6F5B66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0000FF"/>
      <w:u w:val="single"/>
    </w:rPr>
  </w:style>
  <w:style w:type="paragraph" w:customStyle="1" w:styleId="14">
    <w:name w:val="Char"/>
    <w:basedOn w:val="1"/>
    <w:qFormat/>
    <w:uiPriority w:val="0"/>
  </w:style>
  <w:style w:type="paragraph" w:customStyle="1" w:styleId="15">
    <w:name w:val="_Style 3"/>
    <w:basedOn w:val="1"/>
    <w:qFormat/>
    <w:uiPriority w:val="0"/>
  </w:style>
  <w:style w:type="paragraph" w:customStyle="1" w:styleId="16">
    <w:name w:val="Char Char"/>
    <w:basedOn w:val="1"/>
    <w:qFormat/>
    <w:uiPriority w:val="0"/>
    <w:rPr>
      <w:rFonts w:ascii="Times New Roman" w:eastAsia="宋体"/>
      <w:color w:val="auto"/>
      <w:kern w:val="2"/>
      <w:sz w:val="21"/>
      <w:szCs w:val="24"/>
    </w:rPr>
  </w:style>
  <w:style w:type="paragraph" w:customStyle="1" w:styleId="17">
    <w:name w:val="Char Char8"/>
    <w:basedOn w:val="1"/>
    <w:qFormat/>
    <w:uiPriority w:val="0"/>
    <w:rPr>
      <w:rFonts w:ascii="Times New Roman" w:eastAsia="宋体"/>
      <w:color w:val="auto"/>
      <w:kern w:val="2"/>
      <w:sz w:val="21"/>
      <w:szCs w:val="24"/>
    </w:rPr>
  </w:style>
  <w:style w:type="paragraph" w:customStyle="1" w:styleId="18">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dfdf</Company>
  <Pages>16</Pages>
  <Words>1474</Words>
  <Characters>8405</Characters>
  <Lines>70</Lines>
  <Paragraphs>19</Paragraphs>
  <TotalTime>17</TotalTime>
  <ScaleCrop>false</ScaleCrop>
  <LinksUpToDate>false</LinksUpToDate>
  <CharactersWithSpaces>9860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2019-12-05T15:04:00Z</dcterms:created>
  <dc:creator>未羽</dc:creator>
  <cp:lastModifiedBy>市资源规划局</cp:lastModifiedBy>
  <cp:lastPrinted>2021-11-24T23:02:00Z</cp:lastPrinted>
  <dcterms:modified xsi:type="dcterms:W3CDTF">2022-09-29T10:27:37Z</dcterms:modified>
  <dc:title>国有建设用地使用权拍卖出让须知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147DB053FB7B4A7CAC58A0FE60B8BF0F</vt:lpwstr>
  </property>
</Properties>
</file>