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</w:p>
    <w:p>
      <w:pPr>
        <w:jc w:val="center"/>
        <w:rPr>
          <w:rFonts w:ascii="方正小标宋简体" w:hAnsi="仿宋" w:eastAsia="方正小标宋简体" w:cs="Times New Roman"/>
          <w:kern w:val="0"/>
          <w:sz w:val="36"/>
          <w:szCs w:val="36"/>
          <w:u w:val="none" w:color="auto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  <w:u w:val="none" w:color="auto"/>
        </w:rPr>
        <w:t>202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u w:val="none" w:color="auto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u w:val="none" w:color="auto"/>
        </w:rPr>
        <w:t>年泉州市级政府预算相关重要事项说明</w:t>
      </w:r>
    </w:p>
    <w:p>
      <w:pPr>
        <w:spacing w:line="600" w:lineRule="exact"/>
        <w:ind w:firstLine="643" w:firstLineChars="200"/>
        <w:rPr>
          <w:rFonts w:ascii="仿宋_GB2312" w:hAnsi="黑体" w:eastAsia="仿宋_GB2312" w:cs="Times New Roman"/>
          <w:b/>
          <w:bCs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" w:eastAsia="仿宋_GB2312" w:cs="仿宋_GB2312"/>
          <w:b/>
          <w:bCs/>
          <w:kern w:val="0"/>
          <w:sz w:val="32"/>
          <w:szCs w:val="32"/>
          <w:u w:val="none" w:color="auto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  <w:u w:val="none" w:color="auto"/>
        </w:rPr>
        <w:t>一、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u w:val="none" w:color="auto"/>
        </w:rPr>
        <w:t>泉州本级支出预算说明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年度泉州市本级一般公共预算支出数为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1585874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万元，比202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年预算数增加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180246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万元，增长12.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（一）一般公共服务支出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140344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20715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17.3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1.人大事务3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15.4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2.政协事务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3065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906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3.政府办公厅（室）及相关机构事务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27257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4505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19.8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4发展与改革事务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9548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1939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25.5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5.统计信息事务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1562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13.8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6.财政事务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5479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15.7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7.税收事务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7675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2575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主要是上年使用结转资金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8.审计事务1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447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9.纪检监察事务10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482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4.8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10.商贸事务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3031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134万元，下降4.2%。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11.知识产权事务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1404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391万元，下降21.8%。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12.民族事务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</w:rPr>
        <w:t>21万元，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13.港澳台事务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383.1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主要是省提前下达专项转移支付增加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205万元。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14.档案事务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6888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5974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653.6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主要是增加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</w:rPr>
        <w:t>泉州市档案综合大楼及立体停车楼建设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  <w:lang w:val="en-US" w:eastAsia="zh-CN"/>
        </w:rPr>
        <w:t>5850万元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15.民主党派及工商联事务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2509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11.6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16.群众团体事务4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17.党委办公厅（室）及相关机构事务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8123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1354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18.组织事务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13260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8.8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19.宣传事务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3146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2.6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20.统战事务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661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38.7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21.其他共产党事务支出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22.网信事务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23.市场监督管理事务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14242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1667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13.3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24.其他一般公共服务支出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7192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（二）国防支出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2464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7.2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（三）公共安全支出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156518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28264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1.武装警察部队969万元，与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2.公安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141427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22092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3.国家安全62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0.2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4.检察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  <w:u w:val="none" w:color="auto"/>
        </w:rPr>
        <w:t>80万元，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5625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主要是增加检察院“两房”建设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5.法院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1079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38.5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6.司法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24.6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7.国家保密35万元，与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持平。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8.其他公共安全支出4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779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（四）教育支出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244800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19175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8.5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1.教育管理事务43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  <w:u w:val="none" w:color="auto"/>
        </w:rPr>
        <w:t>1万元，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2.普通教育14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5772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主要是泉州市师范学院上划省上减少预算支出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25345万元。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3.职业教育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71508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13363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4.广播电视教育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5.特殊教育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3022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686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6.进修及培训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4025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7.教育费附加安排的支出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15534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5700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 w:color="auto"/>
          <w:lang w:val="en-US" w:eastAsia="zh-CN"/>
        </w:rPr>
        <w:t>58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（五）科学技术支出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44491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853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增幅较低的原因主要是省提前下达专项转移支付减少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3554万元。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1.科学技术管理事务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1131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2.基础研究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2408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3.技术研究与开发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30959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798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4.科技条件与服务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5.社会科学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6.科学技术普及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1123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7.其他科学技术支出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8230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（六）文化旅游体育与传媒支出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47068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6389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1.文化和旅游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20344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2245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2.文物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7082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967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3.体育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8435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2007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31.2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4.新闻出版电影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5.广播电视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2372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6.其他文化旅游体育与传媒支出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7000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1564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（七）社会保障和就业支出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131963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14991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1.人力资源和社会保障管理事务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7046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941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2.民政管理事务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1996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</w:rPr>
        <w:t>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3.行政事业单位养老支出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85508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8054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4.就业补助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3004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64.7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，主要是省提前下达专项转移支付补助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1241万元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5.抚恤39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6.退役安置1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7.社会福利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40.7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8.残疾人事业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9.最低生活保障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10.临时救助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11.特困人员救助供养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12.其他生活救助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58.6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13.财政对基本养老保险基金的补助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14.退役军人管理事务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3132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428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15.其他社会保障和就业支出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2755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（八）卫生健康支出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301591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增幅较低的原因主要是省提前下达专项转移支付补助减少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1.卫生健康管理事务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2469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2.公立医院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22673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5885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35.1</w:t>
      </w:r>
      <w:r>
        <w:rPr>
          <w:rFonts w:hint="eastAsia" w:ascii="仿宋_GB2312" w:eastAsia="仿宋_GB2312"/>
          <w:sz w:val="32"/>
          <w:szCs w:val="32"/>
          <w:u w:val="none" w:color="auto"/>
        </w:rPr>
        <w:t>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3.基层医疗卫生机构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3802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4.公共卫生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14232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5.中医药298万元，去年无此项支出预算。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none" w:color="auto"/>
        </w:rPr>
        <w:t>.计划生育事务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14454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1269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 w:color="auto"/>
        </w:rPr>
        <w:t>.行政事业单位医疗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21327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2809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none" w:color="auto"/>
        </w:rPr>
        <w:t>.财政对基本医疗保险基金的补助197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697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none" w:color="auto"/>
        </w:rPr>
        <w:t>.医疗救助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7651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1673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17.0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 w:color="auto"/>
        </w:rPr>
        <w:t>.优抚对象医疗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</w:rPr>
        <w:t>.医疗保障管理事务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7614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 w:color="auto"/>
        </w:rPr>
        <w:t>.老龄卫生健康事务2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 w:color="auto"/>
        </w:rPr>
        <w:t>.其他卫生健康支出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7159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1097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（九）节能环保支出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36922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1.环境保护管理事务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20183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3389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2.环境监测与监察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%。主要是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减少生态环境综合监管平台一次性项目支出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3.污染防治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626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4.自然生态保护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5092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5.能源节约利用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6</w:t>
      </w:r>
      <w:r>
        <w:rPr>
          <w:rFonts w:hint="eastAsia" w:ascii="仿宋_GB2312" w:eastAsia="仿宋_GB2312"/>
          <w:sz w:val="32"/>
          <w:szCs w:val="32"/>
          <w:u w:val="none" w:color="auto"/>
        </w:rPr>
        <w:t>.污染减排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1809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 w:color="auto"/>
        </w:rPr>
        <w:t>.其他节能环保支出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222.2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（十）城乡社区支出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90537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19649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1.城乡社区管理事务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17394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2.城乡社区规划与管理0万元，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 w:color="auto"/>
        </w:rPr>
        <w:t>0万元，下降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3.城乡社区公共设施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50703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14562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40.3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4.城乡社区环境卫生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20037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4730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5.建设市场管理与监督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2383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6.其他城乡社区支出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1707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98.8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%。主要是泉州台商投资区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</w:rPr>
        <w:t>智慧城市智能管理建设专项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（十一）农林水支出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86595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7651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1.农业农村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22272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5414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32.1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2.林业和草原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12789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3.水利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19232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839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4.巩固脱贫衔接乡村振兴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8211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5.农村综合改革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6.普惠金融发展支出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2185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7.其他农林水支出20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 （十二）交通运输支出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72653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6767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1.公路水路运输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58644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6118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2.铁路运输5万元，与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3.其他交通运输支出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14004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（十三）资源勘探工业信息等支出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43480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7416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 w:color="auto"/>
        </w:rPr>
        <w:t>1.制造业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434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 w:color="auto"/>
        </w:rPr>
        <w:t>2.工业和信息产业监管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5259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3.国有资产监管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4.支持中小企业发展和管理支出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37196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7607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（十四）商业服务业等支出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33402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11568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1.商业流通事务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1225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260.6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，主要是省提前下达专项转移支付补助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1130万元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2.涉外发展服务支出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7790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1550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3.其他商业服务业等支出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23917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8793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%。主要原因是泉州台商投资区扶持企业发展专项增加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8700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（十五）金融支出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5970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1.金融部门监管支出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10万元，下降100%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2.其他金融支出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5970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1370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（十六）援助其他地区支出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3840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1.其他支出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3840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（十七）自然资源海洋气象等支出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7881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1.自然资源事务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6084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2.气象事务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1747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3.其他自然资源海洋气象等支出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（十八）住房保障支出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37868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9227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32.2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1.住房改革支出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34195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9256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37.1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3.城乡社区住宅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3673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（十九）粮油物资储备支出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3465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1.粮油物资事务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3645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（二十）灾害防治及应急管理支出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10647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834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1.应急管理事务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4296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532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2.消防救援事务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4856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3.地震事务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486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65.9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，主要是增加地震灾害风险评估“一张图”系统建设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150万元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4.自然灾害防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治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809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58.9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，主要是地质灾害防治增加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150万元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5.自然灾害救灾及恢复重建支出2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13%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（二十一）预备费12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220万元，增长1.8%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（二十二）其他支出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58876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23523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66.5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1.年初预留（款）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24652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2.其他支出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34224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23781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227.7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（二十三）债务付息支出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11884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1486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</w:rPr>
        <w:t>14.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1.地方政府一般债务付息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11884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1486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</w:rPr>
        <w:t>14.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（二十四）债务发行费用支出1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1.地方政府一般债务发行费用支出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ascii="仿宋_GB2312" w:hAnsi="黑体" w:eastAsia="仿宋_GB2312" w:cs="Times New Roman"/>
          <w:b/>
          <w:bCs/>
          <w:sz w:val="32"/>
          <w:szCs w:val="32"/>
          <w:u w:val="none" w:color="auto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  <w:u w:val="none" w:color="auto"/>
        </w:rPr>
        <w:t>二、财政转移支付安排情况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年度泉州市对下税收返还和转移支付预算数为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126919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9475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8.1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6"/>
          <w:rFonts w:ascii="仿宋_GB2312" w:hAnsi="楷体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  <w:u w:val="none" w:color="auto"/>
        </w:rPr>
        <w:t>（一）</w:t>
      </w:r>
      <w:r>
        <w:rPr>
          <w:rStyle w:val="6"/>
          <w:rFonts w:hint="eastAsia" w:ascii="仿宋_GB2312" w:hAnsi="楷体" w:eastAsia="仿宋_GB2312" w:cs="仿宋_GB2312"/>
          <w:kern w:val="0"/>
          <w:sz w:val="32"/>
          <w:szCs w:val="32"/>
          <w:u w:val="none" w:color="auto"/>
        </w:rPr>
        <w:t>一般性转移支付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年度泉州市对下一般转移支付预算数为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33332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2685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u w:val="none" w:color="auto"/>
          <w:lang w:val="en-US" w:eastAsia="zh-CN"/>
        </w:rPr>
        <w:t>8.8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1.一般公共服务共同财政事权转移支付支出9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2.公共安全共同财政事权转移支付支出9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1万元，增长1.1%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3.教育共同财政事权转移支付支出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9009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266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4.文化旅游体育与传媒共同财政事权转移支付支出30万元，与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5.社会保障和就业共同财政事权转移支付支出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18447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2414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15.1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6.农林水共同财政事权转移支付支出94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2万元，增长0.2%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7.交通运输共同财政事权转移支付支出198万元，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8.其他一般性转移支付支出4515万元，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6"/>
          <w:rFonts w:ascii="仿宋_GB2312" w:hAnsi="楷体" w:eastAsia="仿宋_GB2312" w:cs="Times New Roman"/>
          <w:b w:val="0"/>
          <w:bCs w:val="0"/>
          <w:kern w:val="0"/>
          <w:sz w:val="32"/>
          <w:szCs w:val="32"/>
          <w:u w:val="none" w:color="auto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  <w:u w:val="none" w:color="auto"/>
        </w:rPr>
        <w:t>（二）</w:t>
      </w:r>
      <w:r>
        <w:rPr>
          <w:rStyle w:val="6"/>
          <w:rFonts w:hint="eastAsia" w:ascii="仿宋_GB2312" w:hAnsi="楷体" w:eastAsia="仿宋_GB2312" w:cs="仿宋_GB2312"/>
          <w:kern w:val="0"/>
          <w:sz w:val="32"/>
          <w:szCs w:val="32"/>
          <w:u w:val="none" w:color="auto"/>
        </w:rPr>
        <w:t>专项转移支付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年度泉州市对下专项转移支付预算数为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93587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较上年度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6790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7.8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1.社会保障和就业支出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187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较上年度减少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221万元，下降54.2%。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2.卫生健康支出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2263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较上年度减少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737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，下降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24.6%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3.节能环保支出6650万元，与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4.城乡社区支出500万元，与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5.住房保障支出18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287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252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1.4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6.其他支出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62700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5000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8.7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6"/>
          <w:rFonts w:ascii="仿宋_GB2312" w:hAnsi="楷体" w:eastAsia="仿宋_GB2312" w:cs="Times New Roman"/>
          <w:b w:val="0"/>
          <w:bCs w:val="0"/>
          <w:kern w:val="0"/>
          <w:sz w:val="32"/>
          <w:szCs w:val="32"/>
          <w:u w:val="none" w:color="auto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  <w:u w:val="none" w:color="auto"/>
        </w:rPr>
        <w:t>（三）</w:t>
      </w:r>
      <w:r>
        <w:rPr>
          <w:rStyle w:val="6"/>
          <w:rFonts w:hint="eastAsia" w:ascii="仿宋_GB2312" w:hAnsi="楷体" w:eastAsia="仿宋_GB2312" w:cs="仿宋_GB2312"/>
          <w:kern w:val="0"/>
          <w:sz w:val="32"/>
          <w:szCs w:val="32"/>
          <w:u w:val="none" w:color="auto"/>
        </w:rPr>
        <w:t>税收返还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2023年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无安排对县区的税收返还。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黑体" w:eastAsia="仿宋_GB2312" w:cs="Times New Roman"/>
          <w:b/>
          <w:bCs/>
          <w:sz w:val="32"/>
          <w:szCs w:val="32"/>
          <w:u w:val="none" w:color="auto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  <w:u w:val="none" w:color="auto"/>
        </w:rPr>
        <w:t>三、政府债务情况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  <w:t>（一）举借政府债务情况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u w:val="none" w:color="auto"/>
        </w:rPr>
        <w:t>年全市新增政府债务限额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267.74</w:t>
      </w:r>
      <w:r>
        <w:rPr>
          <w:rFonts w:hint="eastAsia" w:ascii="仿宋" w:hAnsi="仿宋" w:eastAsia="仿宋" w:cs="仿宋"/>
          <w:spacing w:val="-6"/>
          <w:u w:val="none" w:color="auto"/>
        </w:rPr>
        <w:t>亿元，其中：市本级新增政府债务限额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66.41</w:t>
      </w:r>
      <w:r>
        <w:rPr>
          <w:rFonts w:hint="eastAsia" w:ascii="仿宋" w:hAnsi="仿宋" w:eastAsia="仿宋" w:cs="仿宋"/>
          <w:spacing w:val="-6"/>
          <w:u w:val="none" w:color="auto"/>
        </w:rPr>
        <w:t>亿元；县（市、区）新增政府债务限额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267.73</w:t>
      </w:r>
      <w:r>
        <w:rPr>
          <w:rFonts w:hint="eastAsia" w:ascii="仿宋" w:hAnsi="仿宋" w:eastAsia="仿宋" w:cs="仿宋"/>
          <w:spacing w:val="-6"/>
          <w:u w:val="none" w:color="auto"/>
        </w:rPr>
        <w:t>亿元。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  <w:t>（二）地方政府债务限额余额情况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楷体" w:eastAsia="楷体" w:cs="仿宋"/>
          <w:b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截至202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u w:val="none" w:color="auto"/>
        </w:rPr>
        <w:t>年底，全市政府债务余额预计执行数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2112.52</w:t>
      </w:r>
      <w:r>
        <w:rPr>
          <w:rFonts w:hint="eastAsia" w:ascii="仿宋" w:hAnsi="仿宋" w:eastAsia="仿宋" w:cs="仿宋"/>
          <w:spacing w:val="-6"/>
          <w:u w:val="none" w:color="auto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2380.47</w:t>
      </w:r>
      <w:r>
        <w:rPr>
          <w:rFonts w:hint="eastAsia" w:ascii="仿宋" w:hAnsi="仿宋" w:eastAsia="仿宋" w:cs="仿宋"/>
          <w:spacing w:val="-6"/>
          <w:u w:val="none" w:color="auto"/>
        </w:rPr>
        <w:t>亿元内（所属地区地方政府债务限额及余额预计执行数详见附表）；市本级政府债务余额预计执行数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517.70</w:t>
      </w:r>
      <w:r>
        <w:rPr>
          <w:rFonts w:hint="eastAsia" w:ascii="仿宋" w:hAnsi="仿宋" w:eastAsia="仿宋" w:cs="仿宋"/>
          <w:spacing w:val="-6"/>
          <w:u w:val="none" w:color="auto"/>
        </w:rPr>
        <w:t>亿元，债务余额严格控制在限额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591.79</w:t>
      </w:r>
      <w:r>
        <w:rPr>
          <w:rFonts w:hint="eastAsia" w:ascii="仿宋" w:hAnsi="仿宋" w:eastAsia="仿宋" w:cs="仿宋"/>
          <w:spacing w:val="-6"/>
          <w:u w:val="none" w:color="auto"/>
        </w:rPr>
        <w:t>亿元内。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  <w:t>（三）地方政府债券发行情况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u w:val="none" w:color="auto"/>
        </w:rPr>
        <w:t>年全市由省级代为发行地方政府债券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499.66</w:t>
      </w:r>
      <w:r>
        <w:rPr>
          <w:rFonts w:hint="eastAsia" w:ascii="仿宋" w:hAnsi="仿宋" w:eastAsia="仿宋" w:cs="仿宋"/>
          <w:spacing w:val="-6"/>
          <w:u w:val="none" w:color="auto"/>
        </w:rPr>
        <w:t>亿元，其中：市本级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156.25</w:t>
      </w:r>
      <w:r>
        <w:rPr>
          <w:rFonts w:hint="eastAsia" w:ascii="仿宋" w:hAnsi="仿宋" w:eastAsia="仿宋" w:cs="仿宋"/>
          <w:spacing w:val="-6"/>
          <w:u w:val="none" w:color="auto"/>
        </w:rPr>
        <w:t>亿元，县（市、区）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343.41</w:t>
      </w:r>
      <w:r>
        <w:rPr>
          <w:rFonts w:hint="eastAsia" w:ascii="仿宋" w:hAnsi="仿宋" w:eastAsia="仿宋" w:cs="仿宋"/>
          <w:spacing w:val="-6"/>
          <w:u w:val="none" w:color="auto"/>
        </w:rPr>
        <w:t xml:space="preserve">亿元。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287.75</w:t>
      </w:r>
      <w:r>
        <w:rPr>
          <w:rFonts w:hint="eastAsia" w:ascii="仿宋" w:hAnsi="仿宋" w:eastAsia="仿宋" w:cs="仿宋"/>
          <w:spacing w:val="-6"/>
          <w:u w:val="none" w:color="auto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211.90</w:t>
      </w:r>
      <w:r>
        <w:rPr>
          <w:rFonts w:hint="eastAsia" w:ascii="仿宋" w:hAnsi="仿宋" w:eastAsia="仿宋" w:cs="仿宋"/>
          <w:spacing w:val="-6"/>
          <w:u w:val="none" w:color="auto"/>
        </w:rPr>
        <w:t>亿元。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  <w:t>（四）地方政府债券还本付息情况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u w:val="none" w:color="auto"/>
        </w:rPr>
        <w:t>年全市地方政府债券还本付息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324.48</w:t>
      </w:r>
      <w:r>
        <w:rPr>
          <w:rFonts w:hint="eastAsia" w:ascii="仿宋" w:hAnsi="仿宋" w:eastAsia="仿宋" w:cs="仿宋"/>
          <w:spacing w:val="-6"/>
          <w:u w:val="none" w:color="auto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110.61</w:t>
      </w:r>
      <w:r>
        <w:rPr>
          <w:rFonts w:hint="eastAsia" w:ascii="仿宋" w:hAnsi="仿宋" w:eastAsia="仿宋" w:cs="仿宋"/>
          <w:spacing w:val="-6"/>
          <w:u w:val="none" w:color="auto"/>
        </w:rPr>
        <w:t xml:space="preserve">亿元。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u w:val="none" w:color="auto"/>
        </w:rPr>
        <w:t>年全市地方政府债券还本付息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207.39</w:t>
      </w:r>
      <w:r>
        <w:rPr>
          <w:rFonts w:hint="eastAsia" w:ascii="仿宋" w:hAnsi="仿宋" w:eastAsia="仿宋" w:cs="仿宋"/>
          <w:spacing w:val="-6"/>
          <w:u w:val="none" w:color="auto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27.33</w:t>
      </w:r>
      <w:r>
        <w:rPr>
          <w:rFonts w:hint="eastAsia" w:ascii="仿宋" w:hAnsi="仿宋" w:eastAsia="仿宋" w:cs="仿宋"/>
          <w:spacing w:val="-6"/>
          <w:u w:val="none" w:color="auto"/>
        </w:rPr>
        <w:t>亿元。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  <w:u w:val="none" w:color="auto"/>
        </w:rPr>
        <w:t>四、泉州市本级“三公”经费预算安排情况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24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24"/>
          <w:u w:val="none" w:color="auto"/>
          <w:lang w:val="en-US" w:eastAsia="zh-CN" w:bidi="ar-SA"/>
        </w:rPr>
        <w:t>为进一步规范管理公务用车，从2023年起，将救护车、垃圾清理车等特殊用途用车纳入预决算公开范围，相应调整上年预算数。经汇总，本级2023年使用一般公共预算拨款安排的“三公”经费预算数为7157.24万元，较上年减少9.04万元，下降0.1%。其中，因公出国（境）经费305.25万元，较上年下降15.5%；公务接待费1105.35万元，较上年下降4.8%；公务用车购置经费993.98万元，较上年增长12.8%；公务用车运行经费4752.66万元，较上年下降0.2%。公务用车购置费增加的主要原因是市医疗废物处置中心、市农业科学研究所等单位车辆达到报废年限，为确保出行安全及业务需要，更新添置公务用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" w:eastAsia="仿宋_GB2312" w:cs="仿宋_GB2312"/>
          <w:b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u w:val="none" w:color="auto"/>
        </w:rPr>
        <w:t>五、预算绩效开展情况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市本级完成</w:t>
      </w:r>
      <w:r>
        <w:rPr>
          <w:rFonts w:ascii="仿宋" w:hAnsi="仿宋" w:eastAsia="仿宋" w:cs="仿宋"/>
          <w:sz w:val="32"/>
          <w:szCs w:val="32"/>
          <w:u w:val="none" w:color="auto"/>
        </w:rPr>
        <w:t>548个项目98.47亿元绩效自评、1449个细化项目41.1亿元绩效目标申报，选取13个项目及2个市直部门开展绩效重点项目评价和部门整体评价。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9C887F4-C01A-49EF-985C-60B159B9A5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81C2DB-77AA-4E8C-8210-4A62BDF610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683978-B501-4297-A48C-608B653750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9C21F6-7E52-4A2A-9C4E-1373E0C5F4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0F2E34F-F140-4C81-8EEE-10007A51714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6" w:fontKey="{75540AE5-993A-40FE-A56F-2744696024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5944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MWVhNTQyYTk4ZTY1Mzc4ZjVjNmQ4MGVjMDNjY2YifQ=="/>
  </w:docVars>
  <w:rsids>
    <w:rsidRoot w:val="00DC4ABD"/>
    <w:rsid w:val="00013E60"/>
    <w:rsid w:val="000279DE"/>
    <w:rsid w:val="00044B5F"/>
    <w:rsid w:val="000565CF"/>
    <w:rsid w:val="00086621"/>
    <w:rsid w:val="00093331"/>
    <w:rsid w:val="000A2507"/>
    <w:rsid w:val="000C060D"/>
    <w:rsid w:val="000E6EF1"/>
    <w:rsid w:val="000F0705"/>
    <w:rsid w:val="00186EE3"/>
    <w:rsid w:val="001C4B45"/>
    <w:rsid w:val="001D4025"/>
    <w:rsid w:val="002206B5"/>
    <w:rsid w:val="00220DDF"/>
    <w:rsid w:val="002401B1"/>
    <w:rsid w:val="002639C3"/>
    <w:rsid w:val="002A36A0"/>
    <w:rsid w:val="003568E9"/>
    <w:rsid w:val="00356A5D"/>
    <w:rsid w:val="0038028E"/>
    <w:rsid w:val="00390B8E"/>
    <w:rsid w:val="003932EF"/>
    <w:rsid w:val="003C5D3D"/>
    <w:rsid w:val="003D2905"/>
    <w:rsid w:val="00405204"/>
    <w:rsid w:val="004210C1"/>
    <w:rsid w:val="00487692"/>
    <w:rsid w:val="004C7420"/>
    <w:rsid w:val="004E11AE"/>
    <w:rsid w:val="00500FFA"/>
    <w:rsid w:val="005A13CE"/>
    <w:rsid w:val="005E5D7F"/>
    <w:rsid w:val="00602307"/>
    <w:rsid w:val="00621143"/>
    <w:rsid w:val="00660854"/>
    <w:rsid w:val="00661052"/>
    <w:rsid w:val="0066400E"/>
    <w:rsid w:val="00674338"/>
    <w:rsid w:val="00681162"/>
    <w:rsid w:val="00691FA3"/>
    <w:rsid w:val="006D52FC"/>
    <w:rsid w:val="006E3E79"/>
    <w:rsid w:val="006F5B5B"/>
    <w:rsid w:val="00711471"/>
    <w:rsid w:val="007642D8"/>
    <w:rsid w:val="007853B7"/>
    <w:rsid w:val="00796D10"/>
    <w:rsid w:val="007F5DDB"/>
    <w:rsid w:val="0082212E"/>
    <w:rsid w:val="008B3954"/>
    <w:rsid w:val="00902271"/>
    <w:rsid w:val="009615AB"/>
    <w:rsid w:val="009A47E2"/>
    <w:rsid w:val="009C4FCB"/>
    <w:rsid w:val="009E7C10"/>
    <w:rsid w:val="00A30819"/>
    <w:rsid w:val="00A60ED6"/>
    <w:rsid w:val="00A85585"/>
    <w:rsid w:val="00AC6010"/>
    <w:rsid w:val="00B70D5D"/>
    <w:rsid w:val="00BC3EB1"/>
    <w:rsid w:val="00BF475B"/>
    <w:rsid w:val="00C11A8F"/>
    <w:rsid w:val="00C17972"/>
    <w:rsid w:val="00C33309"/>
    <w:rsid w:val="00C5446C"/>
    <w:rsid w:val="00C645BC"/>
    <w:rsid w:val="00CD4410"/>
    <w:rsid w:val="00CE042F"/>
    <w:rsid w:val="00D30471"/>
    <w:rsid w:val="00D82795"/>
    <w:rsid w:val="00D92EC7"/>
    <w:rsid w:val="00DA2320"/>
    <w:rsid w:val="00DC4ABD"/>
    <w:rsid w:val="00DC7197"/>
    <w:rsid w:val="00E32255"/>
    <w:rsid w:val="00E747C2"/>
    <w:rsid w:val="00EA63E5"/>
    <w:rsid w:val="00EE57F6"/>
    <w:rsid w:val="00F14795"/>
    <w:rsid w:val="00F33A3A"/>
    <w:rsid w:val="00FA5E4E"/>
    <w:rsid w:val="00FB0CC7"/>
    <w:rsid w:val="00FD007A"/>
    <w:rsid w:val="03E95322"/>
    <w:rsid w:val="03F21D22"/>
    <w:rsid w:val="07C15F2C"/>
    <w:rsid w:val="0FCE72CB"/>
    <w:rsid w:val="112F78F5"/>
    <w:rsid w:val="13E26419"/>
    <w:rsid w:val="1E3D53A5"/>
    <w:rsid w:val="2F2C7A80"/>
    <w:rsid w:val="2FA4651C"/>
    <w:rsid w:val="318178A1"/>
    <w:rsid w:val="31844B16"/>
    <w:rsid w:val="3F6B7287"/>
    <w:rsid w:val="421D4873"/>
    <w:rsid w:val="55AB2C15"/>
    <w:rsid w:val="5A2E4D8E"/>
    <w:rsid w:val="5BFE5E30"/>
    <w:rsid w:val="61D0219B"/>
    <w:rsid w:val="6AEE4D8F"/>
    <w:rsid w:val="6B792D2F"/>
    <w:rsid w:val="72545EAE"/>
    <w:rsid w:val="73B86243"/>
    <w:rsid w:val="760A7432"/>
    <w:rsid w:val="7A3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 w:cs="Times New Roman"/>
      <w:snapToGrid w:val="0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CEACC-A08B-4FA8-8A47-3D732472E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5380</Words>
  <Characters>7216</Characters>
  <Lines>66</Lines>
  <Paragraphs>18</Paragraphs>
  <TotalTime>38</TotalTime>
  <ScaleCrop>false</ScaleCrop>
  <LinksUpToDate>false</LinksUpToDate>
  <CharactersWithSpaces>7555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2021-02-01T07:43:00Z</dcterms:created>
  <dc:creator>预算科/陈攀鑫1</dc:creator>
  <cp:lastModifiedBy>施玮琪</cp:lastModifiedBy>
  <cp:lastPrinted>2023-01-28T01:24:00Z</cp:lastPrinted>
  <dcterms:modified xsi:type="dcterms:W3CDTF">2023-04-11T09:20:34Z</dcterms:modified>
  <dc:title>附件2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397051A362024CF0A58551437015FC1C</vt:lpwstr>
  </property>
</Properties>
</file>