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5"/>
        <w:spacing w:line="560" w:lineRule="exact"/>
        <w:ind w:firstLine="0" w:firstLineChars="0"/>
        <w:rPr>
          <w:rFonts w:hint="eastAsia" w:asci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Times New Roman"/>
          <w:sz w:val="32"/>
          <w:szCs w:val="32"/>
          <w:lang w:val="zh-CN"/>
        </w:rPr>
        <w:t>附件</w:t>
      </w:r>
      <w:r>
        <w:rPr>
          <w:rFonts w:hint="eastAsia" w:ascii="黑体" w:eastAsia="黑体" w:cs="Times New Roman"/>
          <w:sz w:val="32"/>
          <w:szCs w:val="32"/>
        </w:rPr>
        <w:t>3</w:t>
      </w:r>
    </w:p>
    <w:p>
      <w:pPr>
        <w:pStyle w:val="25"/>
        <w:spacing w:line="560" w:lineRule="exact"/>
        <w:ind w:firstLine="0" w:firstLineChars="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24"/>
        <w:spacing w:line="560" w:lineRule="exact"/>
        <w:rPr>
          <w:rFonts w:ascii="Times New Roman" w:hAnsi="Times New Roman" w:cs="Times New Roman"/>
          <w:sz w:val="44"/>
          <w:szCs w:val="44"/>
          <w:lang w:val="zh-CN"/>
        </w:rPr>
      </w:pPr>
      <w:r>
        <w:rPr>
          <w:rFonts w:ascii="Times New Roman" w:hAnsi="Times New Roman" w:cs="Times New Roman"/>
          <w:sz w:val="44"/>
          <w:szCs w:val="44"/>
          <w:lang w:val="zh-CN"/>
        </w:rPr>
        <w:t>2023</w:t>
      </w:r>
      <w:r>
        <w:rPr>
          <w:rFonts w:hint="eastAsia" w:ascii="Times New Roman" w:hAnsi="Times New Roman" w:cs="Times New Roman"/>
          <w:sz w:val="44"/>
          <w:szCs w:val="44"/>
          <w:lang w:val="zh-CN"/>
        </w:rPr>
        <w:t>年</w:t>
      </w:r>
      <w:r>
        <w:rPr>
          <w:rFonts w:ascii="Times New Roman" w:hAnsi="Times New Roman" w:cs="Times New Roman"/>
          <w:sz w:val="44"/>
          <w:szCs w:val="44"/>
        </w:rPr>
        <w:t>X</w:t>
      </w:r>
      <w:r>
        <w:rPr>
          <w:rFonts w:hint="eastAsia" w:ascii="Times New Roman" w:hAnsi="Times New Roman" w:cs="Times New Roman"/>
          <w:sz w:val="44"/>
          <w:szCs w:val="44"/>
        </w:rPr>
        <w:t>月</w:t>
      </w:r>
      <w:r>
        <w:rPr>
          <w:rFonts w:hint="eastAsia" w:ascii="Times New Roman" w:hAnsi="Times New Roman" w:cs="Times New Roman"/>
          <w:sz w:val="44"/>
          <w:szCs w:val="44"/>
          <w:lang w:val="zh-CN"/>
        </w:rPr>
        <w:t>城市扬尘整治有关情况通报表</w:t>
      </w:r>
    </w:p>
    <w:p>
      <w:pPr>
        <w:pStyle w:val="24"/>
        <w:spacing w:line="560" w:lineRule="exact"/>
        <w:rPr>
          <w:rFonts w:ascii="Times New Roman" w:hAnsi="Times New Roman" w:eastAsia="Times New Roman" w:cs="Times New Roman"/>
          <w:lang w:val="zh-CN"/>
        </w:rPr>
      </w:pPr>
    </w:p>
    <w:tbl>
      <w:tblPr>
        <w:tblStyle w:val="16"/>
        <w:tblW w:w="13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7"/>
        <w:gridCol w:w="1413"/>
        <w:gridCol w:w="1251"/>
        <w:gridCol w:w="1252"/>
        <w:gridCol w:w="1101"/>
        <w:gridCol w:w="1264"/>
        <w:gridCol w:w="977"/>
        <w:gridCol w:w="910"/>
        <w:gridCol w:w="1829"/>
        <w:gridCol w:w="70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5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考核类别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eastAsia="黑体" w:cs="Times New Roman"/>
                <w:b w:val="0"/>
              </w:rPr>
            </w:pP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建筑工地扬尘（</w:t>
            </w:r>
            <w:r>
              <w:rPr>
                <w:rStyle w:val="26"/>
                <w:rFonts w:ascii="Times New Roman" w:hAnsi="Times New Roman" w:eastAsia="黑体" w:cs="Times New Roman"/>
                <w:b w:val="0"/>
              </w:rPr>
              <w:t>20</w:t>
            </w: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分）</w:t>
            </w: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城市道路扬尘（</w:t>
            </w:r>
            <w:r>
              <w:rPr>
                <w:rStyle w:val="26"/>
                <w:rFonts w:ascii="Times New Roman" w:hAnsi="Times New Roman" w:eastAsia="黑体" w:cs="Times New Roman"/>
                <w:b w:val="0"/>
              </w:rPr>
              <w:t>10</w:t>
            </w: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分）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eastAsia="黑体" w:cs="Times New Roman"/>
                <w:b w:val="0"/>
              </w:rPr>
            </w:pP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工业企业扬尘（</w:t>
            </w:r>
            <w:r>
              <w:rPr>
                <w:rStyle w:val="26"/>
                <w:rFonts w:ascii="Times New Roman" w:hAnsi="Times New Roman" w:eastAsia="黑体" w:cs="Times New Roman"/>
                <w:b w:val="0"/>
              </w:rPr>
              <w:t>10</w:t>
            </w: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分）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储备土地扬尘（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港口码头扬尘（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5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88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信访办理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（</w:t>
            </w:r>
            <w:r>
              <w:rPr>
                <w:rStyle w:val="26"/>
                <w:rFonts w:ascii="Times New Roman" w:hAnsi="Times New Roman" w:eastAsia="黑体" w:cs="Times New Roman"/>
                <w:b w:val="0"/>
              </w:rPr>
              <w:t>30</w:t>
            </w:r>
            <w:r>
              <w:rPr>
                <w:rStyle w:val="26"/>
                <w:rFonts w:hint="eastAsia" w:ascii="Times New Roman" w:hAnsi="Times New Roman" w:eastAsia="黑体" w:cs="Times New Roman"/>
                <w:b w:val="0"/>
              </w:rPr>
              <w:t>分）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宣传推广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15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</w:rPr>
              <w:t>综合排名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楷体_GB2312" w:cs="Times New Roman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2"/>
                <w:szCs w:val="22"/>
              </w:rPr>
              <w:t>全市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建筑工地扬尘问题整改到位率（</w:t>
            </w:r>
            <w:r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渣土车等车辆扬尘问题整改到位率（</w:t>
            </w:r>
            <w:r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工业企业扬尘问题整改到位率（</w:t>
            </w:r>
            <w:r>
              <w:rPr>
                <w:rStyle w:val="27"/>
                <w:rFonts w:ascii="Times New Roman" w:hAnsi="Times New Roman" w:cs="Times New Roman"/>
                <w:bCs/>
                <w:color w:val="auto"/>
                <w:sz w:val="22"/>
                <w:szCs w:val="22"/>
                <w:vertAlign w:val="baseline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101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储备土地扬尘问题整改到位率（</w:t>
            </w:r>
            <w:r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sz w:val="22"/>
                <w:szCs w:val="22"/>
              </w:rPr>
              <w:t>港口码头扬尘问题整改到位率（</w:t>
            </w:r>
            <w:r>
              <w:rPr>
                <w:rStyle w:val="27"/>
                <w:rFonts w:ascii="Times New Roman" w:hAnsi="Times New Roman" w:cs="Times New Roman"/>
                <w:bCs/>
                <w:sz w:val="22"/>
                <w:szCs w:val="22"/>
                <w:vertAlign w:val="baseline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sz w:val="22"/>
                <w:szCs w:val="22"/>
              </w:rPr>
              <w:t>）</w:t>
            </w:r>
          </w:p>
        </w:tc>
        <w:tc>
          <w:tcPr>
            <w:tcW w:w="97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扬尘信访办结率（</w:t>
            </w:r>
            <w:r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910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扬尘信访满意率（</w:t>
            </w:r>
            <w:r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%</w:t>
            </w: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）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Style w:val="26"/>
                <w:rFonts w:hint="eastAsia" w:ascii="Times New Roman" w:hAnsi="Times New Roman" w:cs="Times New Roman"/>
                <w:bCs/>
                <w:color w:val="auto"/>
                <w:sz w:val="22"/>
                <w:szCs w:val="22"/>
              </w:rPr>
              <w:t>地方扬尘整治工作动态被省级及以上媒体宣传推广</w:t>
            </w:r>
          </w:p>
        </w:tc>
        <w:tc>
          <w:tcPr>
            <w:tcW w:w="703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</w:rPr>
              <w:t>鲤城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Style w:val="26"/>
                <w:rFonts w:ascii="Times New Roman" w:hAnsi="Times New Roman" w:cs="Times New Roman"/>
                <w:bCs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zh-CN"/>
              </w:rPr>
              <w:t>丰泽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zh-CN"/>
              </w:rPr>
              <w:t>洛江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zh-CN"/>
              </w:rPr>
              <w:t>泉港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zh-CN"/>
              </w:rPr>
              <w:t>晋江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石狮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南安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惠安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安溪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永春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德化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1117" w:type="dxa"/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台商区</w:t>
            </w:r>
          </w:p>
        </w:tc>
        <w:tc>
          <w:tcPr>
            <w:tcW w:w="1413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52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101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77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91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829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703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shd w:val="clear" w:color="auto" w:fill="FFFFFF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2"/>
                <w:szCs w:val="22"/>
                <w:lang w:val="zh-CN"/>
              </w:rPr>
            </w:pPr>
          </w:p>
        </w:tc>
      </w:tr>
    </w:tbl>
    <w:p>
      <w:pPr>
        <w:pStyle w:val="23"/>
        <w:spacing w:line="560" w:lineRule="exact"/>
        <w:ind w:firstLine="281" w:firstLineChars="100"/>
        <w:rPr>
          <w:rFonts w:ascii="Times New Roman" w:hAnsi="Times New Roman" w:eastAsia="仿宋_GB2312" w:cs="Times New Roman"/>
          <w:b/>
          <w:bCs/>
          <w:lang w:val="zh-CN"/>
        </w:rPr>
      </w:pPr>
    </w:p>
    <w:p>
      <w:pPr>
        <w:pStyle w:val="23"/>
        <w:spacing w:line="560" w:lineRule="exact"/>
        <w:ind w:firstLine="281" w:firstLineChars="100"/>
        <w:rPr>
          <w:rFonts w:ascii="Times New Roman" w:hAnsi="Times New Roman" w:eastAsia="仿宋_GB2312" w:cs="Times New Roman"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lang w:val="zh-CN"/>
        </w:rPr>
        <w:t>备注：</w:t>
      </w:r>
      <w:r>
        <w:rPr>
          <w:rFonts w:ascii="Times New Roman" w:hAnsi="Times New Roman" w:eastAsia="仿宋_GB2312" w:cs="Times New Roman"/>
          <w:lang w:val="zh-CN"/>
        </w:rPr>
        <w:t>1.</w:t>
      </w:r>
      <w:r>
        <w:rPr>
          <w:rFonts w:hint="eastAsia" w:ascii="Times New Roman" w:hAnsi="Times New Roman" w:eastAsia="仿宋_GB2312" w:cs="Times New Roman"/>
          <w:lang w:val="zh-CN"/>
        </w:rPr>
        <w:t>总</w:t>
      </w:r>
      <w:r>
        <w:rPr>
          <w:rFonts w:hint="eastAsia" w:ascii="Times New Roman" w:hAnsi="Times New Roman" w:eastAsia="仿宋_GB2312" w:cs="Times New Roman"/>
        </w:rPr>
        <w:t>分</w:t>
      </w:r>
      <w:r>
        <w:rPr>
          <w:rFonts w:ascii="Times New Roman" w:hAnsi="Times New Roman" w:eastAsia="仿宋_GB2312" w:cs="Times New Roman"/>
        </w:rPr>
        <w:t>100</w:t>
      </w:r>
      <w:r>
        <w:rPr>
          <w:rFonts w:hint="eastAsia" w:ascii="Times New Roman" w:hAnsi="Times New Roman" w:eastAsia="仿宋_GB2312" w:cs="Times New Roman"/>
        </w:rPr>
        <w:t>分，</w:t>
      </w:r>
      <w:r>
        <w:rPr>
          <w:rFonts w:hint="eastAsia" w:ascii="Times New Roman" w:hAnsi="Times New Roman" w:eastAsia="仿宋_GB2312" w:cs="Times New Roman"/>
          <w:lang w:val="zh-CN"/>
        </w:rPr>
        <w:t>各单项按赋予分值平均计分。其中涉及百分比的，该项按与百分比相乘计分。</w:t>
      </w:r>
    </w:p>
    <w:p>
      <w:pPr>
        <w:pStyle w:val="23"/>
        <w:spacing w:line="560" w:lineRule="exact"/>
        <w:ind w:left="1117" w:leftChars="532" w:firstLine="0" w:firstLineChars="0"/>
        <w:rPr>
          <w:rFonts w:ascii="Times New Roman" w:hAnsi="Times New Roman" w:eastAsia="仿宋_GB2312" w:cs="Times New Roman"/>
          <w:lang w:val="zh-CN"/>
        </w:rPr>
      </w:pPr>
      <w:r>
        <w:rPr>
          <w:rFonts w:ascii="Times New Roman" w:hAnsi="Times New Roman" w:eastAsia="仿宋_GB2312" w:cs="Times New Roman"/>
          <w:lang w:val="zh-CN"/>
        </w:rPr>
        <w:t>2.“</w:t>
      </w:r>
      <w:r>
        <w:rPr>
          <w:rFonts w:hint="eastAsia" w:ascii="Times New Roman" w:hAnsi="Times New Roman" w:eastAsia="仿宋_GB2312" w:cs="Times New Roman"/>
          <w:lang w:val="zh-CN"/>
        </w:rPr>
        <w:t>宣推推广</w:t>
      </w:r>
      <w:r>
        <w:rPr>
          <w:rFonts w:ascii="Times New Roman" w:hAnsi="Times New Roman" w:eastAsia="仿宋_GB2312" w:cs="Times New Roman"/>
          <w:lang w:val="zh-CN"/>
        </w:rPr>
        <w:t>”</w:t>
      </w:r>
      <w:r>
        <w:rPr>
          <w:rFonts w:hint="eastAsia" w:ascii="Times New Roman" w:hAnsi="Times New Roman" w:eastAsia="仿宋_GB2312" w:cs="Times New Roman"/>
          <w:lang w:val="zh-CN"/>
        </w:rPr>
        <w:t>实行分档计分，满分为</w:t>
      </w:r>
      <w:r>
        <w:rPr>
          <w:rFonts w:ascii="Times New Roman" w:hAnsi="Times New Roman" w:eastAsia="仿宋_GB2312" w:cs="Times New Roman"/>
          <w:lang w:val="zh-CN"/>
        </w:rPr>
        <w:t>15</w:t>
      </w:r>
      <w:r>
        <w:rPr>
          <w:rFonts w:hint="eastAsia" w:ascii="Times New Roman" w:hAnsi="Times New Roman" w:eastAsia="仿宋_GB2312" w:cs="Times New Roman"/>
          <w:lang w:val="zh-CN"/>
        </w:rPr>
        <w:t>分，优秀档计</w:t>
      </w:r>
      <w:r>
        <w:rPr>
          <w:rFonts w:ascii="Times New Roman" w:hAnsi="Times New Roman" w:eastAsia="仿宋_GB2312" w:cs="Times New Roman"/>
          <w:lang w:val="zh-CN"/>
        </w:rPr>
        <w:t>15</w:t>
      </w:r>
      <w:r>
        <w:rPr>
          <w:rFonts w:hint="eastAsia" w:ascii="Times New Roman" w:hAnsi="Times New Roman" w:eastAsia="仿宋_GB2312" w:cs="Times New Roman"/>
          <w:lang w:val="zh-CN"/>
        </w:rPr>
        <w:t>分，优良档计</w:t>
      </w:r>
      <w:r>
        <w:rPr>
          <w:rFonts w:ascii="Times New Roman" w:hAnsi="Times New Roman" w:eastAsia="仿宋_GB2312" w:cs="Times New Roman"/>
          <w:lang w:val="zh-CN"/>
        </w:rPr>
        <w:t>10</w:t>
      </w:r>
      <w:r>
        <w:rPr>
          <w:rFonts w:hint="eastAsia" w:ascii="Times New Roman" w:hAnsi="Times New Roman" w:eastAsia="仿宋_GB2312" w:cs="Times New Roman"/>
          <w:lang w:val="zh-CN"/>
        </w:rPr>
        <w:t>分，一般档计</w:t>
      </w:r>
      <w:r>
        <w:rPr>
          <w:rFonts w:ascii="Times New Roman" w:hAnsi="Times New Roman" w:eastAsia="仿宋_GB2312" w:cs="Times New Roman"/>
          <w:lang w:val="zh-CN"/>
        </w:rPr>
        <w:t>5</w:t>
      </w:r>
      <w:r>
        <w:rPr>
          <w:rFonts w:hint="eastAsia" w:ascii="Times New Roman" w:hAnsi="Times New Roman" w:eastAsia="仿宋_GB2312" w:cs="Times New Roman"/>
          <w:lang w:val="zh-CN"/>
        </w:rPr>
        <w:t>分；市级联席会议综合考量宣传推广的媒体等级、受众面积、阅读点击量等情况，综合评定等级并赋分。</w:t>
      </w:r>
    </w:p>
    <w:p>
      <w:pPr>
        <w:pStyle w:val="23"/>
        <w:spacing w:line="560" w:lineRule="exact"/>
        <w:ind w:left="1117" w:leftChars="532" w:firstLine="0" w:firstLineChars="0"/>
        <w:rPr>
          <w:rFonts w:ascii="Times New Roman" w:hAnsi="Times New Roman" w:eastAsia="仿宋_GB2312" w:cs="Times New Roman"/>
          <w:lang w:val="zh-CN"/>
        </w:rPr>
      </w:pPr>
      <w:r>
        <w:rPr>
          <w:rFonts w:ascii="Times New Roman" w:hAnsi="Times New Roman" w:eastAsia="仿宋_GB2312" w:cs="Times New Roman"/>
          <w:lang w:val="zh-CN"/>
        </w:rPr>
        <w:t>3.</w:t>
      </w:r>
      <w:r>
        <w:rPr>
          <w:rFonts w:hint="eastAsia" w:ascii="Times New Roman" w:hAnsi="Times New Roman" w:eastAsia="仿宋_GB2312" w:cs="Times New Roman"/>
          <w:lang w:val="zh-CN"/>
        </w:rPr>
        <w:t>各单项累加得分体现综合排名。排名每月通报，通报结果以市环委办名义抄报市纪委监委、抄送市直参与部门领导及县（市、区）、泉州开发区、台商投资区相关领导。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</w:rPr>
      </w:pPr>
      <w:r>
        <w:rPr>
          <w:rFonts w:ascii="Times New Roman" w:hAnsi="Times New Roman" w:eastAsia="仿宋_GB2312" w:cs="Times New Roman"/>
          <w:bCs/>
        </w:rPr>
        <w:t>4.</w:t>
      </w:r>
      <w:r>
        <w:rPr>
          <w:rFonts w:hint="eastAsia" w:ascii="Times New Roman" w:hAnsi="Times New Roman" w:eastAsia="仿宋_GB2312" w:cs="Times New Roman"/>
          <w:bCs/>
          <w:lang w:val="zh-CN"/>
        </w:rPr>
        <w:t>整治期间每月按上述统计情况计分、排名及通报。整治结束后将统筹考虑下沉督导期间发现问题、扬尘</w:t>
      </w:r>
      <w:r>
        <w:rPr>
          <w:rFonts w:ascii="Times New Roman" w:hAnsi="Times New Roman" w:eastAsia="仿宋_GB2312" w:cs="Times New Roman"/>
          <w:bCs/>
        </w:rPr>
        <w:t xml:space="preserve">  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  <w:lang w:val="zh-CN"/>
        </w:rPr>
      </w:pPr>
      <w:r>
        <w:rPr>
          <w:rFonts w:hint="eastAsia" w:ascii="Times New Roman" w:hAnsi="Times New Roman" w:eastAsia="仿宋_GB2312" w:cs="Times New Roman"/>
          <w:bCs/>
          <w:lang w:val="zh-CN"/>
        </w:rPr>
        <w:t>在线监控及建章立制情况调整分数，其中对发现问题进行扣分，每发现</w:t>
      </w:r>
      <w:r>
        <w:rPr>
          <w:rFonts w:ascii="Times New Roman" w:hAnsi="Times New Roman" w:eastAsia="仿宋_GB2312" w:cs="Times New Roman"/>
          <w:bCs/>
          <w:lang w:val="zh-CN"/>
        </w:rPr>
        <w:t>1</w:t>
      </w:r>
      <w:r>
        <w:rPr>
          <w:rFonts w:hint="eastAsia" w:ascii="Times New Roman" w:hAnsi="Times New Roman" w:eastAsia="仿宋_GB2312" w:cs="Times New Roman"/>
          <w:bCs/>
          <w:lang w:val="zh-CN"/>
        </w:rPr>
        <w:t>个问题扣</w:t>
      </w:r>
      <w:r>
        <w:rPr>
          <w:rFonts w:ascii="Times New Roman" w:hAnsi="Times New Roman" w:eastAsia="仿宋_GB2312" w:cs="Times New Roman"/>
          <w:bCs/>
          <w:lang w:val="zh-CN"/>
        </w:rPr>
        <w:t>0.1</w:t>
      </w:r>
      <w:r>
        <w:rPr>
          <w:rFonts w:hint="eastAsia" w:ascii="Times New Roman" w:hAnsi="Times New Roman" w:eastAsia="仿宋_GB2312" w:cs="Times New Roman"/>
          <w:bCs/>
          <w:lang w:val="zh-CN"/>
        </w:rPr>
        <w:t>分；对扬尘在线监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  <w:lang w:val="zh-CN"/>
        </w:rPr>
      </w:pPr>
      <w:r>
        <w:rPr>
          <w:rFonts w:hint="eastAsia" w:ascii="Times New Roman" w:hAnsi="Times New Roman" w:eastAsia="仿宋_GB2312" w:cs="Times New Roman"/>
          <w:bCs/>
          <w:lang w:val="zh-CN"/>
        </w:rPr>
        <w:t>控安装情况实行分档加分，重点考量建筑工地安装、联网及其他领域点位试点安装等情况，综合评定等级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  <w:lang w:val="zh-CN"/>
        </w:rPr>
      </w:pPr>
      <w:r>
        <w:rPr>
          <w:rFonts w:hint="eastAsia" w:ascii="Times New Roman" w:hAnsi="Times New Roman" w:eastAsia="仿宋_GB2312" w:cs="Times New Roman"/>
          <w:bCs/>
          <w:lang w:val="zh-CN"/>
        </w:rPr>
        <w:t>并赋分，优秀档加</w:t>
      </w:r>
      <w:r>
        <w:rPr>
          <w:rFonts w:ascii="Times New Roman" w:hAnsi="Times New Roman" w:eastAsia="仿宋_GB2312" w:cs="Times New Roman"/>
          <w:bCs/>
          <w:lang w:val="zh-CN"/>
        </w:rPr>
        <w:t>10</w:t>
      </w:r>
      <w:r>
        <w:rPr>
          <w:rFonts w:hint="eastAsia" w:ascii="Times New Roman" w:hAnsi="Times New Roman" w:eastAsia="仿宋_GB2312" w:cs="Times New Roman"/>
          <w:bCs/>
          <w:lang w:val="zh-CN"/>
        </w:rPr>
        <w:t>分，优良档加</w:t>
      </w:r>
      <w:r>
        <w:rPr>
          <w:rFonts w:ascii="Times New Roman" w:hAnsi="Times New Roman" w:eastAsia="仿宋_GB2312" w:cs="Times New Roman"/>
          <w:bCs/>
          <w:lang w:val="zh-CN"/>
        </w:rPr>
        <w:t>8</w:t>
      </w:r>
      <w:r>
        <w:rPr>
          <w:rFonts w:hint="eastAsia" w:ascii="Times New Roman" w:hAnsi="Times New Roman" w:eastAsia="仿宋_GB2312" w:cs="Times New Roman"/>
          <w:bCs/>
          <w:lang w:val="zh-CN"/>
        </w:rPr>
        <w:t>分，一般档加</w:t>
      </w:r>
      <w:r>
        <w:rPr>
          <w:rFonts w:ascii="Times New Roman" w:hAnsi="Times New Roman" w:eastAsia="仿宋_GB2312" w:cs="Times New Roman"/>
          <w:bCs/>
          <w:lang w:val="zh-CN"/>
        </w:rPr>
        <w:t>6</w:t>
      </w:r>
      <w:r>
        <w:rPr>
          <w:rFonts w:hint="eastAsia" w:ascii="Times New Roman" w:hAnsi="Times New Roman" w:eastAsia="仿宋_GB2312" w:cs="Times New Roman"/>
          <w:bCs/>
          <w:lang w:val="zh-CN"/>
        </w:rPr>
        <w:t>分；对建章立制情况实行分档加分，综合考量制定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  <w:lang w:val="zh-CN"/>
        </w:rPr>
      </w:pPr>
      <w:r>
        <w:rPr>
          <w:rFonts w:hint="eastAsia" w:ascii="Times New Roman" w:hAnsi="Times New Roman" w:eastAsia="仿宋_GB2312" w:cs="Times New Roman"/>
          <w:bCs/>
          <w:lang w:val="zh-CN"/>
        </w:rPr>
        <w:t>机制数量、发文级别及单位、可操作性等情况，综合评定等级并赋分，优秀档加</w:t>
      </w:r>
      <w:r>
        <w:rPr>
          <w:rFonts w:ascii="Times New Roman" w:hAnsi="Times New Roman" w:eastAsia="仿宋_GB2312" w:cs="Times New Roman"/>
          <w:bCs/>
          <w:lang w:val="zh-CN"/>
        </w:rPr>
        <w:t>10</w:t>
      </w:r>
      <w:r>
        <w:rPr>
          <w:rFonts w:hint="eastAsia" w:ascii="Times New Roman" w:hAnsi="Times New Roman" w:eastAsia="仿宋_GB2312" w:cs="Times New Roman"/>
          <w:bCs/>
          <w:lang w:val="zh-CN"/>
        </w:rPr>
        <w:t>分，优良档加</w:t>
      </w:r>
      <w:r>
        <w:rPr>
          <w:rFonts w:ascii="Times New Roman" w:hAnsi="Times New Roman" w:eastAsia="仿宋_GB2312" w:cs="Times New Roman"/>
          <w:bCs/>
          <w:lang w:val="zh-CN"/>
        </w:rPr>
        <w:t>8</w:t>
      </w:r>
      <w:r>
        <w:rPr>
          <w:rFonts w:hint="eastAsia" w:ascii="Times New Roman" w:hAnsi="Times New Roman" w:eastAsia="仿宋_GB2312" w:cs="Times New Roman"/>
          <w:bCs/>
          <w:lang w:val="zh-CN"/>
        </w:rPr>
        <w:t>分，</w:t>
      </w:r>
    </w:p>
    <w:p>
      <w:pPr>
        <w:pStyle w:val="23"/>
        <w:spacing w:line="560" w:lineRule="exact"/>
        <w:ind w:firstLine="1120" w:firstLineChars="400"/>
        <w:rPr>
          <w:rFonts w:ascii="Times New Roman" w:hAnsi="Times New Roman" w:eastAsia="仿宋_GB2312" w:cs="Times New Roman"/>
          <w:bCs/>
          <w:lang w:val="zh-CN"/>
        </w:rPr>
        <w:sectPr>
          <w:footerReference r:id="rId3" w:type="default"/>
          <w:footerReference r:id="rId4" w:type="even"/>
          <w:pgSz w:w="16840" w:h="11907" w:orient="landscape"/>
          <w:pgMar w:top="1803" w:right="1440" w:bottom="1803" w:left="1440" w:header="851" w:footer="1417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Cs/>
          <w:lang w:val="zh-CN"/>
        </w:rPr>
        <w:t>一般档加</w:t>
      </w:r>
      <w:r>
        <w:rPr>
          <w:rFonts w:ascii="Times New Roman" w:hAnsi="Times New Roman" w:eastAsia="仿宋_GB2312" w:cs="Times New Roman"/>
          <w:bCs/>
          <w:lang w:val="zh-CN"/>
        </w:rPr>
        <w:t>6</w:t>
      </w:r>
      <w:r>
        <w:rPr>
          <w:rFonts w:hint="eastAsia" w:ascii="Times New Roman" w:hAnsi="Times New Roman" w:eastAsia="仿宋_GB2312" w:cs="Times New Roman"/>
          <w:bCs/>
          <w:lang w:val="zh-CN"/>
        </w:rPr>
        <w:t>分，未建立健全机制的不加分。</w:t>
      </w: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2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9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pStyle w:val="20"/>
        <w:ind w:firstLine="0"/>
        <w:rPr>
          <w:rFonts w:ascii="Times New Roman" w:hAnsi="Times New Roman"/>
        </w:rPr>
      </w:pPr>
    </w:p>
    <w:p>
      <w:pPr>
        <w:pStyle w:val="21"/>
        <w:rPr>
          <w:rFonts w:ascii="Times New Roman" w:hAnsi="Times New Roman" w:cs="Times New Roman"/>
        </w:rPr>
      </w:pPr>
    </w:p>
    <w:p>
      <w:pPr>
        <w:pStyle w:val="12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pStyle w:val="2"/>
        <w:rPr>
          <w:rFonts w:cs="Times New Roman"/>
        </w:rPr>
      </w:pPr>
    </w:p>
    <w:p>
      <w:pPr>
        <w:spacing w:line="20" w:lineRule="exact"/>
        <w:rPr>
          <w:rFonts w:ascii="Times New Roman" w:hAnsi="Times New Roman" w:eastAsia="仿宋_GB2312" w:cs="Times New Roman"/>
          <w:bCs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530"/>
        <w:tab w:val="clear" w:pos="4153"/>
      </w:tabs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3bJjRAAAAAwEAAA8AAAAAAAAAAQAgAAAAIgAAAGRycy9kb3ducmV2LnhtbFBL&#10;AQIUABQAAAAIAIdO4kBPGvlG/QEAAO8DAAAOAAAAAAAAAAEAIAAAACA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rPr>
        <w:rFonts w:ascii="宋体"/>
        <w:sz w:val="28"/>
        <w:szCs w:val="28"/>
      </w:rPr>
    </w:pPr>
    <w:r>
      <w:rPr>
        <w:rFonts w:ascii="宋体"/>
        <w:kern w:val="0"/>
        <w:sz w:val="28"/>
        <w:szCs w:val="28"/>
      </w:rPr>
      <w:fldChar w:fldCharType="begin"/>
    </w:r>
    <w:r>
      <w:rPr>
        <w:rFonts w:ascii="宋体"/>
        <w:kern w:val="0"/>
        <w:sz w:val="28"/>
        <w:szCs w:val="28"/>
      </w:rPr>
      <w:instrText xml:space="preserve"> PAGE </w:instrText>
    </w:r>
    <w:r>
      <w:rPr>
        <w:rFonts w:ascii="宋体"/>
        <w:kern w:val="0"/>
        <w:sz w:val="28"/>
        <w:szCs w:val="28"/>
      </w:rPr>
      <w:fldChar w:fldCharType="separate"/>
    </w:r>
    <w:r>
      <w:rPr>
        <w:rFonts w:ascii="宋体"/>
        <w:kern w:val="0"/>
        <w:sz w:val="28"/>
        <w:szCs w:val="28"/>
      </w:rPr>
      <w:t>- 12 -</w:t>
    </w:r>
    <w:r>
      <w:rPr>
        <w:rFonts w:ascii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RiZTZmZGM2NDQ0Njg2YTBjZDExYzk5Yzk3OWE1OTUifQ=="/>
  </w:docVars>
  <w:rsids>
    <w:rsidRoot w:val="00000000"/>
    <w:rsid w:val="38BB1282"/>
    <w:rsid w:val="4DAB39EB"/>
    <w:rsid w:val="69943784"/>
    <w:rsid w:val="6F402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200" w:leftChars="200" w:firstLine="200" w:firstLineChars="200"/>
    </w:pPr>
    <w:rPr>
      <w:rFonts w:ascii="Times New Roman" w:hAnsi="Times New Roman"/>
      <w:sz w:val="21"/>
    </w:rPr>
  </w:style>
  <w:style w:type="paragraph" w:customStyle="1" w:styleId="3">
    <w:name w:val="BodyTextIndent"/>
    <w:basedOn w:val="1"/>
    <w:next w:val="4"/>
    <w:qFormat/>
    <w:uiPriority w:val="0"/>
    <w:pPr>
      <w:spacing w:line="500" w:lineRule="atLeast"/>
      <w:ind w:firstLine="570"/>
    </w:pPr>
    <w:rPr>
      <w:rFonts w:ascii="宋体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index 5"/>
    <w:basedOn w:val="1"/>
    <w:next w:val="1"/>
    <w:qFormat/>
    <w:uiPriority w:val="0"/>
    <w:pPr>
      <w:spacing w:line="240" w:lineRule="atLeast"/>
      <w:ind w:left="1680"/>
    </w:pPr>
    <w:rPr>
      <w:rFonts w:ascii="Times New Roman" w:hAnsi="Times New Roman" w:eastAsia="仿宋_GB2312" w:cs="Times New Roman"/>
      <w:sz w:val="31"/>
      <w:szCs w:val="31"/>
    </w:rPr>
  </w:style>
  <w:style w:type="paragraph" w:styleId="6">
    <w:name w:val="Body Text"/>
    <w:basedOn w:val="1"/>
    <w:qFormat/>
    <w:uiPriority w:val="0"/>
    <w:rPr>
      <w:rFonts w:ascii="仿宋_GB2312" w:eastAsia="仿宋_GB2312" w:cs="仿宋_GB2312"/>
      <w:sz w:val="32"/>
      <w:szCs w:val="32"/>
      <w:lang w:val="zh-CN"/>
    </w:r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Plain Text"/>
    <w:basedOn w:val="1"/>
    <w:uiPriority w:val="0"/>
    <w:rPr>
      <w:rFonts w:ascii="宋体"/>
    </w:rPr>
  </w:style>
  <w:style w:type="paragraph" w:styleId="9">
    <w:name w:val="endnote text"/>
    <w:basedOn w:val="1"/>
    <w:uiPriority w:val="0"/>
    <w:pPr>
      <w:snapToGrid w:val="0"/>
      <w:jc w:val="left"/>
    </w:pPr>
  </w:style>
  <w:style w:type="paragraph" w:styleId="10">
    <w:name w:val="Balloon Text"/>
    <w:basedOn w:val="1"/>
    <w:next w:val="9"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200" w:leftChars="200"/>
    </w:pPr>
    <w:rPr>
      <w:rFonts w:ascii="等线" w:eastAsia="等线"/>
      <w:szCs w:val="2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7"/>
    <w:next w:val="15"/>
    <w:uiPriority w:val="0"/>
    <w:pPr>
      <w:spacing w:after="0"/>
      <w:ind w:left="0" w:leftChars="0" w:firstLine="200" w:firstLineChars="200"/>
    </w:pPr>
    <w:rPr>
      <w:rFonts w:ascii="仿宋_GB2312" w:hAnsi="仿宋_GB2312" w:cs="仿宋_GB2312"/>
    </w:rPr>
  </w:style>
  <w:style w:type="paragraph" w:customStyle="1" w:styleId="15">
    <w:name w:val="正文1"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  <w:style w:type="paragraph" w:customStyle="1" w:styleId="18">
    <w:name w:val="纯文本1"/>
    <w:basedOn w:val="1"/>
    <w:next w:val="8"/>
    <w:uiPriority w:val="0"/>
    <w:rPr>
      <w:rFonts w:ascii="宋体" w:cs="黑体"/>
      <w:szCs w:val="21"/>
    </w:rPr>
  </w:style>
  <w:style w:type="paragraph" w:customStyle="1" w:styleId="19">
    <w:name w:val="Default"/>
    <w:basedOn w:val="18"/>
    <w:next w:val="20"/>
    <w:uiPriority w:val="0"/>
    <w:pPr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2"/>
    </w:rPr>
  </w:style>
  <w:style w:type="paragraph" w:customStyle="1" w:styleId="20">
    <w:name w:val="样式35"/>
    <w:next w:val="21"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font6"/>
    <w:basedOn w:val="1"/>
    <w:next w:val="12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22">
    <w:name w:val="三级标题"/>
    <w:basedOn w:val="1"/>
    <w:uiPriority w:val="0"/>
    <w:pPr>
      <w:snapToGrid w:val="0"/>
      <w:spacing w:line="360" w:lineRule="exact"/>
      <w:ind w:firstLine="200" w:firstLineChars="200"/>
      <w:outlineLvl w:val="2"/>
    </w:pPr>
    <w:rPr>
      <w:rFonts w:eastAsia="方正楷体简体"/>
      <w:sz w:val="28"/>
      <w:szCs w:val="32"/>
    </w:rPr>
  </w:style>
  <w:style w:type="paragraph" w:customStyle="1" w:styleId="23">
    <w:name w:val="正文01"/>
    <w:basedOn w:val="22"/>
    <w:uiPriority w:val="0"/>
    <w:pPr>
      <w:outlineLvl w:val="9"/>
    </w:pPr>
    <w:rPr>
      <w:rFonts w:eastAsia="方正书宋简体"/>
      <w:szCs w:val="28"/>
    </w:rPr>
  </w:style>
  <w:style w:type="paragraph" w:customStyle="1" w:styleId="24">
    <w:name w:val="一级标题"/>
    <w:basedOn w:val="1"/>
    <w:uiPriority w:val="0"/>
    <w:pPr>
      <w:snapToGrid w:val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25">
    <w:name w:val="二级标题"/>
    <w:basedOn w:val="1"/>
    <w:uiPriority w:val="0"/>
    <w:pPr>
      <w:snapToGrid w:val="0"/>
      <w:spacing w:line="360" w:lineRule="exact"/>
      <w:ind w:firstLine="200" w:firstLineChars="200"/>
      <w:outlineLvl w:val="1"/>
    </w:pPr>
    <w:rPr>
      <w:rFonts w:eastAsia="方正黑体简体"/>
      <w:sz w:val="28"/>
      <w:szCs w:val="28"/>
    </w:rPr>
  </w:style>
  <w:style w:type="character" w:customStyle="1" w:styleId="26">
    <w:name w:val="font21"/>
    <w:uiPriority w:val="0"/>
    <w:rPr>
      <w:rFonts w:ascii="仿宋_GB2312" w:eastAsia="仿宋_GB2312"/>
      <w:b/>
      <w:color w:val="000000"/>
      <w:sz w:val="24"/>
      <w:u w:val="none"/>
    </w:rPr>
  </w:style>
  <w:style w:type="character" w:customStyle="1" w:styleId="27">
    <w:name w:val="font51"/>
    <w:uiPriority w:val="0"/>
    <w:rPr>
      <w:rFonts w:ascii="仿宋_GB2312" w:eastAsia="仿宋_GB2312"/>
      <w:b/>
      <w:color w:val="000000"/>
      <w:sz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7</Pages>
  <Words>1356</Words>
  <Characters>1384</Characters>
  <Lines>756</Lines>
  <Paragraphs>167</Paragraphs>
  <TotalTime>24</TotalTime>
  <ScaleCrop>false</ScaleCrop>
  <LinksUpToDate>false</LinksUpToDate>
  <CharactersWithSpaces>1513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2023-07-19T07:58:00Z</dcterms:created>
  <dc:creator>xxy</dc:creator>
  <cp:lastModifiedBy>Administrator</cp:lastModifiedBy>
  <cp:lastPrinted>2023-07-19T08:09:00Z</cp:lastPrinted>
  <dcterms:modified xsi:type="dcterms:W3CDTF">2023-07-31T09:12:14Z</dcterms:modified>
  <dc:title>泉城管〔2023〕170号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9CAA7F73CDA24537949F8F70961249BE_13</vt:lpwstr>
  </property>
</Properties>
</file>