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274759">
      <w:pPr>
        <w:pStyle w:val="6"/>
        <w:keepNext/>
        <w:keepLines/>
        <w:pageBreakBefore w:val="0"/>
        <w:widowControl/>
        <w:kinsoku/>
        <w:wordWrap/>
        <w:overflowPunct/>
        <w:topLinePunct w:val="0"/>
        <w:autoSpaceDE/>
        <w:autoSpaceDN/>
        <w:bidi w:val="0"/>
        <w:adjustRightInd/>
        <w:snapToGrid/>
        <w:spacing w:before="157" w:beforeLines="50" w:after="157" w:afterLines="50" w:line="480" w:lineRule="auto"/>
        <w:jc w:val="center"/>
        <w:textAlignment w:val="auto"/>
        <w:rPr>
          <w:rFonts w:hint="eastAsia" w:ascii="宋体" w:hAnsi="宋体" w:eastAsia="宋体"/>
          <w:b/>
          <w:bCs/>
          <w:color w:val="auto"/>
          <w:kern w:val="2"/>
          <w:sz w:val="40"/>
          <w:szCs w:val="40"/>
        </w:rPr>
      </w:pPr>
      <w:r>
        <w:rPr>
          <w:rFonts w:hint="eastAsia" w:ascii="宋体" w:hAnsi="宋体" w:eastAsia="宋体"/>
          <w:b/>
          <w:bCs/>
          <w:color w:val="auto"/>
          <w:kern w:val="2"/>
          <w:sz w:val="40"/>
          <w:szCs w:val="40"/>
        </w:rPr>
        <w:t>泉州半导体高新技术产业园区</w:t>
      </w:r>
    </w:p>
    <w:p w14:paraId="2C21D7D5">
      <w:pPr>
        <w:pStyle w:val="6"/>
        <w:keepNext/>
        <w:keepLines/>
        <w:pageBreakBefore w:val="0"/>
        <w:widowControl/>
        <w:kinsoku/>
        <w:wordWrap/>
        <w:overflowPunct/>
        <w:topLinePunct w:val="0"/>
        <w:autoSpaceDE/>
        <w:autoSpaceDN/>
        <w:bidi w:val="0"/>
        <w:adjustRightInd/>
        <w:snapToGrid/>
        <w:spacing w:before="157" w:beforeLines="50" w:after="157" w:afterLines="50" w:line="480" w:lineRule="auto"/>
        <w:jc w:val="center"/>
        <w:textAlignment w:val="auto"/>
        <w:rPr>
          <w:rFonts w:hint="eastAsia" w:ascii="宋体" w:hAnsi="宋体" w:eastAsia="宋体"/>
          <w:b/>
          <w:bCs/>
          <w:color w:val="auto"/>
          <w:kern w:val="2"/>
          <w:sz w:val="40"/>
          <w:szCs w:val="40"/>
        </w:rPr>
      </w:pPr>
      <w:r>
        <w:rPr>
          <w:rFonts w:hint="eastAsia" w:ascii="宋体" w:hAnsi="宋体" w:eastAsia="宋体"/>
          <w:b/>
          <w:bCs/>
          <w:color w:val="auto"/>
          <w:kern w:val="2"/>
          <w:sz w:val="40"/>
          <w:szCs w:val="40"/>
        </w:rPr>
        <w:t>总体规划（2023—2035年）（修订）</w:t>
      </w:r>
    </w:p>
    <w:p w14:paraId="21CE8A82">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textAlignment w:val="auto"/>
        <w:rPr>
          <w:rFonts w:hint="eastAsia" w:asciiTheme="majorEastAsia" w:hAnsiTheme="majorEastAsia" w:eastAsiaTheme="majorEastAsia" w:cstheme="majorEastAsia"/>
          <w:sz w:val="28"/>
          <w:szCs w:val="28"/>
          <w:lang w:eastAsia="zh-CN"/>
        </w:rPr>
      </w:pPr>
      <w:bookmarkStart w:id="0" w:name="_Toc151071730"/>
      <w:r>
        <w:rPr>
          <w:rFonts w:hint="eastAsia" w:asciiTheme="majorEastAsia" w:hAnsiTheme="majorEastAsia" w:eastAsiaTheme="majorEastAsia" w:cstheme="majorEastAsia"/>
          <w:sz w:val="28"/>
          <w:szCs w:val="28"/>
          <w:lang w:eastAsia="zh-CN"/>
        </w:rPr>
        <w:t>一、规划编制背景</w:t>
      </w:r>
      <w:bookmarkEnd w:id="0"/>
    </w:p>
    <w:p w14:paraId="7BF0EE81">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2017年12月，福建省人民政府批复同意泉州市整合晋江集成电路产业园区、南安高新技术产业园区及安溪湖头光电产业园区，设立省级高新技术产业园区，定名为“泉州半导体高新技术产业园区”。原《福建（泉州）半导体高新技术产业园区总体规划（2017—2025）》由泉州市发展和改革委员会组织编制，并经泉州市人民政府批准实施。</w:t>
      </w:r>
    </w:p>
    <w:p w14:paraId="6606047D">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版总规实施六年来，伴随社会经济快速发展及国土空间规划体系深化落地，各园区发展条件发生显著变化。当前，泉州市产业结构优化升级及战略定位调整对高新区提出更高要求，需进一步强化其作为战略性新兴产业核心载体的功能。为适应新发展需求，泉州半导体高新技术产业园区管理委员会组织开展本次规划修订工作。</w:t>
      </w:r>
    </w:p>
    <w:p w14:paraId="7B587752">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二、规划范围与期限</w:t>
      </w:r>
    </w:p>
    <w:p w14:paraId="4F5F53D0">
      <w:pPr>
        <w:snapToGrid w:val="0"/>
        <w:ind w:firstLine="480" w:firstLineChars="20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1.规划范围</w:t>
      </w:r>
    </w:p>
    <w:p w14:paraId="220CFD33">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本次规划范围以福建省人民政府批复的省级高新区范围为准，总面积 14.8 平方公里，涵盖晋江分园区、南安分园区及安溪分园区。</w:t>
      </w:r>
    </w:p>
    <w:p w14:paraId="44160EA8">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晋江分园区规划面积604.78公顷，包括科学园、工业园和设计园。其中，科学园147.05公顷，工业园420.29公顷，设计园37.44公顷；南安分园区规划面积661.43公顷，共三个地块；安溪分园区规划面积214.70公顷。</w:t>
      </w:r>
    </w:p>
    <w:p w14:paraId="093140B5">
      <w:pPr>
        <w:snapToGrid w:val="0"/>
        <w:ind w:firstLine="480" w:firstLineChars="20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2.规划范围</w:t>
      </w:r>
    </w:p>
    <w:p w14:paraId="50B37E0D">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本次规划期限为2023—2035年，其中近期为2023—2028年，远期为2029—2035年。</w:t>
      </w:r>
    </w:p>
    <w:p w14:paraId="49D1FF05">
      <w:pPr>
        <w:snapToGrid w:val="0"/>
        <w:jc w:val="center"/>
        <w:rPr>
          <w:rFonts w:hint="eastAsia" w:asciiTheme="minorEastAsia" w:hAnsiTheme="minorEastAsia" w:eastAsiaTheme="minorEastAsia" w:cstheme="minorEastAsia"/>
          <w:kern w:val="2"/>
          <w:sz w:val="24"/>
          <w:szCs w:val="24"/>
          <w:lang w:val="en-US" w:eastAsia="zh-CN" w:bidi="ar-SA"/>
        </w:rPr>
      </w:pPr>
    </w:p>
    <w:p w14:paraId="27C1FFD5">
      <w:pPr>
        <w:snapToGrid w:val="0"/>
        <w:jc w:val="center"/>
        <w:rPr>
          <w:rFonts w:hint="eastAsia" w:asciiTheme="minorEastAsia" w:hAnsiTheme="minorEastAsia" w:eastAsiaTheme="minorEastAsia" w:cstheme="minorEastAsia"/>
          <w:kern w:val="2"/>
          <w:sz w:val="24"/>
          <w:szCs w:val="24"/>
          <w:lang w:val="en-US" w:eastAsia="zh-CN" w:bidi="ar-SA"/>
        </w:rPr>
      </w:pPr>
    </w:p>
    <w:p w14:paraId="2BBE5AF8">
      <w:pPr>
        <w:snapToGrid w:val="0"/>
        <w:jc w:val="center"/>
        <w:rPr>
          <w:rFonts w:hint="eastAsia" w:asciiTheme="minorEastAsia" w:hAnsiTheme="minorEastAsia" w:eastAsiaTheme="minorEastAsia" w:cstheme="minorEastAsia"/>
          <w:kern w:val="2"/>
          <w:sz w:val="24"/>
          <w:szCs w:val="24"/>
          <w:lang w:val="en-US" w:eastAsia="zh-CN" w:bidi="ar-SA"/>
        </w:rPr>
      </w:pPr>
    </w:p>
    <w:p w14:paraId="789710D1">
      <w:pPr>
        <w:snapToGrid w:val="0"/>
        <w:jc w:val="center"/>
        <w:rPr>
          <w:rFonts w:hint="eastAsia" w:asciiTheme="minorEastAsia" w:hAnsiTheme="minorEastAsia" w:eastAsiaTheme="minorEastAsia" w:cstheme="minorEastAsia"/>
          <w:kern w:val="2"/>
          <w:sz w:val="24"/>
          <w:szCs w:val="24"/>
          <w:lang w:val="en-US" w:eastAsia="zh-CN" w:bidi="ar-SA"/>
        </w:rPr>
      </w:pPr>
    </w:p>
    <w:p w14:paraId="00AF9E8E">
      <w:pPr>
        <w:snapToGrid w:val="0"/>
        <w:jc w:val="center"/>
        <w:rPr>
          <w:rFonts w:hint="eastAsia" w:asciiTheme="minorEastAsia" w:hAnsiTheme="minorEastAsia" w:eastAsiaTheme="minorEastAsia" w:cstheme="minorEastAsia"/>
          <w:kern w:val="2"/>
          <w:sz w:val="24"/>
          <w:szCs w:val="24"/>
          <w:lang w:val="en-US" w:eastAsia="zh-CN" w:bidi="ar-SA"/>
        </w:rPr>
      </w:pPr>
    </w:p>
    <w:p w14:paraId="030B390B">
      <w:pPr>
        <w:snapToGrid w:val="0"/>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drawing>
          <wp:inline distT="0" distB="0" distL="114300" distR="114300">
            <wp:extent cx="5263515" cy="7451725"/>
            <wp:effectExtent l="0" t="0" r="13335" b="15875"/>
            <wp:docPr id="1" name="图片 1" descr="02园区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园区区位图"/>
                    <pic:cNvPicPr>
                      <a:picLocks noChangeAspect="1"/>
                    </pic:cNvPicPr>
                  </pic:nvPicPr>
                  <pic:blipFill>
                    <a:blip r:embed="rId6"/>
                    <a:stretch>
                      <a:fillRect/>
                    </a:stretch>
                  </pic:blipFill>
                  <pic:spPr>
                    <a:xfrm>
                      <a:off x="0" y="0"/>
                      <a:ext cx="5263515" cy="7451725"/>
                    </a:xfrm>
                    <a:prstGeom prst="rect">
                      <a:avLst/>
                    </a:prstGeom>
                  </pic:spPr>
                </pic:pic>
              </a:graphicData>
            </a:graphic>
          </wp:inline>
        </w:drawing>
      </w:r>
    </w:p>
    <w:p w14:paraId="78DB0EF5">
      <w:pP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br w:type="page"/>
      </w:r>
    </w:p>
    <w:p w14:paraId="5E57A3E4">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eastAsia" w:asciiTheme="majorEastAsia" w:hAnsiTheme="majorEastAsia" w:eastAsiaTheme="majorEastAsia" w:cstheme="majorEastAsia"/>
          <w:sz w:val="28"/>
          <w:szCs w:val="28"/>
          <w:lang w:eastAsia="zh-CN"/>
        </w:rPr>
      </w:pPr>
    </w:p>
    <w:p w14:paraId="6588652E">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both"/>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drawing>
          <wp:inline distT="0" distB="0" distL="114300" distR="114300">
            <wp:extent cx="5263515" cy="7452360"/>
            <wp:effectExtent l="0" t="0" r="13335" b="15240"/>
            <wp:docPr id="3" name="图片 3" descr="04园区与城市产业发展格局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4园区与城市产业发展格局关系图"/>
                    <pic:cNvPicPr>
                      <a:picLocks noChangeAspect="1"/>
                    </pic:cNvPicPr>
                  </pic:nvPicPr>
                  <pic:blipFill>
                    <a:blip r:embed="rId7"/>
                    <a:stretch>
                      <a:fillRect/>
                    </a:stretch>
                  </pic:blipFill>
                  <pic:spPr>
                    <a:xfrm>
                      <a:off x="0" y="0"/>
                      <a:ext cx="5263515" cy="7452360"/>
                    </a:xfrm>
                    <a:prstGeom prst="rect">
                      <a:avLst/>
                    </a:prstGeom>
                  </pic:spPr>
                </pic:pic>
              </a:graphicData>
            </a:graphic>
          </wp:inline>
        </w:drawing>
      </w:r>
    </w:p>
    <w:p w14:paraId="3B98E4EF">
      <w:pP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br w:type="page"/>
      </w:r>
    </w:p>
    <w:p w14:paraId="2D730441">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三、规划定位与目标</w:t>
      </w:r>
    </w:p>
    <w:p w14:paraId="734F4FCF">
      <w:pPr>
        <w:snapToGrid w:val="0"/>
        <w:ind w:firstLine="480" w:firstLineChars="20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1.规划定位</w:t>
      </w:r>
    </w:p>
    <w:p w14:paraId="06651C10">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①功能定位：</w:t>
      </w:r>
    </w:p>
    <w:p w14:paraId="44B47CEC">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国家半导体产业重要承载区，海峡两岸集成电路产业合作试验区，</w:t>
      </w:r>
    </w:p>
    <w:p w14:paraId="36CC4A62">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闽西南新质生产力发展引领区，泉州南翼新城产城融合样板区。</w:t>
      </w:r>
    </w:p>
    <w:p w14:paraId="2773EC3A">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高新区以海峡两岸集成电路产业合作试验区为战略依托，立足国家半导体产业区域分工布局，强化优势产业基础，着力承接国家半导体产业重大区域分工任务；聚焦新质生产力发展要求，发挥区域经济增长极作用，构建战略性新兴产业体系；依托临空经济协作区及泉厦科技创新走廊，深化跨区域协同创新机制，打造东南沿海半导体产业特色集聚区，形成“竞争力强、辐射力广、创新力优”的产业发展格局。</w:t>
      </w:r>
    </w:p>
    <w:p w14:paraId="7E0346EA">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②形象定位：省级高新技术产业园产城融合示范区。</w:t>
      </w:r>
    </w:p>
    <w:p w14:paraId="2D3B1EEA">
      <w:pPr>
        <w:snapToGrid w:val="0"/>
        <w:ind w:firstLine="480" w:firstLineChars="20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2.发展目标</w:t>
      </w:r>
    </w:p>
    <w:p w14:paraId="2BB5EC67">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总体发展目标：构建“生产富裕、生活美好、生态健康”的省级半导体高新技术产业园区。</w:t>
      </w:r>
    </w:p>
    <w:p w14:paraId="0EE8085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四、产业布局规划</w:t>
      </w:r>
    </w:p>
    <w:p w14:paraId="3E41EB6A">
      <w:pPr>
        <w:snapToGrid w:val="0"/>
        <w:ind w:firstLine="480" w:firstLineChars="20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1.产业发展导向</w:t>
      </w:r>
    </w:p>
    <w:p w14:paraId="38F8C7CA">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立足园区现有半导体产业基础，以强链延链为导向，顺应发展趋势布局战略性新兴产业，构建“1+2”产业发展格局。</w:t>
      </w:r>
    </w:p>
    <w:p w14:paraId="55CFDC6D">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“一大核心产业”：以半导体和集成电路为主导，重点发展半导体设计、半导体制造、半导体产业链配套，拓展新一代信息技术等半导体相关应用。</w:t>
      </w:r>
    </w:p>
    <w:p w14:paraId="59128436">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两大战略产业”：依托半导体产业优势，根据泉州市产业发展导向，重点发展高端装备制造、生命健康医疗及其相关应用领域。高端装备制造为半导体提供核心支撑，生命健康医疗拓展其应用场景，三者技术互补、场景互促、降低成本，完善园区产业生态，有效提升园区产业韧性与创新力。</w:t>
      </w:r>
    </w:p>
    <w:p w14:paraId="4DBEBD27">
      <w:pPr>
        <w:snapToGrid w:val="0"/>
        <w:ind w:firstLine="480" w:firstLineChars="20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2.产业发展规划</w:t>
      </w:r>
    </w:p>
    <w:p w14:paraId="1AE1DF09">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①晋江分园区：以半导体产业链为核心的新质生产力产业基地</w:t>
      </w:r>
    </w:p>
    <w:p w14:paraId="12B76293">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晋江分园区包括晋江科学园、晋江工业园及晋江设计园，规划重点发展以集</w:t>
      </w:r>
      <w:r>
        <w:rPr>
          <w:rFonts w:hint="eastAsia" w:asciiTheme="minorEastAsia" w:hAnsiTheme="minorEastAsia" w:eastAsiaTheme="minorEastAsia" w:cstheme="minorEastAsia"/>
          <w:kern w:val="2"/>
          <w:sz w:val="24"/>
          <w:szCs w:val="24"/>
          <w:lang w:val="en-US" w:eastAsia="zh-CN" w:bidi="ar-SA"/>
        </w:rPr>
        <w:drawing>
          <wp:anchor distT="0" distB="0" distL="114300" distR="114300" simplePos="0" relativeHeight="251659264" behindDoc="0" locked="0" layoutInCell="1" allowOverlap="1">
            <wp:simplePos x="0" y="0"/>
            <wp:positionH relativeFrom="column">
              <wp:posOffset>31750</wp:posOffset>
            </wp:positionH>
            <wp:positionV relativeFrom="paragraph">
              <wp:posOffset>1262380</wp:posOffset>
            </wp:positionV>
            <wp:extent cx="5263515" cy="7451725"/>
            <wp:effectExtent l="0" t="0" r="13335" b="15875"/>
            <wp:wrapTopAndBottom/>
            <wp:docPr id="4" name="图片 4" descr="06园区产业职能分工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6园区产业职能分工规划图"/>
                    <pic:cNvPicPr>
                      <a:picLocks noChangeAspect="1"/>
                    </pic:cNvPicPr>
                  </pic:nvPicPr>
                  <pic:blipFill>
                    <a:blip r:embed="rId8"/>
                    <a:stretch>
                      <a:fillRect/>
                    </a:stretch>
                  </pic:blipFill>
                  <pic:spPr>
                    <a:xfrm>
                      <a:off x="0" y="0"/>
                      <a:ext cx="5263515" cy="7451725"/>
                    </a:xfrm>
                    <a:prstGeom prst="rect">
                      <a:avLst/>
                    </a:prstGeom>
                  </pic:spPr>
                </pic:pic>
              </a:graphicData>
            </a:graphic>
          </wp:anchor>
        </w:drawing>
      </w:r>
      <w:r>
        <w:rPr>
          <w:rFonts w:hint="eastAsia" w:asciiTheme="minorEastAsia" w:hAnsiTheme="minorEastAsia" w:eastAsiaTheme="minorEastAsia" w:cstheme="minorEastAsia"/>
          <w:kern w:val="2"/>
          <w:sz w:val="24"/>
          <w:szCs w:val="24"/>
          <w:lang w:val="en-US" w:eastAsia="zh-CN" w:bidi="ar-SA"/>
        </w:rPr>
        <w:t>成电路为核心的新一代信息技术产业，着力打造从半导体材料、专用设备制造、集成电路设计、制造、封测到终端应用的集成电路全产业链。在此基础上，向高端装备制造产业、生命健康医疗（重点布局高端核医疗设备及技术应用、高性能医疗器械制造、生物医药制造产业）等半导体应用领域的新质产业拓展延伸，推动产业链纵向深化与横向融合，实现半导体产业的延链拓链，构建具有竞争力的产业生态体系。</w:t>
      </w:r>
    </w:p>
    <w:p w14:paraId="52E00F3C">
      <w:pPr>
        <w:snapToGrid w:val="0"/>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②南安分园区：以化合物半导体产业为核心的战略性新兴产业基地</w:t>
      </w:r>
    </w:p>
    <w:p w14:paraId="349C147D">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毗邻厦门大学翔安校区的人才优势，以三安半导体项目为龙头，发展以化合物半导体产业为核心的战略性新兴产业，适当延伸发展装备制造产业及有色金属回收冶炼等产业。构建涵盖半导体材料、专用设备制造、上下游相关联或配套及终端应用的全产业链体系；重点引入与半导体产业协同性强的制造装备项目，着力拓展AI人工智能、工业机器人、低空经济、先进医疗设备、新能源装备等半导体技术融合应用领域的高新技术产业；同时，合理布局有色金属回收冶炼及半导体循环经济等相关产业，促进资源高效利用，完善产业生态，增强园区可持续发展和综合竞争力。</w:t>
      </w:r>
    </w:p>
    <w:p w14:paraId="6567AE8D">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③安溪分园区：光电半导体全产业基地</w:t>
      </w:r>
    </w:p>
    <w:p w14:paraId="4BF00FC8">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依托园区现有的光</w:t>
      </w:r>
      <w:bookmarkStart w:id="2" w:name="_GoBack"/>
      <w:bookmarkEnd w:id="2"/>
      <w:r>
        <w:rPr>
          <w:rFonts w:hint="eastAsia" w:asciiTheme="minorEastAsia" w:hAnsiTheme="minorEastAsia" w:eastAsiaTheme="minorEastAsia" w:cstheme="minorEastAsia"/>
          <w:kern w:val="2"/>
          <w:sz w:val="24"/>
          <w:szCs w:val="24"/>
          <w:lang w:val="en-US" w:eastAsia="zh-CN" w:bidi="ar-SA"/>
        </w:rPr>
        <w:t>电半导体产业基础，吸引上下游龙头企业集聚和优势光电项目入驻，进一步扩大产业规模，联动官桥龙门现有半导体企业、县城三环路规划光电半导体企业总部及研发基地，形成龙头带动作用明显、全产业链协同发展的光电半导体产业集群，重点发展LED产业、光电显示、光电半导体及其配套应用产业。</w:t>
      </w:r>
    </w:p>
    <w:p w14:paraId="4A1AFF06">
      <w:pPr>
        <w:snapToGrid w:val="0"/>
        <w:spacing w:line="240" w:lineRule="auto"/>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表1  高新区半导体产业职能分工表</w:t>
      </w:r>
    </w:p>
    <w:tbl>
      <w:tblPr>
        <w:tblStyle w:val="7"/>
        <w:tblW w:w="51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678"/>
        <w:gridCol w:w="690"/>
        <w:gridCol w:w="1481"/>
        <w:gridCol w:w="5794"/>
      </w:tblGrid>
      <w:tr w14:paraId="0FE2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blHeader/>
        </w:trPr>
        <w:tc>
          <w:tcPr>
            <w:tcW w:w="791" w:type="pct"/>
            <w:gridSpan w:val="2"/>
            <w:vAlign w:val="center"/>
          </w:tcPr>
          <w:p w14:paraId="349A9026">
            <w:pPr>
              <w:snapToGrid w:val="0"/>
              <w:spacing w:line="276" w:lineRule="auto"/>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园区名称</w:t>
            </w:r>
          </w:p>
        </w:tc>
        <w:tc>
          <w:tcPr>
            <w:tcW w:w="857" w:type="pct"/>
            <w:vAlign w:val="center"/>
          </w:tcPr>
          <w:p w14:paraId="338B7209">
            <w:pPr>
              <w:snapToGrid w:val="0"/>
              <w:spacing w:line="276" w:lineRule="auto"/>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产业发展定位</w:t>
            </w:r>
          </w:p>
        </w:tc>
        <w:tc>
          <w:tcPr>
            <w:tcW w:w="3352" w:type="pct"/>
            <w:vAlign w:val="center"/>
          </w:tcPr>
          <w:p w14:paraId="63B0ADC7">
            <w:pPr>
              <w:snapToGrid w:val="0"/>
              <w:spacing w:line="276" w:lineRule="auto"/>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产业发展指引</w:t>
            </w:r>
          </w:p>
        </w:tc>
      </w:tr>
      <w:tr w14:paraId="620D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020" w:hRule="atLeast"/>
        </w:trPr>
        <w:tc>
          <w:tcPr>
            <w:tcW w:w="392" w:type="pct"/>
            <w:vMerge w:val="restart"/>
            <w:vAlign w:val="center"/>
          </w:tcPr>
          <w:p w14:paraId="65DAB099">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晋江分园区</w:t>
            </w:r>
          </w:p>
        </w:tc>
        <w:tc>
          <w:tcPr>
            <w:tcW w:w="399" w:type="pct"/>
            <w:vAlign w:val="center"/>
          </w:tcPr>
          <w:p w14:paraId="4488F7C4">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科学园</w:t>
            </w:r>
          </w:p>
        </w:tc>
        <w:tc>
          <w:tcPr>
            <w:tcW w:w="857" w:type="pct"/>
            <w:vAlign w:val="center"/>
          </w:tcPr>
          <w:p w14:paraId="1414F270">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以集成电路为核心的新一代信息技术产业基地</w:t>
            </w:r>
          </w:p>
        </w:tc>
        <w:tc>
          <w:tcPr>
            <w:tcW w:w="3352" w:type="pct"/>
            <w:tcMar>
              <w:left w:w="28" w:type="dxa"/>
            </w:tcMar>
            <w:vAlign w:val="center"/>
          </w:tcPr>
          <w:p w14:paraId="277D8C13">
            <w:pPr>
              <w:snapToGrid w:val="0"/>
              <w:spacing w:line="276"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1.核心产业：集成电路为核心的新一代信息技术</w:t>
            </w:r>
          </w:p>
          <w:p w14:paraId="519231DC">
            <w:pPr>
              <w:snapToGrid w:val="0"/>
              <w:spacing w:line="276"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①半导体和集成电路产业</w:t>
            </w:r>
          </w:p>
          <w:p w14:paraId="4DD624CD">
            <w:pPr>
              <w:snapToGrid w:val="0"/>
              <w:spacing w:after="120" w:afterLines="50" w:line="276"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龙头企业晋华（晶圆制造）、渠梁（封装测试）为引领，发展龙头企业的上下游产业及相关配套产业（含半导体产业配套服务），结合芯智造产业园进行强链补链。</w:t>
            </w:r>
          </w:p>
          <w:p w14:paraId="649D599E">
            <w:pPr>
              <w:snapToGrid w:val="0"/>
              <w:spacing w:line="276"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②新一代信息</w:t>
            </w:r>
            <w:r>
              <w:rPr>
                <w:rFonts w:hint="eastAsia" w:asciiTheme="minorEastAsia" w:hAnsiTheme="minorEastAsia" w:eastAsiaTheme="minorEastAsia" w:cstheme="minorEastAsia"/>
                <w:b/>
                <w:bCs/>
                <w:color w:val="auto"/>
                <w:kern w:val="0"/>
                <w:sz w:val="20"/>
                <w:szCs w:val="21"/>
              </w:rPr>
              <w:t>技术</w:t>
            </w:r>
            <w:r>
              <w:rPr>
                <w:rFonts w:hint="eastAsia" w:asciiTheme="minorEastAsia" w:hAnsiTheme="minorEastAsia" w:eastAsiaTheme="minorEastAsia" w:cstheme="minorEastAsia"/>
                <w:b/>
                <w:bCs/>
                <w:kern w:val="0"/>
                <w:sz w:val="20"/>
                <w:szCs w:val="21"/>
              </w:rPr>
              <w:t>产业</w:t>
            </w:r>
          </w:p>
          <w:p w14:paraId="7B8FA4CB">
            <w:pPr>
              <w:snapToGrid w:val="0"/>
              <w:spacing w:line="276"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0"/>
                <w:szCs w:val="21"/>
              </w:rPr>
              <w:t>以集成电路为核心，向智能终端、新型元器件、人工智能等新一代信息技术产业延伸。</w:t>
            </w:r>
          </w:p>
        </w:tc>
      </w:tr>
      <w:tr w14:paraId="620B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392" w:type="pct"/>
            <w:vMerge w:val="continue"/>
            <w:vAlign w:val="center"/>
          </w:tcPr>
          <w:p w14:paraId="54301B84">
            <w:pPr>
              <w:snapToGrid w:val="0"/>
              <w:spacing w:line="276" w:lineRule="auto"/>
              <w:jc w:val="center"/>
              <w:rPr>
                <w:rFonts w:hint="eastAsia" w:asciiTheme="minorEastAsia" w:hAnsiTheme="minorEastAsia" w:eastAsiaTheme="minorEastAsia" w:cstheme="minorEastAsia"/>
                <w:szCs w:val="21"/>
              </w:rPr>
            </w:pPr>
          </w:p>
        </w:tc>
        <w:tc>
          <w:tcPr>
            <w:tcW w:w="399" w:type="pct"/>
            <w:vAlign w:val="center"/>
          </w:tcPr>
          <w:p w14:paraId="0CC29D5A">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工业园</w:t>
            </w:r>
          </w:p>
        </w:tc>
        <w:tc>
          <w:tcPr>
            <w:tcW w:w="857" w:type="pct"/>
            <w:vAlign w:val="center"/>
          </w:tcPr>
          <w:p w14:paraId="0D9E0203">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0"/>
                <w:sz w:val="20"/>
                <w:szCs w:val="21"/>
              </w:rPr>
              <w:t>以半导体产业为核心的</w:t>
            </w:r>
            <w:bookmarkStart w:id="1" w:name="OLE_LINK1"/>
            <w:r>
              <w:rPr>
                <w:rFonts w:hint="eastAsia" w:asciiTheme="minorEastAsia" w:hAnsiTheme="minorEastAsia" w:eastAsiaTheme="minorEastAsia" w:cstheme="minorEastAsia"/>
                <w:color w:val="auto"/>
                <w:kern w:val="0"/>
                <w:sz w:val="20"/>
                <w:szCs w:val="21"/>
              </w:rPr>
              <w:t>新质生产力</w:t>
            </w:r>
            <w:bookmarkEnd w:id="1"/>
            <w:r>
              <w:rPr>
                <w:rFonts w:hint="eastAsia" w:asciiTheme="minorEastAsia" w:hAnsiTheme="minorEastAsia" w:eastAsiaTheme="minorEastAsia" w:cstheme="minorEastAsia"/>
                <w:color w:val="auto"/>
                <w:kern w:val="0"/>
                <w:sz w:val="20"/>
                <w:szCs w:val="21"/>
              </w:rPr>
              <w:t>发展基地</w:t>
            </w:r>
          </w:p>
          <w:p w14:paraId="2E9019EE">
            <w:pPr>
              <w:snapToGrid w:val="0"/>
              <w:spacing w:line="276" w:lineRule="auto"/>
              <w:jc w:val="center"/>
              <w:rPr>
                <w:rFonts w:hint="eastAsia" w:asciiTheme="minorEastAsia" w:hAnsiTheme="minorEastAsia" w:eastAsiaTheme="minorEastAsia" w:cstheme="minorEastAsia"/>
                <w:szCs w:val="21"/>
              </w:rPr>
            </w:pPr>
          </w:p>
        </w:tc>
        <w:tc>
          <w:tcPr>
            <w:tcW w:w="3352" w:type="pct"/>
            <w:tcMar>
              <w:left w:w="28" w:type="dxa"/>
            </w:tcMar>
            <w:vAlign w:val="center"/>
          </w:tcPr>
          <w:p w14:paraId="34A6BCF7">
            <w:pPr>
              <w:snapToGrid/>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1.核心产业：集成电路为核心的新一代信息技术</w:t>
            </w:r>
          </w:p>
          <w:p w14:paraId="63436CD8">
            <w:pPr>
              <w:snapToGrid/>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①半导体和集成电路产业</w:t>
            </w:r>
          </w:p>
          <w:p w14:paraId="4D034836">
            <w:pPr>
              <w:snapToGrid/>
              <w:spacing w:after="0" w:afterLines="-2147483648" w:line="240"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上延下拓材料、封装测试、设备制造及零部件、配套服务及终端应用，引入上下游及相关配套产业，发展打造半导体全产业链基地。</w:t>
            </w:r>
          </w:p>
          <w:p w14:paraId="4DB9D8E8">
            <w:pPr>
              <w:snapToGrid/>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②新一代信息技术产业</w:t>
            </w:r>
          </w:p>
          <w:p w14:paraId="1287BD4A">
            <w:pPr>
              <w:snapToGrid/>
              <w:spacing w:after="0" w:afterLines="-2147483648" w:line="240"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布局智能终端、工业互联网、5G、云计算、大数据、高端通用软件、人工智能等新一代信息技术产业。</w:t>
            </w:r>
          </w:p>
          <w:p w14:paraId="13BED757">
            <w:pPr>
              <w:snapToGrid/>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2.战略产业：生命健康医疗</w:t>
            </w:r>
          </w:p>
          <w:p w14:paraId="052E6B3F">
            <w:pPr>
              <w:snapToGrid/>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①核医疗产业</w:t>
            </w:r>
          </w:p>
          <w:p w14:paraId="4D1C997F">
            <w:pPr>
              <w:snapToGrid/>
              <w:spacing w:after="0" w:afterLines="-2147483648"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kern w:val="0"/>
                <w:sz w:val="20"/>
                <w:szCs w:val="21"/>
              </w:rPr>
              <w:t>布局核医疗装备及零部件、高端核探测检测、核辐照装备制造、医用同位素与核药、相关配套服务等产业。</w:t>
            </w:r>
          </w:p>
          <w:p w14:paraId="729F6195">
            <w:pPr>
              <w:snapToGrid/>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②生物医药产业</w:t>
            </w:r>
          </w:p>
          <w:p w14:paraId="70AD2C6F">
            <w:pPr>
              <w:snapToGrid/>
              <w:spacing w:after="0" w:afterLines="-2147483648" w:line="240"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发展新型疫苗、基因工程药物、细胞与基因治疗、合成生物等生物技术，打通基础研究到临床应用的链路，加速产业链协同发展。</w:t>
            </w:r>
          </w:p>
          <w:p w14:paraId="2FF38F1C">
            <w:pPr>
              <w:snapToGrid/>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3.战略产业：高端装备制造</w:t>
            </w:r>
          </w:p>
          <w:p w14:paraId="5356D6E7">
            <w:pPr>
              <w:snapToGrid/>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①智能制造产业</w:t>
            </w:r>
          </w:p>
          <w:p w14:paraId="57D2C012">
            <w:pPr>
              <w:snapToGrid/>
              <w:spacing w:after="0" w:afterLines="-2147483648" w:line="240"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涵盖智能装备、智能机器人与增材设备制造、智能测控装备制造等多方面领域。</w:t>
            </w:r>
          </w:p>
          <w:p w14:paraId="7AC300D2">
            <w:pPr>
              <w:snapToGrid/>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②医疗器械制造产业</w:t>
            </w:r>
          </w:p>
          <w:p w14:paraId="551A2BA4">
            <w:pPr>
              <w:snapToGrid/>
              <w:spacing w:after="0" w:afterLines="-2147483648" w:line="24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0"/>
                <w:szCs w:val="21"/>
              </w:rPr>
              <w:t>发展智能医疗设备、高性能医用耗材、医用合成高分子材料等高性能医疗器械制造。</w:t>
            </w:r>
          </w:p>
        </w:tc>
      </w:tr>
      <w:tr w14:paraId="0DDE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trPr>
        <w:tc>
          <w:tcPr>
            <w:tcW w:w="392" w:type="pct"/>
            <w:vMerge w:val="continue"/>
            <w:vAlign w:val="center"/>
          </w:tcPr>
          <w:p w14:paraId="012BAF19">
            <w:pPr>
              <w:snapToGrid w:val="0"/>
              <w:spacing w:line="276" w:lineRule="auto"/>
              <w:jc w:val="center"/>
              <w:rPr>
                <w:rFonts w:hint="eastAsia" w:asciiTheme="minorEastAsia" w:hAnsiTheme="minorEastAsia" w:eastAsiaTheme="minorEastAsia" w:cstheme="minorEastAsia"/>
                <w:szCs w:val="21"/>
              </w:rPr>
            </w:pPr>
          </w:p>
        </w:tc>
        <w:tc>
          <w:tcPr>
            <w:tcW w:w="399" w:type="pct"/>
            <w:vAlign w:val="center"/>
          </w:tcPr>
          <w:p w14:paraId="027EE565">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设计园</w:t>
            </w:r>
          </w:p>
        </w:tc>
        <w:tc>
          <w:tcPr>
            <w:tcW w:w="857" w:type="pct"/>
            <w:vAlign w:val="center"/>
          </w:tcPr>
          <w:p w14:paraId="088D3F73">
            <w:pPr>
              <w:spacing w:line="240" w:lineRule="auto"/>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以集成电路研发及设计为核心的国家级双创示范基地</w:t>
            </w:r>
          </w:p>
        </w:tc>
        <w:tc>
          <w:tcPr>
            <w:tcW w:w="3352" w:type="pct"/>
            <w:tcMar>
              <w:left w:w="28" w:type="dxa"/>
            </w:tcMar>
            <w:vAlign w:val="center"/>
          </w:tcPr>
          <w:p w14:paraId="0AA9A6E0">
            <w:pPr>
              <w:spacing w:after="120" w:afterLines="50" w:line="276" w:lineRule="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重点发展研发及集成电路设计产业</w:t>
            </w:r>
            <w:r>
              <w:rPr>
                <w:rFonts w:hint="eastAsia" w:asciiTheme="minorEastAsia" w:hAnsiTheme="minorEastAsia" w:eastAsiaTheme="minorEastAsia" w:cstheme="minorEastAsia"/>
                <w:szCs w:val="21"/>
              </w:rPr>
              <w:t>，打造DRAM及集成电路建设核心技术研发中心、人才培育中心和设计公共服务平台、专业研究院所和创新孵化平台，完善存储器及集成电路产业链布局。</w:t>
            </w:r>
          </w:p>
        </w:tc>
      </w:tr>
      <w:tr w14:paraId="77FF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7" w:hRule="atLeast"/>
        </w:trPr>
        <w:tc>
          <w:tcPr>
            <w:tcW w:w="791" w:type="pct"/>
            <w:gridSpan w:val="2"/>
            <w:vAlign w:val="center"/>
          </w:tcPr>
          <w:p w14:paraId="2A24E3B2">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南安分园区</w:t>
            </w:r>
          </w:p>
        </w:tc>
        <w:tc>
          <w:tcPr>
            <w:tcW w:w="857" w:type="pct"/>
            <w:vAlign w:val="center"/>
          </w:tcPr>
          <w:p w14:paraId="4B8363BB">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以化合物半导体产业为核心的战略性新兴产业基地</w:t>
            </w:r>
          </w:p>
        </w:tc>
        <w:tc>
          <w:tcPr>
            <w:tcW w:w="3352" w:type="pct"/>
            <w:tcMar>
              <w:left w:w="28" w:type="dxa"/>
            </w:tcMar>
            <w:vAlign w:val="center"/>
          </w:tcPr>
          <w:p w14:paraId="1BCD11F8">
            <w:pPr>
              <w:spacing w:line="240" w:lineRule="auto"/>
              <w:rPr>
                <w:rFonts w:hint="eastAsia" w:asciiTheme="minorEastAsia" w:hAnsiTheme="minorEastAsia" w:eastAsiaTheme="minorEastAsia" w:cstheme="minorEastAsia"/>
                <w:b/>
                <w:bCs/>
                <w:color w:val="auto"/>
                <w:kern w:val="0"/>
                <w:sz w:val="20"/>
                <w:szCs w:val="21"/>
              </w:rPr>
            </w:pPr>
            <w:r>
              <w:rPr>
                <w:rFonts w:hint="eastAsia" w:asciiTheme="minorEastAsia" w:hAnsiTheme="minorEastAsia" w:eastAsiaTheme="minorEastAsia" w:cstheme="minorEastAsia"/>
                <w:b/>
                <w:bCs/>
                <w:kern w:val="0"/>
                <w:sz w:val="20"/>
                <w:szCs w:val="21"/>
              </w:rPr>
              <w:t>1.核心产业：</w:t>
            </w:r>
            <w:r>
              <w:rPr>
                <w:rFonts w:hint="eastAsia" w:asciiTheme="minorEastAsia" w:hAnsiTheme="minorEastAsia" w:eastAsiaTheme="minorEastAsia" w:cstheme="minorEastAsia"/>
                <w:b/>
                <w:bCs/>
                <w:color w:val="auto"/>
                <w:kern w:val="0"/>
                <w:sz w:val="20"/>
                <w:szCs w:val="21"/>
              </w:rPr>
              <w:t>化合物半导体产业</w:t>
            </w:r>
          </w:p>
          <w:p w14:paraId="6B372CB1">
            <w:pPr>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①半导体产业</w:t>
            </w:r>
          </w:p>
          <w:p w14:paraId="21031DBA">
            <w:pPr>
              <w:spacing w:after="0" w:afterLines="-2147483648" w:line="240"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以三安半导体项目为龙头，上延下拓半导体材料、半导体设备、半导体制造的上下游等相关配套产业。</w:t>
            </w:r>
          </w:p>
          <w:p w14:paraId="503F62C9">
            <w:pPr>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②有色金属回收冶炼产业</w:t>
            </w:r>
          </w:p>
          <w:p w14:paraId="6AB0478B">
            <w:pPr>
              <w:spacing w:after="0" w:afterLines="-2147483648"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kern w:val="0"/>
                <w:sz w:val="20"/>
                <w:szCs w:val="21"/>
              </w:rPr>
              <w:t>延伸半导体产业链，充分利用半导体产业废料，配套有色金属回收冶炼相关产业，搭建园区内的“废料</w:t>
            </w:r>
            <w:r>
              <w:rPr>
                <w:rFonts w:hint="eastAsia" w:asciiTheme="minorEastAsia" w:hAnsiTheme="minorEastAsia" w:eastAsiaTheme="minorEastAsia" w:cstheme="minorEastAsia"/>
                <w:kern w:val="0"/>
                <w:sz w:val="20"/>
                <w:szCs w:val="21"/>
                <w:lang w:eastAsia="zh-CN"/>
              </w:rPr>
              <w:t>－</w:t>
            </w:r>
            <w:r>
              <w:rPr>
                <w:rFonts w:hint="eastAsia" w:asciiTheme="minorEastAsia" w:hAnsiTheme="minorEastAsia" w:eastAsiaTheme="minorEastAsia" w:cstheme="minorEastAsia"/>
                <w:kern w:val="0"/>
                <w:sz w:val="20"/>
                <w:szCs w:val="21"/>
              </w:rPr>
              <w:t>回收</w:t>
            </w:r>
            <w:r>
              <w:rPr>
                <w:rFonts w:hint="eastAsia" w:asciiTheme="minorEastAsia" w:hAnsiTheme="minorEastAsia" w:eastAsiaTheme="minorEastAsia" w:cstheme="minorEastAsia"/>
                <w:kern w:val="0"/>
                <w:sz w:val="20"/>
                <w:szCs w:val="21"/>
                <w:lang w:eastAsia="zh-CN"/>
              </w:rPr>
              <w:t>－</w:t>
            </w:r>
            <w:r>
              <w:rPr>
                <w:rFonts w:hint="eastAsia" w:asciiTheme="minorEastAsia" w:hAnsiTheme="minorEastAsia" w:eastAsiaTheme="minorEastAsia" w:cstheme="minorEastAsia"/>
                <w:kern w:val="0"/>
                <w:sz w:val="20"/>
                <w:szCs w:val="21"/>
              </w:rPr>
              <w:t>提纯</w:t>
            </w:r>
            <w:r>
              <w:rPr>
                <w:rFonts w:hint="eastAsia" w:asciiTheme="minorEastAsia" w:hAnsiTheme="minorEastAsia" w:eastAsiaTheme="minorEastAsia" w:cstheme="minorEastAsia"/>
                <w:kern w:val="0"/>
                <w:sz w:val="20"/>
                <w:szCs w:val="21"/>
                <w:lang w:eastAsia="zh-CN"/>
              </w:rPr>
              <w:t>－</w:t>
            </w:r>
            <w:r>
              <w:rPr>
                <w:rFonts w:hint="eastAsia" w:asciiTheme="minorEastAsia" w:hAnsiTheme="minorEastAsia" w:eastAsiaTheme="minorEastAsia" w:cstheme="minorEastAsia"/>
                <w:kern w:val="0"/>
                <w:sz w:val="20"/>
                <w:szCs w:val="21"/>
              </w:rPr>
              <w:t>再供应”闭环，发展半导体循环经济产业。</w:t>
            </w:r>
          </w:p>
          <w:p w14:paraId="4B67CD7A">
            <w:pPr>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2.战略产业：装备制造产业</w:t>
            </w:r>
          </w:p>
          <w:p w14:paraId="169B8DFF">
            <w:pPr>
              <w:spacing w:after="0" w:afterLines="-2147483648" w:line="240"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b/>
                <w:bCs/>
                <w:kern w:val="0"/>
                <w:sz w:val="20"/>
                <w:szCs w:val="21"/>
              </w:rPr>
              <w:t>①智能制造装备产业</w:t>
            </w:r>
            <w:r>
              <w:rPr>
                <w:rFonts w:hint="eastAsia" w:asciiTheme="minorEastAsia" w:hAnsiTheme="minorEastAsia" w:eastAsiaTheme="minorEastAsia" w:cstheme="minorEastAsia"/>
                <w:b/>
                <w:bCs/>
                <w:kern w:val="0"/>
                <w:sz w:val="20"/>
                <w:szCs w:val="21"/>
              </w:rPr>
              <w:br w:type="textWrapping"/>
            </w:r>
            <w:r>
              <w:rPr>
                <w:rFonts w:hint="eastAsia" w:asciiTheme="minorEastAsia" w:hAnsiTheme="minorEastAsia" w:eastAsiaTheme="minorEastAsia" w:cstheme="minorEastAsia"/>
                <w:kern w:val="0"/>
                <w:sz w:val="20"/>
                <w:szCs w:val="21"/>
              </w:rPr>
              <w:t>布局工业机器人、AI人工智能硬件制造及集成等智能制造装备产业及相关材料。</w:t>
            </w:r>
          </w:p>
          <w:p w14:paraId="5E16D4D5">
            <w:pPr>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②低空经济设备制造产业</w:t>
            </w:r>
          </w:p>
          <w:p w14:paraId="47D0EDEE">
            <w:pPr>
              <w:spacing w:after="0" w:afterLines="-2147483648" w:line="240"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发展卫星通信系统、无人机、飞行器及低空配套设施等低空经济产业及相关材料。</w:t>
            </w:r>
          </w:p>
          <w:p w14:paraId="52DC3ABD">
            <w:pPr>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③先进医疗设备及器械制造产业</w:t>
            </w:r>
          </w:p>
          <w:p w14:paraId="4A1BA156">
            <w:pPr>
              <w:spacing w:after="0" w:afterLines="-2147483648" w:line="240"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布局影像诊断、手术机器人等高端诊断、治疗、监护、康复全产业医疗设备</w:t>
            </w:r>
          </w:p>
          <w:p w14:paraId="3663570C">
            <w:pPr>
              <w:spacing w:line="240"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④新能源装备制造产业</w:t>
            </w:r>
          </w:p>
          <w:p w14:paraId="40A2B651">
            <w:pPr>
              <w:spacing w:after="0" w:afterLines="-2147483648"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sz w:val="20"/>
                <w:szCs w:val="21"/>
              </w:rPr>
              <w:t>前瞻布局太阳能、生物能、氢能、新一代储能电池等新能源装备制造等产业。</w:t>
            </w:r>
          </w:p>
        </w:tc>
      </w:tr>
      <w:tr w14:paraId="7694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7" w:hRule="atLeast"/>
        </w:trPr>
        <w:tc>
          <w:tcPr>
            <w:tcW w:w="791" w:type="pct"/>
            <w:gridSpan w:val="2"/>
            <w:vAlign w:val="center"/>
          </w:tcPr>
          <w:p w14:paraId="4700C150">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安溪分园区</w:t>
            </w:r>
          </w:p>
        </w:tc>
        <w:tc>
          <w:tcPr>
            <w:tcW w:w="857" w:type="pct"/>
            <w:vAlign w:val="center"/>
          </w:tcPr>
          <w:p w14:paraId="0D140E08">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光电半导体</w:t>
            </w:r>
          </w:p>
          <w:p w14:paraId="57E48BBE">
            <w:pPr>
              <w:snapToGrid w:val="0"/>
              <w:spacing w:line="276"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全产业基地</w:t>
            </w:r>
          </w:p>
        </w:tc>
        <w:tc>
          <w:tcPr>
            <w:tcW w:w="3352" w:type="pct"/>
            <w:tcMar>
              <w:left w:w="28" w:type="dxa"/>
            </w:tcMar>
            <w:vAlign w:val="center"/>
          </w:tcPr>
          <w:p w14:paraId="23DCEE95">
            <w:pPr>
              <w:snapToGrid w:val="0"/>
              <w:spacing w:line="276"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b/>
                <w:bCs/>
                <w:kern w:val="0"/>
                <w:sz w:val="20"/>
                <w:szCs w:val="21"/>
              </w:rPr>
              <w:t>1.核心产业：光电半导体产业</w:t>
            </w:r>
          </w:p>
          <w:p w14:paraId="17FEFA13">
            <w:pPr>
              <w:spacing w:line="276"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①LED全产业链</w:t>
            </w:r>
          </w:p>
          <w:p w14:paraId="6A36C621">
            <w:pPr>
              <w:snapToGrid w:val="0"/>
              <w:spacing w:after="120" w:afterLines="50" w:line="276"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进一步强链延链补链，上延下拓材料、设备、LED制造等上下游相关配套产业和应用项目，重点发展紫外芯片、红外芯片等核心产品。</w:t>
            </w:r>
          </w:p>
          <w:p w14:paraId="0BBD259B">
            <w:pPr>
              <w:snapToGrid w:val="0"/>
              <w:spacing w:line="276"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②光电显示产业</w:t>
            </w:r>
          </w:p>
          <w:p w14:paraId="23FFC89D">
            <w:pPr>
              <w:snapToGrid w:val="0"/>
              <w:spacing w:after="120" w:afterLines="50" w:line="276" w:lineRule="auto"/>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协同厦门布局光电显示产业，以Mini、Micro、LED 为核心，引进上游关键配套材料，拓展车载显示、智能穿戴、智能家居、AR、VR等下游应用。</w:t>
            </w:r>
          </w:p>
          <w:p w14:paraId="6495EE48">
            <w:pPr>
              <w:snapToGrid w:val="0"/>
              <w:spacing w:line="276" w:lineRule="auto"/>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③光电半导体及其配套应用产业</w:t>
            </w:r>
          </w:p>
          <w:p w14:paraId="04E91EC1">
            <w:pPr>
              <w:snapToGrid w:val="0"/>
              <w:spacing w:after="120" w:afterLines="50" w:line="276"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0"/>
                <w:szCs w:val="21"/>
              </w:rPr>
              <w:t>涵盖光通讯、传感器、智能监控、激光产业、光电元器件、精密光学等领域，推动新一代信息技术产业拓展，优化产业布局。</w:t>
            </w:r>
          </w:p>
        </w:tc>
      </w:tr>
    </w:tbl>
    <w:p w14:paraId="3E96D692">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五、园区空间结构</w:t>
      </w:r>
    </w:p>
    <w:p w14:paraId="4990A9EF">
      <w:pPr>
        <w:snapToGrid w:val="0"/>
        <w:ind w:firstLine="480" w:firstLineChars="20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1.晋江分园区—科学园</w:t>
      </w:r>
    </w:p>
    <w:p w14:paraId="1860CBBA">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规划结构为“一核、两轴、三组团”。</w:t>
      </w:r>
    </w:p>
    <w:p w14:paraId="0AF6BBC4">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一核：位于中部的综合服务中心，是服务工业区的商业配套、公园等的服务中心；</w:t>
      </w:r>
    </w:p>
    <w:p w14:paraId="090DBB1B">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两轴：以振兴路为依托，以商业配套服务、休闲服务等功能为主体的综合服务轴；以智造大道为依托，以两侧的绿地景观及梧桐溪滨水景观为主导，展示工业区景观特色的休闲景观轴。</w:t>
      </w:r>
    </w:p>
    <w:p w14:paraId="5F692911">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三组团：南部及西部产业组团、北部生活组团。</w:t>
      </w:r>
    </w:p>
    <w:p w14:paraId="6D4EC757">
      <w:pPr>
        <w:numPr>
          <w:ilvl w:val="0"/>
          <w:numId w:val="1"/>
        </w:num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晋江分园区—工业园</w:t>
      </w:r>
    </w:p>
    <w:p w14:paraId="75CDB4E2">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规划结构为“一心、两轴、四组团”。</w:t>
      </w:r>
    </w:p>
    <w:p w14:paraId="05B39858">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一心：商业商务中心；</w:t>
      </w:r>
    </w:p>
    <w:p w14:paraId="5F940B47">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两轴：以泉厦漳城市联盟路为依托的区域发展轴，以伞都大道为依托的产业发展联动轴；</w:t>
      </w:r>
    </w:p>
    <w:p w14:paraId="0A3A964B">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四组团：1个综合服务组团、3个生产组团。</w:t>
      </w:r>
    </w:p>
    <w:p w14:paraId="06E310F4">
      <w:pPr>
        <w:numPr>
          <w:ilvl w:val="0"/>
          <w:numId w:val="1"/>
        </w:numPr>
        <w:snapToGrid w:val="0"/>
        <w:ind w:firstLine="480" w:firstLineChars="20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南安分园区</w:t>
      </w:r>
    </w:p>
    <w:p w14:paraId="5B2FCE30">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规划结构为“一轴、两带、七组团”。</w:t>
      </w:r>
    </w:p>
    <w:p w14:paraId="4EA0F8C2">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一轴：产城融合发展轴，贯通园区纵向主要功能板块的城市功能拓展轴线；</w:t>
      </w:r>
    </w:p>
    <w:p w14:paraId="04531D2C">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两带：以石井大道为依托，以绿地景观、产业景观为主导的生态景观轴；以芦青中路为依托，以两侧的滨水景观及产业居住等功能为主体，展示工业、科研景观特色的生态景观带。</w:t>
      </w:r>
    </w:p>
    <w:p w14:paraId="523775E8">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七组团：分别为绿色生态涵养组团、高新/后井产业组团、芦青科教组团、综合服务组团、产城融合配套组团、临港产业组团。</w:t>
      </w:r>
    </w:p>
    <w:p w14:paraId="4C790D63">
      <w:pPr>
        <w:numPr>
          <w:ilvl w:val="0"/>
          <w:numId w:val="1"/>
        </w:numPr>
        <w:snapToGrid w:val="0"/>
        <w:ind w:firstLine="480" w:firstLineChars="20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安溪分园区</w:t>
      </w:r>
    </w:p>
    <w:p w14:paraId="4A06C842">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规划结构为“一心、两轴、三组团”。</w:t>
      </w:r>
    </w:p>
    <w:p w14:paraId="07297AC6">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一心：以党建邻里中心、文体活动中心为核心，周边配套各项公共服务设施，成为园区生产、生活的配套服务中心。</w:t>
      </w:r>
    </w:p>
    <w:p w14:paraId="68152CEE">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两轴：指南北向贯穿各组团的工业联系拓展轴，和东西向连通山水的生态绿轴。</w:t>
      </w:r>
    </w:p>
    <w:p w14:paraId="4D2B4A51">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三组团：分别为居住配套组团、公共服务组团和生产组团（一二期）。</w:t>
      </w:r>
    </w:p>
    <w:p w14:paraId="669439F8">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六、园区用地规划</w:t>
      </w:r>
    </w:p>
    <w:p w14:paraId="3A6694CD">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1.居住用地</w:t>
      </w:r>
    </w:p>
    <w:p w14:paraId="50DDA073">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规划面积：约244.67公顷（含农村宅基地136.96公顷，混合用地3.99公顷）。</w:t>
      </w:r>
    </w:p>
    <w:p w14:paraId="310736F7">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布局原则：在保障普通住房的基础上，加快高端社区发展，促进职住平衡；依托生态山水和人文历史优势，吸引高端商务、技术人才集聚。</w:t>
      </w:r>
    </w:p>
    <w:p w14:paraId="6F5BA530">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2.公共管理与公共服务用地</w:t>
      </w:r>
    </w:p>
    <w:p w14:paraId="143A910F">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规划面积：约76.89公顷。</w:t>
      </w:r>
    </w:p>
    <w:p w14:paraId="70FDE350">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布局原则：采用“一区多园”模式，结合镇区、街道、社区形成多中心、嵌入式布局；加大教育科研用地供给比例，规划科研教育用地主要集中南安高新技术产业园区，联动厦门翔安教育设施协同发展；引进国内外高端人才及技术，培育本土人才软实力，为南安高新技术产业园区及泉州提供智力支撑。</w:t>
      </w:r>
    </w:p>
    <w:p w14:paraId="49347C41">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3.商业服务业用地</w:t>
      </w:r>
    </w:p>
    <w:p w14:paraId="27D7D133">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规划面积：约78.40公顷。</w:t>
      </w:r>
    </w:p>
    <w:p w14:paraId="2A25FCE5">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布局原则：以商业用地和商务金融用地为主，打造各园区活力中心，承载商业服务、商务办公等现代服务业功能。</w:t>
      </w:r>
    </w:p>
    <w:p w14:paraId="51205F54">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4.工矿用地及仓储用地</w:t>
      </w:r>
    </w:p>
    <w:p w14:paraId="006CAB75">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规划面积：工矿用地约585.71公顷（含采矿用地1.58公顷），仓储用地约8.45公顷。</w:t>
      </w:r>
    </w:p>
    <w:p w14:paraId="72A505F7">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布局原则：推动半导体等战略性新兴产业集聚发展；实现产业用地集约化、高效化、复合化布局。</w:t>
      </w:r>
    </w:p>
    <w:p w14:paraId="16E39BB5">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5.交通运输用地</w:t>
      </w:r>
    </w:p>
    <w:p w14:paraId="6F769A70">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规划面积：约195.26公顷。</w:t>
      </w:r>
    </w:p>
    <w:p w14:paraId="5DA3775E">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布局原则：以低碳交通为布局原则，形成海陆空一体化的交通网络；重点建设以轨道交通、城市快速路为主的对外交通主线，逐步提升完善以低密度社区路网模式为主的内部交通系统，形成公共交通便利、客货分流组织、动静衔接顺畅的复合交通体系。</w:t>
      </w:r>
    </w:p>
    <w:p w14:paraId="7C7F2966">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6.公用设施用地</w:t>
      </w:r>
    </w:p>
    <w:p w14:paraId="21A2C774">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规划面积：约14.52公顷。</w:t>
      </w:r>
    </w:p>
    <w:p w14:paraId="22148F63">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布局原则：加快市政公用设施建设；完善供应设施、排放设施、环境卫生设施、安全设施等基础设施的建设水平和规模，满足高新区生产生活的发展需求。</w:t>
      </w:r>
    </w:p>
    <w:p w14:paraId="092D194D">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7.绿地与开敞空间用地</w:t>
      </w:r>
    </w:p>
    <w:p w14:paraId="3BD53340">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规划面积：约141.41公顷。</w:t>
      </w:r>
    </w:p>
    <w:p w14:paraId="139B04C3">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布局原则：采取集中与分散相结合的方式。集中布局成片绿地，打造景观节点，利用边角地带、道路、市政走廊等空间进行绿化，构建点线面结合的绿地系统。</w:t>
      </w:r>
    </w:p>
    <w:p w14:paraId="1F0E09B2">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8.留白用地与特殊用地</w:t>
      </w:r>
    </w:p>
    <w:p w14:paraId="0E1D8757">
      <w:pPr>
        <w:snapToGrid w:val="0"/>
        <w:ind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drawing>
          <wp:anchor distT="0" distB="0" distL="114300" distR="114300" simplePos="0" relativeHeight="251661312" behindDoc="1" locked="0" layoutInCell="1" allowOverlap="1">
            <wp:simplePos x="0" y="0"/>
            <wp:positionH relativeFrom="column">
              <wp:posOffset>-15240</wp:posOffset>
            </wp:positionH>
            <wp:positionV relativeFrom="paragraph">
              <wp:posOffset>589280</wp:posOffset>
            </wp:positionV>
            <wp:extent cx="5263515" cy="3717925"/>
            <wp:effectExtent l="0" t="0" r="13335" b="15875"/>
            <wp:wrapTight wrapText="bothSides">
              <wp:wrapPolygon>
                <wp:start x="0" y="0"/>
                <wp:lineTo x="0" y="21471"/>
                <wp:lineTo x="21498" y="21471"/>
                <wp:lineTo x="21498" y="0"/>
                <wp:lineTo x="0" y="0"/>
              </wp:wrapPolygon>
            </wp:wrapTight>
            <wp:docPr id="6" name="图片 6" descr="Z:/2公共资料/规划一所/泉州半导体产业园总规修编/阶段性过程文件/20251127修改/图集JPG/晋江科学园土规20251218.jpg晋江科学园土规2025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Z:/2公共资料/规划一所/泉州半导体产业园总规修编/阶段性过程文件/20251127修改/图集JPG/晋江科学园土规20251218.jpg晋江科学园土规20251218"/>
                    <pic:cNvPicPr>
                      <a:picLocks noChangeAspect="1"/>
                    </pic:cNvPicPr>
                  </pic:nvPicPr>
                  <pic:blipFill>
                    <a:blip r:embed="rId9"/>
                    <a:srcRect l="9" r="9"/>
                    <a:stretch>
                      <a:fillRect/>
                    </a:stretch>
                  </pic:blipFill>
                  <pic:spPr>
                    <a:xfrm>
                      <a:off x="0" y="0"/>
                      <a:ext cx="5263515" cy="3717925"/>
                    </a:xfrm>
                    <a:prstGeom prst="rect">
                      <a:avLst/>
                    </a:prstGeom>
                  </pic:spPr>
                </pic:pic>
              </a:graphicData>
            </a:graphic>
          </wp:anchor>
        </w:drawing>
      </w:r>
      <w:r>
        <w:rPr>
          <w:rFonts w:hint="eastAsia" w:asciiTheme="minorEastAsia" w:hAnsiTheme="minorEastAsia" w:eastAsiaTheme="minorEastAsia" w:cstheme="minorEastAsia"/>
          <w:kern w:val="2"/>
          <w:sz w:val="24"/>
          <w:szCs w:val="24"/>
          <w:lang w:val="en-US" w:eastAsia="zh-CN" w:bidi="ar-SA"/>
        </w:rPr>
        <w:t xml:space="preserve">暂未明确规划用途、规划期内不开发或特定条件下开发的战略预留，留白用地面积为17.8公顷。特殊用地3.51公顷。   </w:t>
      </w:r>
    </w:p>
    <w:p w14:paraId="0AF0DC2D">
      <w:pPr>
        <w:snapToGrid w:val="0"/>
        <w:ind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drawing>
          <wp:anchor distT="0" distB="0" distL="114300" distR="114300" simplePos="0" relativeHeight="251660288" behindDoc="0" locked="0" layoutInCell="1" allowOverlap="1">
            <wp:simplePos x="0" y="0"/>
            <wp:positionH relativeFrom="column">
              <wp:posOffset>3810</wp:posOffset>
            </wp:positionH>
            <wp:positionV relativeFrom="page">
              <wp:posOffset>5486400</wp:posOffset>
            </wp:positionV>
            <wp:extent cx="5263515" cy="3717925"/>
            <wp:effectExtent l="0" t="0" r="13335" b="15875"/>
            <wp:wrapTopAndBottom/>
            <wp:docPr id="7" name="图片 7" descr="06 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6 土地利用规划图"/>
                    <pic:cNvPicPr>
                      <a:picLocks noChangeAspect="1"/>
                    </pic:cNvPicPr>
                  </pic:nvPicPr>
                  <pic:blipFill>
                    <a:blip r:embed="rId10"/>
                    <a:stretch>
                      <a:fillRect/>
                    </a:stretch>
                  </pic:blipFill>
                  <pic:spPr>
                    <a:xfrm>
                      <a:off x="0" y="0"/>
                      <a:ext cx="5263515" cy="3717925"/>
                    </a:xfrm>
                    <a:prstGeom prst="rect">
                      <a:avLst/>
                    </a:prstGeom>
                  </pic:spPr>
                </pic:pic>
              </a:graphicData>
            </a:graphic>
          </wp:anchor>
        </w:drawing>
      </w:r>
      <w:r>
        <w:rPr>
          <w:rFonts w:hint="eastAsia" w:asciiTheme="minorEastAsia" w:hAnsiTheme="minorEastAsia" w:eastAsiaTheme="minorEastAsia" w:cstheme="minorEastAsia"/>
          <w:kern w:val="2"/>
          <w:sz w:val="24"/>
          <w:szCs w:val="24"/>
          <w:lang w:val="en-US" w:eastAsia="zh-CN" w:bidi="ar-SA"/>
        </w:rPr>
        <w:drawing>
          <wp:anchor distT="0" distB="0" distL="114300" distR="114300" simplePos="0" relativeHeight="251662336" behindDoc="1" locked="0" layoutInCell="1" allowOverlap="1">
            <wp:simplePos x="0" y="0"/>
            <wp:positionH relativeFrom="column">
              <wp:posOffset>21590</wp:posOffset>
            </wp:positionH>
            <wp:positionV relativeFrom="page">
              <wp:posOffset>1356360</wp:posOffset>
            </wp:positionV>
            <wp:extent cx="5263515" cy="3717925"/>
            <wp:effectExtent l="0" t="0" r="0" b="0"/>
            <wp:wrapTight wrapText="bothSides">
              <wp:wrapPolygon>
                <wp:start x="0" y="0"/>
                <wp:lineTo x="0" y="21471"/>
                <wp:lineTo x="21498" y="21471"/>
                <wp:lineTo x="21498" y="0"/>
                <wp:lineTo x="0" y="0"/>
              </wp:wrapPolygon>
            </wp:wrapTight>
            <wp:docPr id="8" name="图片 8" descr="06 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6 土地利用规划图"/>
                    <pic:cNvPicPr>
                      <a:picLocks noChangeAspect="1"/>
                    </pic:cNvPicPr>
                  </pic:nvPicPr>
                  <pic:blipFill>
                    <a:blip r:embed="rId11"/>
                    <a:stretch>
                      <a:fillRect/>
                    </a:stretch>
                  </pic:blipFill>
                  <pic:spPr>
                    <a:xfrm>
                      <a:off x="0" y="0"/>
                      <a:ext cx="5263515" cy="3717925"/>
                    </a:xfrm>
                    <a:prstGeom prst="rect">
                      <a:avLst/>
                    </a:prstGeom>
                  </pic:spPr>
                </pic:pic>
              </a:graphicData>
            </a:graphic>
          </wp:anchor>
        </w:drawing>
      </w:r>
    </w:p>
    <w:p w14:paraId="680C9057">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eastAsia" w:asciiTheme="majorEastAsia" w:hAnsiTheme="majorEastAsia" w:eastAsiaTheme="majorEastAsia" w:cstheme="majorEastAsia"/>
          <w:sz w:val="28"/>
          <w:szCs w:val="28"/>
          <w:lang w:val="en-US" w:eastAsia="zh-CN"/>
        </w:rPr>
      </w:pPr>
    </w:p>
    <w:p w14:paraId="707D1C67">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drawing>
          <wp:inline distT="0" distB="0" distL="114300" distR="114300">
            <wp:extent cx="5261610" cy="7448550"/>
            <wp:effectExtent l="0" t="0" r="15240" b="0"/>
            <wp:docPr id="9" name="图片 9" descr="6.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土地利用规划图"/>
                    <pic:cNvPicPr>
                      <a:picLocks noChangeAspect="1"/>
                    </pic:cNvPicPr>
                  </pic:nvPicPr>
                  <pic:blipFill>
                    <a:blip r:embed="rId12"/>
                    <a:stretch>
                      <a:fillRect/>
                    </a:stretch>
                  </pic:blipFill>
                  <pic:spPr>
                    <a:xfrm>
                      <a:off x="0" y="0"/>
                      <a:ext cx="5261610" cy="7448550"/>
                    </a:xfrm>
                    <a:prstGeom prst="rect">
                      <a:avLst/>
                    </a:prstGeom>
                  </pic:spPr>
                </pic:pic>
              </a:graphicData>
            </a:graphic>
          </wp:inline>
        </w:drawing>
      </w:r>
    </w:p>
    <w:p w14:paraId="05482CF8">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textAlignment w:val="auto"/>
        <w:rPr>
          <w:rFonts w:hint="eastAsia" w:asciiTheme="majorEastAsia" w:hAnsiTheme="majorEastAsia" w:eastAsiaTheme="majorEastAsia" w:cstheme="majorEastAsia"/>
          <w:sz w:val="28"/>
          <w:szCs w:val="28"/>
          <w:lang w:val="en-US" w:eastAsia="zh-CN"/>
        </w:rPr>
      </w:pPr>
    </w:p>
    <w:p w14:paraId="6A43215C">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eastAsia" w:asciiTheme="majorEastAsia" w:hAnsiTheme="majorEastAsia" w:eastAsiaTheme="majorEastAsia" w:cstheme="majorEastAsia"/>
          <w:sz w:val="28"/>
          <w:szCs w:val="28"/>
          <w:lang w:val="en-US" w:eastAsia="zh-CN"/>
        </w:rPr>
      </w:pPr>
    </w:p>
    <w:p w14:paraId="1E51E93E">
      <w:pPr>
        <w:pStyle w:val="3"/>
        <w:keepNext/>
        <w:keepLines/>
        <w:pageBreakBefore w:val="0"/>
        <w:widowControl w:val="0"/>
        <w:numPr>
          <w:ilvl w:val="0"/>
          <w:numId w:val="0"/>
        </w:numPr>
        <w:kinsoku/>
        <w:wordWrap/>
        <w:overflowPunct/>
        <w:topLinePunct w:val="0"/>
        <w:autoSpaceDE/>
        <w:autoSpaceDN/>
        <w:bidi w:val="0"/>
        <w:adjustRightInd/>
        <w:snapToGrid w:val="0"/>
        <w:spacing w:before="157" w:beforeLines="50" w:after="157" w:afterLines="50" w:line="360" w:lineRule="auto"/>
        <w:jc w:val="both"/>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263515" cy="7451725"/>
            <wp:effectExtent l="0" t="0" r="13335" b="15875"/>
            <wp:wrapTopAndBottom/>
            <wp:docPr id="10" name="图片 10" descr="05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土地利用规划图"/>
                    <pic:cNvPicPr>
                      <a:picLocks noChangeAspect="1"/>
                    </pic:cNvPicPr>
                  </pic:nvPicPr>
                  <pic:blipFill>
                    <a:blip r:embed="rId13"/>
                    <a:stretch>
                      <a:fillRect/>
                    </a:stretch>
                  </pic:blipFill>
                  <pic:spPr>
                    <a:xfrm>
                      <a:off x="0" y="0"/>
                      <a:ext cx="5263515" cy="7451725"/>
                    </a:xfrm>
                    <a:prstGeom prst="rect">
                      <a:avLst/>
                    </a:prstGeom>
                  </pic:spPr>
                </pic:pic>
              </a:graphicData>
            </a:graphic>
          </wp:anchor>
        </w:drawing>
      </w:r>
      <w:r>
        <w:rPr>
          <w:rFonts w:hint="eastAsia" w:asciiTheme="majorEastAsia" w:hAnsiTheme="majorEastAsia" w:eastAsiaTheme="majorEastAsia" w:cstheme="majorEastAsia"/>
          <w:sz w:val="28"/>
          <w:szCs w:val="28"/>
          <w:lang w:val="en-US" w:eastAsia="zh-CN"/>
        </w:rPr>
        <w:br w:type="column"/>
      </w:r>
      <w:r>
        <w:rPr>
          <w:rFonts w:hint="eastAsia" w:asciiTheme="majorEastAsia" w:hAnsiTheme="majorEastAsia" w:eastAsiaTheme="majorEastAsia" w:cstheme="majorEastAsia"/>
          <w:sz w:val="28"/>
          <w:szCs w:val="28"/>
          <w:lang w:val="en-US" w:eastAsia="zh-CN"/>
        </w:rPr>
        <w:t xml:space="preserve">   七</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主要公共设施规划</w:t>
      </w:r>
    </w:p>
    <w:p w14:paraId="4D2DEE32">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drawing>
          <wp:anchor distT="0" distB="0" distL="114300" distR="114300" simplePos="0" relativeHeight="251663360" behindDoc="0" locked="0" layoutInCell="1" allowOverlap="1">
            <wp:simplePos x="0" y="0"/>
            <wp:positionH relativeFrom="column">
              <wp:posOffset>56515</wp:posOffset>
            </wp:positionH>
            <wp:positionV relativeFrom="paragraph">
              <wp:posOffset>648970</wp:posOffset>
            </wp:positionV>
            <wp:extent cx="5263515" cy="7451725"/>
            <wp:effectExtent l="0" t="0" r="13335" b="15875"/>
            <wp:wrapTopAndBottom/>
            <wp:docPr id="5" name="图片 5" descr="09园区主要公共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9园区主要公共设施规划图"/>
                    <pic:cNvPicPr>
                      <a:picLocks noChangeAspect="1"/>
                    </pic:cNvPicPr>
                  </pic:nvPicPr>
                  <pic:blipFill>
                    <a:blip r:embed="rId14"/>
                    <a:stretch>
                      <a:fillRect/>
                    </a:stretch>
                  </pic:blipFill>
                  <pic:spPr>
                    <a:xfrm>
                      <a:off x="0" y="0"/>
                      <a:ext cx="5263515" cy="7451725"/>
                    </a:xfrm>
                    <a:prstGeom prst="rect">
                      <a:avLst/>
                    </a:prstGeom>
                  </pic:spPr>
                </pic:pic>
              </a:graphicData>
            </a:graphic>
          </wp:anchor>
        </w:drawing>
      </w:r>
      <w:r>
        <w:rPr>
          <w:rFonts w:hint="eastAsia" w:asciiTheme="minorEastAsia" w:hAnsiTheme="minorEastAsia" w:eastAsiaTheme="minorEastAsia" w:cstheme="minorEastAsia"/>
          <w:kern w:val="2"/>
          <w:sz w:val="24"/>
          <w:szCs w:val="24"/>
          <w:lang w:val="en-US" w:eastAsia="zh-CN" w:bidi="ar-SA"/>
        </w:rPr>
        <w:t>规划原则：根据高新区各分园区的产业定位和发展现状。科学布局具备带动性的公共设施，促进高新区高质量发展。</w:t>
      </w:r>
    </w:p>
    <w:p w14:paraId="7E52409B">
      <w:pPr>
        <w:snapToGrid w:val="0"/>
        <w:ind w:firstLine="480" w:firstLineChars="200"/>
        <w:rPr>
          <w:rFonts w:hint="eastAsia" w:asciiTheme="minorEastAsia" w:hAnsiTheme="minorEastAsia" w:eastAsiaTheme="minorEastAsia" w:cstheme="minorEastAsia"/>
          <w:kern w:val="2"/>
          <w:sz w:val="24"/>
          <w:szCs w:val="24"/>
          <w:lang w:val="en-US" w:eastAsia="zh-CN" w:bidi="ar-SA"/>
        </w:rPr>
      </w:pPr>
    </w:p>
    <w:p w14:paraId="1BAB0AF0">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1.晋江分园区</w:t>
      </w:r>
    </w:p>
    <w:p w14:paraId="57F181B9">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①晋江分园区科学园：分园区管委会、研发中心、测试实验室、园区邻里中心、休闲公园。</w:t>
      </w:r>
    </w:p>
    <w:p w14:paraId="58856C28">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②晋江分园区工业园：企业总部、展销中心、设计研发基地、商贸服务中心、人才公寓、酒店、中小学、休闲公园。</w:t>
      </w:r>
    </w:p>
    <w:p w14:paraId="641901C5">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③晋江分园区设计园：国际文创中心、设计研发中心、创意创新孵化基地、会展中心、人才公寓、酒店、商务办公、泉州装备制造研究院、草庵摩尼教遗址公园。</w:t>
      </w:r>
    </w:p>
    <w:p w14:paraId="17C6F41B">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2.南安分园区：科教研发区、研发实验室及中小学等教育设施、展览馆、休闲公园，及紧邻园区的分园区管委会、人才公寓、商贸服务中心、办公总部区、文体活动中心。</w:t>
      </w:r>
    </w:p>
    <w:p w14:paraId="5C040E7C">
      <w:pPr>
        <w:snapToGrid w:val="0"/>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3.安溪分园区：分园区管委会、湖头光电信息中心、国家级光电实验室、光电职业培训学校、中小学等教育设施、文体活动中心、人才公寓、休闲公园。</w:t>
      </w:r>
    </w:p>
    <w:p w14:paraId="7EBC1457">
      <w:pPr>
        <w:snapToGrid w:val="0"/>
        <w:ind w:firstLine="480" w:firstLineChars="200"/>
        <w:rPr>
          <w:rFonts w:hint="eastAsia" w:asciiTheme="minorEastAsia" w:hAnsiTheme="minorEastAsia" w:eastAsiaTheme="minorEastAsia" w:cstheme="minorEastAsia"/>
          <w:kern w:val="2"/>
          <w:sz w:val="24"/>
          <w:szCs w:val="24"/>
          <w:lang w:val="en-US" w:eastAsia="zh-CN" w:bidi="ar-SA"/>
        </w:rPr>
      </w:pPr>
    </w:p>
    <w:p w14:paraId="6234CEAA">
      <w:pPr>
        <w:snapToGrid w:val="0"/>
        <w:ind w:firstLine="480" w:firstLineChars="200"/>
        <w:rPr>
          <w:rFonts w:hint="eastAsia" w:asciiTheme="minorEastAsia" w:hAnsiTheme="minorEastAsia" w:eastAsiaTheme="minorEastAsia" w:cstheme="minorEastAsia"/>
          <w:kern w:val="2"/>
          <w:sz w:val="24"/>
          <w:szCs w:val="24"/>
          <w:lang w:val="en-US" w:eastAsia="zh-CN" w:bidi="ar-SA"/>
        </w:rPr>
      </w:pPr>
    </w:p>
    <w:p w14:paraId="4269E701">
      <w:pPr>
        <w:snapToGrid w:val="0"/>
        <w:ind w:firstLine="480" w:firstLineChars="200"/>
        <w:rPr>
          <w:rFonts w:hint="eastAsia" w:asciiTheme="minorEastAsia" w:hAnsiTheme="minorEastAsia" w:eastAsiaTheme="minorEastAsia" w:cstheme="minorEastAsia"/>
          <w:kern w:val="2"/>
          <w:sz w:val="24"/>
          <w:szCs w:val="24"/>
          <w:lang w:val="en-US" w:eastAsia="zh-CN" w:bidi="ar-SA"/>
        </w:rPr>
      </w:pPr>
    </w:p>
    <w:p w14:paraId="4D3378B0">
      <w:pPr>
        <w:snapToGrid w:val="0"/>
        <w:ind w:firstLine="480" w:firstLineChars="200"/>
        <w:rPr>
          <w:rFonts w:hint="eastAsia" w:asciiTheme="minorEastAsia" w:hAnsiTheme="minorEastAsia" w:eastAsiaTheme="minorEastAsia" w:cstheme="minorEastAsia"/>
          <w:kern w:val="2"/>
          <w:sz w:val="24"/>
          <w:szCs w:val="24"/>
          <w:lang w:val="en-US" w:eastAsia="zh-CN" w:bidi="ar-SA"/>
        </w:rPr>
      </w:pPr>
    </w:p>
    <w:p w14:paraId="51F3B8BF">
      <w:pPr>
        <w:snapToGrid w:val="0"/>
        <w:ind w:firstLine="480" w:firstLineChars="200"/>
        <w:rPr>
          <w:rFonts w:hint="eastAsia" w:asciiTheme="minorEastAsia" w:hAnsiTheme="minorEastAsia" w:eastAsiaTheme="minorEastAsia" w:cstheme="minorEastAsia"/>
          <w:kern w:val="2"/>
          <w:sz w:val="24"/>
          <w:szCs w:val="24"/>
          <w:lang w:val="en-US" w:eastAsia="zh-CN" w:bidi="ar-SA"/>
        </w:rPr>
      </w:pPr>
    </w:p>
    <w:p w14:paraId="3D16CAB3">
      <w:pPr>
        <w:snapToGrid w:val="0"/>
        <w:ind w:firstLine="480" w:firstLineChars="200"/>
        <w:rPr>
          <w:rFonts w:hint="eastAsia" w:asciiTheme="minorEastAsia" w:hAnsiTheme="minorEastAsia" w:eastAsiaTheme="minorEastAsia" w:cstheme="minorEastAsia"/>
          <w:kern w:val="2"/>
          <w:sz w:val="24"/>
          <w:szCs w:val="24"/>
          <w:lang w:val="en-US" w:eastAsia="zh-CN" w:bidi="ar-SA"/>
        </w:rPr>
      </w:pPr>
    </w:p>
    <w:p w14:paraId="1AA56849">
      <w:pPr>
        <w:snapToGrid w:val="0"/>
        <w:ind w:firstLine="480" w:firstLineChars="200"/>
        <w:rPr>
          <w:rFonts w:hint="eastAsia" w:asciiTheme="minorEastAsia" w:hAnsiTheme="minorEastAsia" w:eastAsiaTheme="minorEastAsia" w:cstheme="minorEastAsia"/>
          <w:kern w:val="2"/>
          <w:sz w:val="24"/>
          <w:szCs w:val="24"/>
          <w:lang w:val="en-US" w:eastAsia="zh-CN" w:bidi="ar-SA"/>
        </w:rPr>
      </w:pPr>
    </w:p>
    <w:p w14:paraId="21893E7E">
      <w:pPr>
        <w:snapToGrid w:val="0"/>
        <w:jc w:val="center"/>
        <w:rPr>
          <w:rFonts w:hint="eastAsia" w:asciiTheme="minorEastAsia" w:hAnsiTheme="minorEastAsia" w:eastAsiaTheme="minorEastAsia" w:cstheme="minorEastAsia"/>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TXihei">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DengXian Light">
    <w:panose1 w:val="02010600030101010101"/>
    <w:charset w:val="86"/>
    <w:family w:val="auto"/>
    <w:pitch w:val="default"/>
    <w:sig w:usb0="A00002BF" w:usb1="38CF7CFA" w:usb2="00000016" w:usb3="00000000" w:csb0="0004000F" w:csb1="00000000"/>
  </w:font>
  <w:font w:name="方正仿宋简体">
    <w:altName w:val="Arial Unicode MS"/>
    <w:panose1 w:val="02000000000000000000"/>
    <w:charset w:val="86"/>
    <w:family w:val="auto"/>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DengXian">
    <w:panose1 w:val="02010600030101010101"/>
    <w:charset w:val="86"/>
    <w:family w:val="auto"/>
    <w:pitch w:val="default"/>
    <w:sig w:usb0="A00002BF" w:usb1="38CF7CFA" w:usb2="00000016" w:usb3="00000000" w:csb0="0004000F" w:csb1="00000000"/>
  </w:font>
  <w:font w:name="Microsoft YaHei">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3D5B7D"/>
    <w:multiLevelType w:val="singleLevel"/>
    <w:tmpl w:val="873D5B7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394F3C"/>
    <w:rsid w:val="08394F3C"/>
    <w:rsid w:val="23D12680"/>
    <w:rsid w:val="3D7A6965"/>
    <w:rsid w:val="62DE1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150" w:beforeLines="150" w:after="150" w:afterLines="150"/>
      <w:jc w:val="center"/>
      <w:outlineLvl w:val="0"/>
    </w:pPr>
    <w:rPr>
      <w:rFonts w:ascii="STXihei" w:eastAsia="SimHei"/>
      <w:bCs/>
      <w:kern w:val="44"/>
      <w:sz w:val="32"/>
      <w:szCs w:val="32"/>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6">
    <w:name w:val="TOC 标题1"/>
    <w:basedOn w:val="2"/>
    <w:next w:val="1"/>
    <w:unhideWhenUsed/>
    <w:qFormat/>
    <w:uiPriority w:val="39"/>
    <w:pPr>
      <w:widowControl/>
      <w:spacing w:before="240" w:beforeLines="0" w:after="0" w:afterLines="0" w:line="259" w:lineRule="auto"/>
      <w:jc w:val="left"/>
      <w:outlineLvl w:val="9"/>
    </w:pPr>
    <w:rPr>
      <w:rFonts w:ascii="DengXian Light" w:hAnsi="DengXian Light" w:eastAsia="DengXian Light"/>
      <w:bCs w:val="0"/>
      <w:color w:val="2F5496"/>
      <w:kern w:val="0"/>
    </w:rPr>
  </w:style>
  <w:style w:type="table" w:customStyle="1" w:styleId="7">
    <w:name w:val="Table Normal"/>
    <w:semiHidden/>
    <w:unhideWhenUsed/>
    <w:qFormat/>
    <w:uiPriority w:val="0"/>
    <w:rPr>
      <w:rFonts w:ascii="Arial" w:hAnsi="Arial" w:cs="Arial" w:eastAsiaTheme="minorEastAsi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fa9e1a21-5063-42fb-9567-1f4db2c2580d</errorID>
      <errorWord>：</errorWord>
      <group>L1_Word</group>
      <groupName>字词问题</groupName>
      <ability>L2_Typo</ability>
      <abilityName>字词错误</abilityName>
      <candidateList>
        <item>：以</item>
      </candidateList>
      <explain/>
      <paraID>277D8C13</paraID>
      <start>6</start>
      <end>7</end>
      <status>unmodified</status>
      <modifiedWord/>
      <trackRevisions>false</trackRevisions>
    </reviewItem>
    <reviewItem>
      <errorID>c49f32ab-125f-4490-9371-bdc0a77b044f</errorID>
      <errorWord>：</errorWord>
      <group>L1_Word</group>
      <groupName>字词问题</groupName>
      <ability>L2_Typo</ability>
      <abilityName>字词错误</abilityName>
      <candidateList>
        <item>：以</item>
      </candidateList>
      <explain/>
      <paraID>34A6BCF7</paraID>
      <start>6</start>
      <end>7</end>
      <status>unmodified</status>
      <modifiedWord/>
      <trackRevisions>false</trackRevisions>
    </reviewItem>
  </reviewItems>
  <config/>
</contractReview>
</file>

<file path=customXml/itemProps1.xml><?xml version="1.0" encoding="utf-8"?>
<ds:datastoreItem xmlns:ds="http://schemas.openxmlformats.org/officeDocument/2006/customXml" ds:itemID="{73a40d46-7bbc-4791-ac2e-dc8df6809094}">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4849</Words>
  <Characters>5017</Characters>
  <Lines>0</Lines>
  <Paragraphs>0</Paragraphs>
  <TotalTime>5</TotalTime>
  <ScaleCrop>false</ScaleCrop>
  <LinksUpToDate>false</LinksUpToDate>
  <CharactersWithSpaces>5028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2025-12-17T03:11:00Z</dcterms:created>
  <dc:creator>素云</dc:creator>
  <cp:lastModifiedBy>素云</cp:lastModifiedBy>
  <dcterms:modified xsi:type="dcterms:W3CDTF">2025-12-18T08:09:43Z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A8E0E9C61ABD431B83F384CE43875BB6_11</vt:lpwstr>
  </property>
  <property fmtid="{D5CDD505-2E9C-101B-9397-08002B2CF9AE}" pid="4" name="KSOTemplateDocerSaveRecord">
    <vt:lpwstr>eyJoZGlkIjoiYWYxMTU4MzkxYzE3MWZmNDUxNmRiOGVlYjIwYmQ1OTciLCJ1c2VySWQiOiIzMjg5ODE5NjgifQ==</vt:lpwstr>
  </property>
</Properties>
</file>