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503EE">
      <w:pPr>
        <w:widowControl/>
        <w:spacing w:before="1956" w:line="300" w:lineRule="auto"/>
        <w:jc w:val="center"/>
        <w:rPr>
          <w:rFonts w:ascii="Times New Roman" w:hAnsi="Times New Roman" w:eastAsia="方正小标宋简体" w:cs="Times New Roman"/>
          <w:sz w:val="52"/>
          <w:szCs w:val="48"/>
        </w:rPr>
      </w:pPr>
      <w:r>
        <w:rPr>
          <w:rFonts w:ascii="Times New Roman" w:hAnsi="Times New Roman" w:eastAsia="方正小标宋简体" w:cs="Times New Roman"/>
          <w:sz w:val="52"/>
          <w:szCs w:val="48"/>
        </w:rPr>
        <w:t>泉州市“十四五”数字泉州</w:t>
      </w:r>
      <w:r>
        <w:rPr>
          <w:rFonts w:ascii="Times New Roman" w:hAnsi="Times New Roman" w:eastAsia="方正小标宋简体" w:cs="Times New Roman"/>
          <w:sz w:val="52"/>
          <w:szCs w:val="48"/>
        </w:rPr>
        <w:br w:type="textWrapping"/>
      </w:r>
      <w:r>
        <w:rPr>
          <w:rFonts w:ascii="Times New Roman" w:hAnsi="Times New Roman" w:eastAsia="方正小标宋简体" w:cs="Times New Roman"/>
          <w:sz w:val="52"/>
          <w:szCs w:val="48"/>
        </w:rPr>
        <w:t>专项规划</w:t>
      </w:r>
    </w:p>
    <w:p w14:paraId="2CA67BF6">
      <w:pPr>
        <w:spacing w:after="97"/>
        <w:ind w:firstLine="480"/>
        <w:rPr>
          <w:rFonts w:ascii="Times New Roman" w:hAnsi="Times New Roman" w:eastAsia="宋体" w:cs="Times New Roman"/>
          <w:sz w:val="22"/>
          <w:szCs w:val="24"/>
        </w:rPr>
      </w:pPr>
    </w:p>
    <w:p w14:paraId="15313D74">
      <w:pPr>
        <w:spacing w:after="97"/>
        <w:ind w:firstLine="480"/>
        <w:rPr>
          <w:rFonts w:ascii="Times New Roman" w:hAnsi="Times New Roman" w:eastAsia="宋体" w:cs="Times New Roman"/>
          <w:sz w:val="22"/>
          <w:szCs w:val="24"/>
        </w:rPr>
      </w:pPr>
    </w:p>
    <w:p w14:paraId="2766A681">
      <w:pPr>
        <w:spacing w:after="97"/>
        <w:ind w:firstLine="480"/>
        <w:rPr>
          <w:rFonts w:ascii="Times New Roman" w:hAnsi="Times New Roman" w:eastAsia="宋体" w:cs="Times New Roman"/>
          <w:sz w:val="22"/>
          <w:szCs w:val="24"/>
        </w:rPr>
      </w:pPr>
    </w:p>
    <w:p w14:paraId="1B7825B9">
      <w:pPr>
        <w:spacing w:after="97"/>
        <w:ind w:firstLine="480"/>
        <w:rPr>
          <w:rFonts w:ascii="Times New Roman" w:hAnsi="Times New Roman" w:eastAsia="宋体" w:cs="Times New Roman"/>
          <w:sz w:val="22"/>
          <w:szCs w:val="24"/>
        </w:rPr>
      </w:pPr>
    </w:p>
    <w:p w14:paraId="40D490D7">
      <w:pPr>
        <w:spacing w:after="97"/>
        <w:ind w:firstLine="480"/>
        <w:jc w:val="center"/>
        <w:rPr>
          <w:rFonts w:ascii="Times New Roman" w:hAnsi="Times New Roman" w:eastAsia="宋体" w:cs="Times New Roman"/>
          <w:sz w:val="22"/>
          <w:szCs w:val="24"/>
        </w:rPr>
      </w:pPr>
    </w:p>
    <w:p w14:paraId="033C46A7">
      <w:pPr>
        <w:spacing w:after="97"/>
        <w:ind w:firstLine="480"/>
        <w:rPr>
          <w:rFonts w:ascii="Times New Roman" w:hAnsi="Times New Roman" w:eastAsia="宋体" w:cs="Times New Roman"/>
          <w:sz w:val="22"/>
          <w:szCs w:val="24"/>
        </w:rPr>
      </w:pPr>
    </w:p>
    <w:p w14:paraId="4B27EC42">
      <w:pPr>
        <w:spacing w:after="97"/>
        <w:ind w:firstLine="480"/>
        <w:rPr>
          <w:rFonts w:ascii="Times New Roman" w:hAnsi="Times New Roman" w:eastAsia="宋体" w:cs="Times New Roman"/>
          <w:sz w:val="22"/>
          <w:szCs w:val="24"/>
        </w:rPr>
      </w:pPr>
    </w:p>
    <w:p w14:paraId="60F1B159">
      <w:pPr>
        <w:spacing w:after="97"/>
        <w:ind w:firstLine="480"/>
        <w:rPr>
          <w:rFonts w:ascii="Times New Roman" w:hAnsi="Times New Roman" w:eastAsia="宋体" w:cs="Times New Roman"/>
          <w:sz w:val="22"/>
          <w:szCs w:val="24"/>
        </w:rPr>
      </w:pPr>
    </w:p>
    <w:p w14:paraId="612AA06A">
      <w:pPr>
        <w:spacing w:after="97"/>
        <w:ind w:firstLine="480"/>
        <w:rPr>
          <w:rFonts w:ascii="Times New Roman" w:hAnsi="Times New Roman" w:eastAsia="宋体" w:cs="Times New Roman"/>
          <w:sz w:val="22"/>
          <w:szCs w:val="24"/>
        </w:rPr>
      </w:pPr>
    </w:p>
    <w:p w14:paraId="5F746E43">
      <w:pPr>
        <w:spacing w:after="97"/>
        <w:ind w:firstLine="480"/>
        <w:rPr>
          <w:rFonts w:ascii="Times New Roman" w:hAnsi="Times New Roman" w:eastAsia="宋体" w:cs="Times New Roman"/>
          <w:sz w:val="22"/>
          <w:szCs w:val="24"/>
        </w:rPr>
      </w:pPr>
    </w:p>
    <w:p w14:paraId="42ACD4E5">
      <w:pPr>
        <w:spacing w:after="97"/>
        <w:ind w:firstLine="480"/>
        <w:rPr>
          <w:rFonts w:ascii="Times New Roman" w:hAnsi="Times New Roman" w:eastAsia="宋体" w:cs="Times New Roman"/>
          <w:sz w:val="22"/>
          <w:szCs w:val="24"/>
        </w:rPr>
      </w:pPr>
    </w:p>
    <w:p w14:paraId="2B106A6B">
      <w:pPr>
        <w:rPr>
          <w:rFonts w:ascii="Times New Roman" w:hAnsi="Times New Roman" w:eastAsia="宋体" w:cs="Times New Roman"/>
          <w:sz w:val="22"/>
          <w:szCs w:val="24"/>
        </w:rPr>
      </w:pPr>
    </w:p>
    <w:p w14:paraId="75F1FC1D">
      <w:pPr>
        <w:rPr>
          <w:rFonts w:ascii="Times New Roman" w:hAnsi="Times New Roman" w:eastAsia="宋体" w:cs="Times New Roman"/>
          <w:sz w:val="22"/>
          <w:szCs w:val="24"/>
        </w:rPr>
      </w:pPr>
    </w:p>
    <w:p w14:paraId="74415378">
      <w:pPr>
        <w:rPr>
          <w:rFonts w:ascii="Times New Roman" w:hAnsi="Times New Roman" w:eastAsia="宋体" w:cs="Times New Roman"/>
          <w:sz w:val="22"/>
          <w:szCs w:val="24"/>
        </w:rPr>
      </w:pPr>
    </w:p>
    <w:p w14:paraId="7CE61989">
      <w:pPr>
        <w:rPr>
          <w:rFonts w:ascii="Times New Roman" w:hAnsi="Times New Roman" w:eastAsia="宋体" w:cs="Times New Roman"/>
          <w:sz w:val="22"/>
          <w:szCs w:val="24"/>
        </w:rPr>
      </w:pPr>
    </w:p>
    <w:p w14:paraId="15335DD8">
      <w:pPr>
        <w:rPr>
          <w:rFonts w:ascii="Times New Roman" w:hAnsi="Times New Roman" w:eastAsia="宋体" w:cs="Times New Roman"/>
          <w:sz w:val="22"/>
          <w:szCs w:val="24"/>
        </w:rPr>
      </w:pPr>
    </w:p>
    <w:p w14:paraId="0B1C12B5">
      <w:pPr>
        <w:rPr>
          <w:rFonts w:ascii="Times New Roman" w:hAnsi="Times New Roman" w:eastAsia="宋体" w:cs="Times New Roman"/>
          <w:sz w:val="22"/>
          <w:szCs w:val="24"/>
        </w:rPr>
      </w:pPr>
    </w:p>
    <w:p w14:paraId="42CAC6F9">
      <w:pPr>
        <w:rPr>
          <w:rFonts w:ascii="Times New Roman" w:hAnsi="Times New Roman" w:eastAsia="宋体" w:cs="Times New Roman"/>
          <w:sz w:val="22"/>
          <w:szCs w:val="24"/>
        </w:rPr>
      </w:pPr>
    </w:p>
    <w:p w14:paraId="2DE241A5">
      <w:pPr>
        <w:rPr>
          <w:rFonts w:ascii="Times New Roman" w:hAnsi="Times New Roman" w:eastAsia="宋体" w:cs="Times New Roman"/>
          <w:sz w:val="22"/>
          <w:szCs w:val="24"/>
        </w:rPr>
      </w:pPr>
    </w:p>
    <w:p w14:paraId="30D7746E">
      <w:pPr>
        <w:rPr>
          <w:rFonts w:ascii="Times New Roman" w:hAnsi="Times New Roman" w:eastAsia="宋体" w:cs="Times New Roman"/>
          <w:sz w:val="22"/>
          <w:szCs w:val="24"/>
        </w:rPr>
      </w:pPr>
    </w:p>
    <w:p w14:paraId="6FCC9C0B">
      <w:pPr>
        <w:rPr>
          <w:rFonts w:ascii="Times New Roman" w:hAnsi="Times New Roman" w:eastAsia="宋体" w:cs="Times New Roman"/>
          <w:sz w:val="22"/>
          <w:szCs w:val="24"/>
        </w:rPr>
      </w:pPr>
    </w:p>
    <w:p w14:paraId="4CDE3208">
      <w:pPr>
        <w:rPr>
          <w:rFonts w:ascii="Times New Roman" w:hAnsi="Times New Roman" w:eastAsia="宋体" w:cs="Times New Roman"/>
          <w:sz w:val="22"/>
          <w:szCs w:val="24"/>
        </w:rPr>
      </w:pPr>
    </w:p>
    <w:p w14:paraId="791D65D1">
      <w:pPr>
        <w:rPr>
          <w:rFonts w:ascii="Times New Roman" w:hAnsi="Times New Roman" w:eastAsia="宋体" w:cs="Times New Roman"/>
          <w:sz w:val="22"/>
          <w:szCs w:val="24"/>
        </w:rPr>
      </w:pPr>
    </w:p>
    <w:p w14:paraId="49A1CBB6">
      <w:pPr>
        <w:jc w:val="center"/>
        <w:rPr>
          <w:rFonts w:ascii="Times New Roman" w:hAnsi="Times New Roman" w:eastAsia="宋体" w:cs="Times New Roman"/>
          <w:sz w:val="22"/>
          <w:szCs w:val="24"/>
        </w:rPr>
      </w:pPr>
    </w:p>
    <w:p w14:paraId="34D21D1D">
      <w:pPr>
        <w:rPr>
          <w:rFonts w:ascii="Times New Roman" w:hAnsi="Times New Roman" w:eastAsia="宋体" w:cs="Times New Roman"/>
          <w:sz w:val="22"/>
          <w:szCs w:val="24"/>
        </w:rPr>
        <w:sectPr>
          <w:headerReference r:id="rId3" w:type="default"/>
          <w:footerReference r:id="rId4" w:type="default"/>
          <w:footerReference r:id="rId5" w:type="even"/>
          <w:pgSz w:w="11906" w:h="16838"/>
          <w:pgMar w:top="2098" w:right="1418" w:bottom="1089" w:left="1588" w:header="851" w:footer="992" w:gutter="0"/>
          <w:cols w:space="720" w:num="1"/>
          <w:docGrid w:type="lines" w:linePitch="326" w:charSpace="0"/>
        </w:sectPr>
      </w:pPr>
    </w:p>
    <w:p w14:paraId="14D6EC44">
      <w:pPr>
        <w:keepNext/>
        <w:keepLines/>
        <w:spacing w:before="340" w:after="330" w:line="578" w:lineRule="auto"/>
        <w:jc w:val="center"/>
        <w:rPr>
          <w:rFonts w:ascii="Times New Roman" w:hAnsi="Times New Roman" w:eastAsia="方正小标宋简体" w:cs="Times New Roman"/>
          <w:kern w:val="44"/>
          <w:sz w:val="44"/>
          <w:szCs w:val="44"/>
        </w:rPr>
      </w:pPr>
      <w:bookmarkStart w:id="0" w:name="_Toc1157139511"/>
      <w:r>
        <w:rPr>
          <w:rFonts w:ascii="Times New Roman" w:hAnsi="Times New Roman" w:eastAsia="方正小标宋简体" w:cs="Times New Roman"/>
          <w:kern w:val="44"/>
          <w:sz w:val="44"/>
          <w:szCs w:val="44"/>
          <w:lang w:val="zh-CN"/>
        </w:rPr>
        <w:t>目   录</w:t>
      </w:r>
      <w:bookmarkEnd w:id="0"/>
    </w:p>
    <w:p w14:paraId="41BF4492">
      <w:pPr>
        <w:tabs>
          <w:tab w:val="right" w:leader="dot" w:pos="8834"/>
        </w:tabs>
        <w:rPr>
          <w:rFonts w:ascii="Times New Roman" w:hAnsi="Times New Roman" w:eastAsia="等线" w:cs="Times New Roman"/>
          <w:sz w:val="28"/>
          <w:szCs w:val="28"/>
          <w:lang w:val="en-US" w:eastAsia="zh-C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TOC \o "1-3" \h \z \u </w:instrText>
      </w:r>
      <w:r>
        <w:rPr>
          <w:rFonts w:ascii="Times New Roman" w:hAnsi="Times New Roman" w:eastAsia="宋体" w:cs="Times New Roman"/>
          <w:sz w:val="28"/>
          <w:szCs w:val="28"/>
        </w:rPr>
        <w:fldChar w:fldCharType="separate"/>
      </w:r>
      <w:r>
        <w:fldChar w:fldCharType="begin"/>
      </w:r>
      <w:r>
        <w:instrText xml:space="preserve"> HYPERLINK \l "_Toc94308399" </w:instrText>
      </w:r>
      <w:r>
        <w:fldChar w:fldCharType="separate"/>
      </w:r>
      <w:r>
        <w:rPr>
          <w:rFonts w:ascii="Times New Roman" w:hAnsi="Times New Roman" w:eastAsia="黑体" w:cs="Times New Roman"/>
          <w:color w:val="0000FF"/>
          <w:sz w:val="28"/>
          <w:u w:val="single"/>
          <w:lang w:val="en-US" w:eastAsia="zh-CN"/>
        </w:rPr>
        <w:t>前  言</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_Toc94308399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1</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32A64646">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"_Toc94308400" </w:instrText>
      </w:r>
      <w:r>
        <w:fldChar w:fldCharType="separate"/>
      </w:r>
      <w:r>
        <w:rPr>
          <w:rFonts w:ascii="Times New Roman" w:hAnsi="Times New Roman" w:eastAsia="黑体" w:cs="Times New Roman"/>
          <w:color w:val="0000FF"/>
          <w:sz w:val="28"/>
          <w:u w:val="single"/>
          <w:lang w:val="en-US" w:eastAsia="zh-CN"/>
        </w:rPr>
        <w:t>第一章 发展基础</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_Toc94308400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2</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07D50463">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"_Toc94308401" </w:instrText>
      </w:r>
      <w:r>
        <w:fldChar w:fldCharType="separate"/>
      </w:r>
      <w:r>
        <w:rPr>
          <w:rFonts w:ascii="Times New Roman" w:hAnsi="Times New Roman" w:eastAsia="楷体_GB2312" w:cs="Times New Roman"/>
          <w:color w:val="0000FF"/>
          <w:sz w:val="28"/>
          <w:u w:val="single"/>
          <w:lang w:val="en-US" w:eastAsia="zh-CN"/>
        </w:rPr>
        <w:t>第一节 发展现状</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_Toc94308401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2</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748A698F">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"_Toc94308402" </w:instrText>
      </w:r>
      <w:r>
        <w:fldChar w:fldCharType="separate"/>
      </w:r>
      <w:r>
        <w:rPr>
          <w:rFonts w:ascii="Times New Roman" w:hAnsi="Times New Roman" w:eastAsia="楷体_GB2312" w:cs="Times New Roman"/>
          <w:color w:val="0000FF"/>
          <w:sz w:val="28"/>
          <w:u w:val="single"/>
          <w:lang w:val="en-US" w:eastAsia="zh-CN"/>
        </w:rPr>
        <w:t>第二节 发展形势</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_Toc94308402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4</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224AE5E2">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"_Toc94308403" </w:instrText>
      </w:r>
      <w:r>
        <w:fldChar w:fldCharType="separate"/>
      </w:r>
      <w:r>
        <w:rPr>
          <w:rFonts w:ascii="Times New Roman" w:hAnsi="Times New Roman" w:eastAsia="黑体" w:cs="Times New Roman"/>
          <w:color w:val="0000FF"/>
          <w:sz w:val="28"/>
          <w:u w:val="single"/>
          <w:lang w:val="en-US" w:eastAsia="zh-CN"/>
        </w:rPr>
        <w:t>第二章 总体要求</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_Toc94308403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7</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7190EF5A">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"_Toc94308404" </w:instrText>
      </w:r>
      <w:r>
        <w:fldChar w:fldCharType="separate"/>
      </w:r>
      <w:r>
        <w:rPr>
          <w:rFonts w:ascii="Times New Roman" w:hAnsi="Times New Roman" w:eastAsia="楷体_GB2312" w:cs="Times New Roman"/>
          <w:color w:val="0000FF"/>
          <w:sz w:val="28"/>
          <w:u w:val="single"/>
          <w:lang w:val="en-US" w:eastAsia="zh-CN"/>
        </w:rPr>
        <w:t>第一节 指导思想</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_Toc94308404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7</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5ACCD76E">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"_Toc94308405" </w:instrText>
      </w:r>
      <w:r>
        <w:fldChar w:fldCharType="separate"/>
      </w:r>
      <w:r>
        <w:rPr>
          <w:rFonts w:ascii="Times New Roman" w:hAnsi="Times New Roman" w:eastAsia="楷体_GB2312" w:cs="Times New Roman"/>
          <w:color w:val="0000FF"/>
          <w:sz w:val="28"/>
          <w:u w:val="single"/>
          <w:lang w:val="en-US" w:eastAsia="zh-CN"/>
        </w:rPr>
        <w:t>第二节 基本原则</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_Toc94308405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7</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2A52665D">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"_Toc94308406" </w:instrText>
      </w:r>
      <w:r>
        <w:fldChar w:fldCharType="separate"/>
      </w:r>
      <w:r>
        <w:rPr>
          <w:rFonts w:ascii="Times New Roman" w:hAnsi="Times New Roman" w:eastAsia="楷体_GB2312" w:cs="Times New Roman"/>
          <w:color w:val="0000FF"/>
          <w:sz w:val="28"/>
          <w:u w:val="single"/>
          <w:lang w:val="en-US" w:eastAsia="zh-CN"/>
        </w:rPr>
        <w:t>第三节 发展目标</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_Toc94308406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8</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17FEB4B3">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"_Toc94308407" </w:instrText>
      </w:r>
      <w:r>
        <w:fldChar w:fldCharType="separate"/>
      </w:r>
      <w:r>
        <w:rPr>
          <w:rFonts w:ascii="Times New Roman" w:hAnsi="Times New Roman" w:eastAsia="黑体" w:cs="Times New Roman"/>
          <w:color w:val="0000FF"/>
          <w:sz w:val="28"/>
          <w:u w:val="single"/>
          <w:lang w:val="en-US" w:eastAsia="zh-CN"/>
        </w:rPr>
        <w:t>第三章 提升数字化治理能力，构建数字政府新模式</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_Toc94308407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11</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3D047B70">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"_Toc94308408" </w:instrText>
      </w:r>
      <w:r>
        <w:fldChar w:fldCharType="separate"/>
      </w:r>
      <w:r>
        <w:rPr>
          <w:rFonts w:ascii="Times New Roman" w:hAnsi="Times New Roman" w:eastAsia="楷体_GB2312" w:cs="Times New Roman"/>
          <w:color w:val="0000FF"/>
          <w:sz w:val="28"/>
          <w:u w:val="single"/>
          <w:lang w:val="en-US" w:eastAsia="zh-CN"/>
        </w:rPr>
        <w:t>第一节 夯实数字政府基础支撑能力</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_Toc94308408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11</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03BA0C81">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"_Toc94308409" </w:instrText>
      </w:r>
      <w:r>
        <w:fldChar w:fldCharType="separate"/>
      </w:r>
      <w:r>
        <w:rPr>
          <w:rFonts w:ascii="Times New Roman" w:hAnsi="Times New Roman" w:eastAsia="楷体_GB2312" w:cs="Times New Roman"/>
          <w:color w:val="0000FF"/>
          <w:sz w:val="28"/>
          <w:u w:val="single"/>
          <w:lang w:val="en-US" w:eastAsia="zh-CN"/>
        </w:rPr>
        <w:t>第二节 增强数字政府政务服务效能</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_Toc94308409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13</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3E112EAA">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"_Toc94308410" </w:instrText>
      </w:r>
      <w:r>
        <w:fldChar w:fldCharType="separate"/>
      </w:r>
      <w:r>
        <w:rPr>
          <w:rFonts w:ascii="Times New Roman" w:hAnsi="Times New Roman" w:eastAsia="楷体_GB2312" w:cs="Times New Roman"/>
          <w:color w:val="0000FF"/>
          <w:sz w:val="28"/>
          <w:u w:val="single"/>
          <w:lang w:val="en-US" w:eastAsia="zh-CN"/>
        </w:rPr>
        <w:t>第三节 提升数字政府精准治理能力</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_Toc94308410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17</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55EDF8AC">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"_Toc94308411" </w:instrText>
      </w:r>
      <w:r>
        <w:fldChar w:fldCharType="separate"/>
      </w:r>
      <w:r>
        <w:rPr>
          <w:rFonts w:ascii="Times New Roman" w:hAnsi="Times New Roman" w:eastAsia="黑体" w:cs="Times New Roman"/>
          <w:color w:val="0000FF"/>
          <w:sz w:val="28"/>
          <w:u w:val="single"/>
          <w:lang w:val="en-US" w:eastAsia="zh-CN"/>
        </w:rPr>
        <w:t>第四章 推进新经济融合创新，打造数字经济新优势</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_Toc94308411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22</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5893737C">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"_Toc94308412" </w:instrText>
      </w:r>
      <w:r>
        <w:fldChar w:fldCharType="separate"/>
      </w:r>
      <w:r>
        <w:rPr>
          <w:rFonts w:ascii="Times New Roman" w:hAnsi="Times New Roman" w:eastAsia="楷体_GB2312" w:cs="Times New Roman"/>
          <w:color w:val="0000FF"/>
          <w:sz w:val="28"/>
          <w:u w:val="single"/>
          <w:lang w:val="en-US" w:eastAsia="zh-CN"/>
        </w:rPr>
        <w:t>第一节 加快推进数字产业化，发展数字经济新产业</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_Toc94308412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22</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3EA4D9E5">
      <w:pPr>
        <w:tabs>
          <w:tab w:val="right" w:leader="dot" w:pos="8834"/>
        </w:tabs>
        <w:rPr>
          <w:rFonts w:hint="eastAsia" w:ascii="Times New Roman" w:hAnsi="Times New Roman" w:eastAsia="宋体" w:cs="Times New Roman"/>
          <w:sz w:val="28"/>
          <w:szCs w:val="28"/>
          <w:lang w:val="en-US"/>
        </w:rPr>
      </w:pPr>
      <w:r>
        <w:fldChar w:fldCharType="begin"/>
      </w:r>
      <w:r>
        <w:instrText xml:space="preserve"> HYPERLINK \l "_Toc94308413" </w:instrText>
      </w:r>
      <w:r>
        <w:fldChar w:fldCharType="separate"/>
      </w:r>
      <w:r>
        <w:rPr>
          <w:rFonts w:ascii="Times New Roman" w:hAnsi="Times New Roman" w:eastAsia="楷体_GB2312" w:cs="Times New Roman"/>
          <w:color w:val="0000FF"/>
          <w:sz w:val="28"/>
          <w:u w:val="single"/>
          <w:lang w:val="en-US" w:eastAsia="zh-CN"/>
        </w:rPr>
        <w:t>第二节 转型升级产业数字化，打造数字经济新引擎</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_Toc94308413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3</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rPr>
        <w:t>0</w:t>
      </w:r>
    </w:p>
    <w:p w14:paraId="32ECB4FE">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"_Toc94308414" </w:instrText>
      </w:r>
      <w:r>
        <w:fldChar w:fldCharType="separate"/>
      </w:r>
      <w:r>
        <w:rPr>
          <w:rFonts w:ascii="Times New Roman" w:hAnsi="Times New Roman" w:eastAsia="黑体" w:cs="Times New Roman"/>
          <w:color w:val="0000FF"/>
          <w:sz w:val="28"/>
          <w:u w:val="single"/>
          <w:lang w:val="en-US" w:eastAsia="zh-CN"/>
        </w:rPr>
        <w:t>第五章 促进跨区域融合发展，建设数字社会新篇章</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_Toc94308414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42</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79A1E268">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"_Toc94308415" </w:instrText>
      </w:r>
      <w:r>
        <w:fldChar w:fldCharType="separate"/>
      </w:r>
      <w:r>
        <w:rPr>
          <w:rFonts w:ascii="Times New Roman" w:hAnsi="Times New Roman" w:eastAsia="楷体_GB2312" w:cs="Times New Roman"/>
          <w:color w:val="0000FF"/>
          <w:sz w:val="28"/>
          <w:u w:val="single"/>
          <w:lang w:val="en-US" w:eastAsia="zh-CN"/>
        </w:rPr>
        <w:t>第一节 全面优化数字民生服务</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_Toc94308415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42</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4299056D">
      <w:pPr>
        <w:tabs>
          <w:tab w:val="right" w:leader="dot" w:pos="8834"/>
        </w:tabs>
        <w:rPr>
          <w:rFonts w:hint="eastAsia" w:ascii="Times New Roman" w:hAnsi="Times New Roman" w:eastAsia="宋体" w:cs="Times New Roman"/>
          <w:sz w:val="28"/>
          <w:szCs w:val="28"/>
          <w:lang w:val="en-US"/>
        </w:rPr>
      </w:pPr>
      <w:r>
        <w:fldChar w:fldCharType="begin"/>
      </w:r>
      <w:r>
        <w:instrText xml:space="preserve"> HYPERLINK \l "_Toc94308416" </w:instrText>
      </w:r>
      <w:r>
        <w:fldChar w:fldCharType="separate"/>
      </w:r>
      <w:r>
        <w:rPr>
          <w:rFonts w:ascii="Times New Roman" w:hAnsi="Times New Roman" w:eastAsia="楷体_GB2312" w:cs="Times New Roman"/>
          <w:color w:val="0000FF"/>
          <w:sz w:val="28"/>
          <w:u w:val="single"/>
          <w:lang w:val="en-US" w:eastAsia="zh-CN"/>
        </w:rPr>
        <w:t>第二节 全面推动智慧城市建设</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_Toc94308416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4</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rPr>
        <w:t>7</w:t>
      </w:r>
    </w:p>
    <w:p w14:paraId="11071401">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"_Toc94308417" </w:instrText>
      </w:r>
      <w:r>
        <w:fldChar w:fldCharType="separate"/>
      </w:r>
      <w:r>
        <w:rPr>
          <w:rFonts w:ascii="Times New Roman" w:hAnsi="Times New Roman" w:eastAsia="楷体_GB2312" w:cs="Times New Roman"/>
          <w:color w:val="0000FF"/>
          <w:sz w:val="28"/>
          <w:u w:val="single"/>
          <w:lang w:val="en-US" w:eastAsia="zh-CN"/>
        </w:rPr>
        <w:t>第三节 加快推动数字乡村发展</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_Toc94308417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49</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49986C61">
      <w:pPr>
        <w:tabs>
          <w:tab w:val="right" w:leader="dot" w:pos="8834"/>
        </w:tabs>
        <w:rPr>
          <w:rFonts w:ascii="Times New Roman" w:hAnsi="Times New Roman" w:eastAsia="宋体" w:cs="Times New Roman"/>
          <w:szCs w:val="24"/>
        </w:rPr>
        <w:sectPr>
          <w:footerReference r:id="rId6" w:type="default"/>
          <w:pgSz w:w="11906" w:h="16838"/>
          <w:pgMar w:top="1418" w:right="1474" w:bottom="1418" w:left="1588" w:header="851" w:footer="992" w:gutter="0"/>
          <w:pgNumType w:start="1"/>
          <w:cols w:space="720" w:num="1"/>
          <w:docGrid w:type="lines" w:linePitch="326" w:charSpace="0"/>
        </w:sectPr>
      </w:pPr>
    </w:p>
    <w:p w14:paraId="3BBE44F4">
      <w:pPr>
        <w:tabs>
          <w:tab w:val="right" w:leader="dot" w:pos="8834"/>
        </w:tabs>
        <w:rPr>
          <w:rFonts w:hint="eastAsia" w:ascii="Times New Roman" w:hAnsi="Times New Roman" w:eastAsia="宋体" w:cs="Times New Roman"/>
          <w:sz w:val="28"/>
          <w:szCs w:val="28"/>
          <w:lang w:val="en-US"/>
        </w:rPr>
      </w:pPr>
      <w:r>
        <w:fldChar w:fldCharType="begin"/>
      </w:r>
      <w:r>
        <w:instrText xml:space="preserve"> HYPERLINK \l "_Toc94308418" </w:instrText>
      </w:r>
      <w:r>
        <w:fldChar w:fldCharType="separate"/>
      </w:r>
      <w:r>
        <w:rPr>
          <w:rFonts w:ascii="Times New Roman" w:hAnsi="Times New Roman" w:eastAsia="楷体_GB2312" w:cs="Times New Roman"/>
          <w:color w:val="0000FF"/>
          <w:sz w:val="28"/>
          <w:u w:val="single"/>
          <w:lang w:val="en-US" w:eastAsia="zh-CN"/>
        </w:rPr>
        <w:t>第四节 深入推进数字丝路建设</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_Toc94308418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5</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rPr>
        <w:t>0</w:t>
      </w:r>
    </w:p>
    <w:p w14:paraId="0FB8CAD6">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"_Toc94308419" </w:instrText>
      </w:r>
      <w:r>
        <w:fldChar w:fldCharType="separate"/>
      </w:r>
      <w:r>
        <w:rPr>
          <w:rFonts w:ascii="Times New Roman" w:hAnsi="Times New Roman" w:eastAsia="黑体" w:cs="Times New Roman"/>
          <w:color w:val="0000FF"/>
          <w:sz w:val="28"/>
          <w:u w:val="single"/>
          <w:lang w:val="en-US" w:eastAsia="zh-CN"/>
        </w:rPr>
        <w:t>第六章 加快数据资源价值化，激发数据要素新活力</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_Toc94308419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54</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428C556C">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"_Toc94308420" </w:instrText>
      </w:r>
      <w:r>
        <w:fldChar w:fldCharType="separate"/>
      </w:r>
      <w:r>
        <w:rPr>
          <w:rFonts w:ascii="Times New Roman" w:hAnsi="Times New Roman" w:eastAsia="楷体_GB2312" w:cs="Times New Roman"/>
          <w:color w:val="0000FF"/>
          <w:sz w:val="28"/>
          <w:u w:val="single"/>
          <w:lang w:val="en-US" w:eastAsia="zh-CN"/>
        </w:rPr>
        <w:t>第一节 完善公共数据汇聚治理体系</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_Toc94308420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54</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2DD1FD81">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"_Toc94308421" </w:instrText>
      </w:r>
      <w:r>
        <w:fldChar w:fldCharType="separate"/>
      </w:r>
      <w:r>
        <w:rPr>
          <w:rFonts w:ascii="Times New Roman" w:hAnsi="Times New Roman" w:eastAsia="楷体_GB2312" w:cs="Times New Roman"/>
          <w:color w:val="0000FF"/>
          <w:sz w:val="28"/>
          <w:u w:val="single"/>
          <w:lang w:val="en-US" w:eastAsia="zh-CN"/>
        </w:rPr>
        <w:t>第二节 加速数据资源开发利用</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_Toc94308421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56</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001DC1E6">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"_Toc94308422" </w:instrText>
      </w:r>
      <w:r>
        <w:fldChar w:fldCharType="separate"/>
      </w:r>
      <w:r>
        <w:rPr>
          <w:rFonts w:ascii="Times New Roman" w:hAnsi="Times New Roman" w:eastAsia="楷体_GB2312" w:cs="Times New Roman"/>
          <w:color w:val="0000FF"/>
          <w:sz w:val="28"/>
          <w:u w:val="single"/>
          <w:lang w:val="en-US" w:eastAsia="zh-CN"/>
        </w:rPr>
        <w:t>第三节 营造良好数据要素流通市场环境</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_Toc94308422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58</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6CF381B9">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"_Toc94308423" </w:instrText>
      </w:r>
      <w:r>
        <w:fldChar w:fldCharType="separate"/>
      </w:r>
      <w:r>
        <w:rPr>
          <w:rFonts w:ascii="Times New Roman" w:hAnsi="Times New Roman" w:eastAsia="黑体" w:cs="Times New Roman"/>
          <w:color w:val="0000FF"/>
          <w:sz w:val="28"/>
          <w:u w:val="single"/>
          <w:lang w:val="en-US" w:eastAsia="zh-CN"/>
        </w:rPr>
        <w:t>第七章 加速基础设施新型化，牢筑网络信息安全线</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_Toc94308423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60</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0A60AE87">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"_Toc94308424" </w:instrText>
      </w:r>
      <w:r>
        <w:fldChar w:fldCharType="separate"/>
      </w:r>
      <w:r>
        <w:rPr>
          <w:rFonts w:ascii="Times New Roman" w:hAnsi="Times New Roman" w:eastAsia="楷体_GB2312" w:cs="Times New Roman"/>
          <w:color w:val="0000FF"/>
          <w:sz w:val="28"/>
          <w:u w:val="single"/>
          <w:lang w:val="en-US" w:eastAsia="zh-CN"/>
        </w:rPr>
        <w:t>第一节 超前布局新型基础设施</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_Toc94308424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60</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7B81AE48">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"_Toc94308425" </w:instrText>
      </w:r>
      <w:r>
        <w:fldChar w:fldCharType="separate"/>
      </w:r>
      <w:r>
        <w:rPr>
          <w:rFonts w:ascii="Times New Roman" w:hAnsi="Times New Roman" w:eastAsia="楷体_GB2312" w:cs="Times New Roman"/>
          <w:color w:val="0000FF"/>
          <w:sz w:val="28"/>
          <w:u w:val="single"/>
          <w:lang w:val="en-US" w:eastAsia="zh-CN"/>
        </w:rPr>
        <w:t>第二节 完善信息安全基础设施</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_Toc94308425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64</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02AA49A6">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"_Toc94308426" </w:instrText>
      </w:r>
      <w:r>
        <w:fldChar w:fldCharType="separate"/>
      </w:r>
      <w:r>
        <w:rPr>
          <w:rFonts w:ascii="Times New Roman" w:hAnsi="Times New Roman" w:eastAsia="黑体" w:cs="Times New Roman"/>
          <w:color w:val="0000FF"/>
          <w:sz w:val="28"/>
          <w:u w:val="single"/>
          <w:lang w:val="en-US" w:eastAsia="zh-CN"/>
        </w:rPr>
        <w:t>第八章 保障措施</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_Toc94308426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66</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6411E2D9">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"_Toc94308427" </w:instrText>
      </w:r>
      <w:r>
        <w:fldChar w:fldCharType="separate"/>
      </w:r>
      <w:r>
        <w:rPr>
          <w:rFonts w:ascii="Times New Roman" w:hAnsi="Times New Roman" w:eastAsia="楷体_GB2312" w:cs="Times New Roman"/>
          <w:color w:val="0000FF"/>
          <w:sz w:val="28"/>
          <w:u w:val="single"/>
          <w:lang w:val="en-US" w:eastAsia="zh-CN"/>
        </w:rPr>
        <w:t>第一节 加强组织领导，健全统筹协调机制</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_Toc94308427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66</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2C7CF0BD">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"_Toc94308428" </w:instrText>
      </w:r>
      <w:r>
        <w:fldChar w:fldCharType="separate"/>
      </w:r>
      <w:r>
        <w:rPr>
          <w:rFonts w:ascii="Times New Roman" w:hAnsi="Times New Roman" w:eastAsia="楷体_GB2312" w:cs="Times New Roman"/>
          <w:color w:val="0000FF"/>
          <w:sz w:val="28"/>
          <w:u w:val="single"/>
          <w:lang w:val="en-US" w:eastAsia="zh-CN"/>
        </w:rPr>
        <w:t>第二节 注重培养培训，加强人才队伍建设</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_Toc94308428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66</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2A77DB40">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"_Toc94308429" </w:instrText>
      </w:r>
      <w:r>
        <w:fldChar w:fldCharType="separate"/>
      </w:r>
      <w:r>
        <w:rPr>
          <w:rFonts w:ascii="Times New Roman" w:hAnsi="Times New Roman" w:eastAsia="楷体_GB2312" w:cs="Times New Roman"/>
          <w:color w:val="0000FF"/>
          <w:sz w:val="28"/>
          <w:u w:val="single"/>
          <w:lang w:val="en-US" w:eastAsia="zh-CN"/>
        </w:rPr>
        <w:t>第三节 强化监督管理，建立考核评估制度</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_Toc94308429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67</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417C816C">
      <w:pPr>
        <w:tabs>
          <w:tab w:val="right" w:leader="dot" w:pos="8834"/>
        </w:tabs>
        <w:rPr>
          <w:rFonts w:hint="eastAsia" w:ascii="Times New Roman" w:hAnsi="Times New Roman" w:eastAsia="宋体" w:cs="Times New Roman"/>
          <w:sz w:val="28"/>
          <w:szCs w:val="28"/>
          <w:lang w:val="en-US"/>
        </w:rPr>
      </w:pPr>
      <w:r>
        <w:fldChar w:fldCharType="begin"/>
      </w:r>
      <w:r>
        <w:instrText xml:space="preserve"> HYPERLINK \l "_Toc94308430" </w:instrText>
      </w:r>
      <w:r>
        <w:fldChar w:fldCharType="separate"/>
      </w:r>
      <w:r>
        <w:rPr>
          <w:rFonts w:ascii="Times New Roman" w:hAnsi="Times New Roman" w:eastAsia="楷体_GB2312" w:cs="Times New Roman"/>
          <w:color w:val="0000FF"/>
          <w:sz w:val="28"/>
          <w:u w:val="single"/>
          <w:lang w:val="en-US" w:eastAsia="zh-CN"/>
        </w:rPr>
        <w:t>第四节 拓宽投入渠道，统筹资金使用管理</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_Toc94308430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67</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67E95EAB">
      <w:pPr>
        <w:tabs>
          <w:tab w:val="right" w:leader="dot" w:pos="8834"/>
        </w:tabs>
        <w:rPr>
          <w:rFonts w:ascii="Times New Roman" w:hAnsi="Times New Roman" w:eastAsia="等线" w:cs="Times New Roman"/>
          <w:sz w:val="28"/>
          <w:szCs w:val="28"/>
          <w:lang w:val="en-US" w:eastAsia="zh-CN"/>
        </w:rPr>
      </w:pPr>
      <w:r>
        <w:fldChar w:fldCharType="begin"/>
      </w:r>
      <w:r>
        <w:instrText xml:space="preserve"> HYPERLINK \l "_Toc94308431" </w:instrText>
      </w:r>
      <w:r>
        <w:fldChar w:fldCharType="separate"/>
      </w:r>
      <w:r>
        <w:rPr>
          <w:rFonts w:ascii="Times New Roman" w:hAnsi="Times New Roman" w:eastAsia="楷体_GB2312" w:cs="Times New Roman"/>
          <w:color w:val="0000FF"/>
          <w:sz w:val="28"/>
          <w:u w:val="single"/>
          <w:lang w:val="en-US" w:eastAsia="zh-CN"/>
        </w:rPr>
        <w:t>第五节 构建标准体系，开展运营团队建设</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_Toc94308431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68</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7645FDCC">
      <w:pPr>
        <w:tabs>
          <w:tab w:val="right" w:leader="dot" w:pos="8834"/>
        </w:tabs>
        <w:ind w:firstLine="420" w:firstLineChars="200"/>
        <w:rPr>
          <w:rFonts w:ascii="Times New Roman" w:hAnsi="Times New Roman" w:eastAsia="等线" w:cs="Times New Roman"/>
          <w:sz w:val="28"/>
          <w:szCs w:val="28"/>
          <w:lang w:val="en-US" w:eastAsia="zh-CN"/>
        </w:rPr>
      </w:pPr>
      <w:r>
        <w:fldChar w:fldCharType="begin"/>
      </w:r>
      <w:r>
        <w:instrText xml:space="preserve"> HYPERLINK \l "_Toc94308432" </w:instrText>
      </w:r>
      <w:r>
        <w:fldChar w:fldCharType="separate"/>
      </w:r>
      <w:r>
        <w:rPr>
          <w:rFonts w:ascii="Times New Roman" w:hAnsi="Times New Roman" w:eastAsia="黑体" w:cs="Times New Roman"/>
          <w:color w:val="0000FF"/>
          <w:sz w:val="28"/>
          <w:u w:val="single"/>
          <w:lang w:val="en-US" w:eastAsia="zh-CN"/>
        </w:rPr>
        <w:t>附件</w:t>
      </w:r>
      <w:r>
        <w:rPr>
          <w:rFonts w:ascii="Times New Roman" w:hAnsi="Times New Roman" w:eastAsia="黑体" w:cs="Times New Roman"/>
          <w:color w:val="0000FF"/>
          <w:sz w:val="28"/>
          <w:u w:val="single"/>
          <w:lang w:val="en-US" w:eastAsia="zh-CN"/>
        </w:rPr>
        <w:fldChar w:fldCharType="end"/>
      </w:r>
      <w:r>
        <w:rPr>
          <w:rFonts w:ascii="Times New Roman" w:hAnsi="Times New Roman" w:eastAsia="黑体" w:cs="Times New Roman"/>
          <w:color w:val="0000FF"/>
          <w:sz w:val="28"/>
          <w:u w:val="single"/>
          <w:lang w:val="en-US" w:eastAsia="zh-CN"/>
        </w:rPr>
        <w:t xml:space="preserve">： </w:t>
      </w:r>
      <w:r>
        <w:fldChar w:fldCharType="begin"/>
      </w:r>
      <w:r>
        <w:instrText xml:space="preserve"> HYPERLINK \l "_Toc94308433" </w:instrText>
      </w:r>
      <w:r>
        <w:fldChar w:fldCharType="separate"/>
      </w:r>
      <w:r>
        <w:rPr>
          <w:rFonts w:ascii="Times New Roman" w:hAnsi="Times New Roman" w:eastAsia="黑体" w:cs="Times New Roman"/>
          <w:color w:val="0000FF"/>
          <w:sz w:val="28"/>
          <w:u w:val="single"/>
          <w:lang w:val="en-US" w:eastAsia="zh-CN"/>
        </w:rPr>
        <w:t>“十四五”数字泉州建设重点项目表</w:t>
      </w:r>
      <w:r>
        <w:rPr>
          <w:rFonts w:ascii="Times New Roman" w:hAnsi="Times New Roman" w:eastAsia="宋体" w:cs="Times New Roman"/>
          <w:sz w:val="28"/>
          <w:szCs w:val="28"/>
          <w:lang w:val="en-US" w:eastAsia="zh-CN"/>
        </w:rPr>
        <w:tab/>
      </w:r>
      <w:r>
        <w:rPr>
          <w:rFonts w:ascii="Times New Roman" w:hAnsi="Times New Roman" w:eastAsia="宋体" w:cs="Times New Roman"/>
          <w:sz w:val="28"/>
          <w:szCs w:val="28"/>
          <w:lang w:val="en-US" w:eastAsia="zh-CN"/>
        </w:rPr>
        <w:fldChar w:fldCharType="begin"/>
      </w:r>
      <w:r>
        <w:rPr>
          <w:rFonts w:ascii="Times New Roman" w:hAnsi="Times New Roman" w:eastAsia="宋体" w:cs="Times New Roman"/>
          <w:sz w:val="28"/>
          <w:szCs w:val="28"/>
          <w:lang w:val="en-US" w:eastAsia="zh-CN"/>
        </w:rPr>
        <w:instrText xml:space="preserve"> PAGEREF _Toc94308433 \h </w:instrText>
      </w:r>
      <w:r>
        <w:rPr>
          <w:rFonts w:ascii="Times New Roman" w:hAnsi="Times New Roman" w:eastAsia="宋体" w:cs="Times New Roman"/>
          <w:sz w:val="28"/>
          <w:szCs w:val="28"/>
          <w:lang w:val="en-US" w:eastAsia="zh-CN"/>
        </w:rPr>
        <w:fldChar w:fldCharType="separate"/>
      </w:r>
      <w:r>
        <w:rPr>
          <w:rFonts w:ascii="Times New Roman" w:hAnsi="Times New Roman" w:eastAsia="宋体" w:cs="Times New Roman"/>
          <w:sz w:val="28"/>
          <w:szCs w:val="28"/>
          <w:lang w:val="en-US" w:eastAsia="zh-CN"/>
        </w:rPr>
        <w:t>70</w:t>
      </w:r>
      <w:r>
        <w:rPr>
          <w:rFonts w:ascii="Times New Roman" w:hAnsi="Times New Roman" w:eastAsia="宋体" w:cs="Times New Roman"/>
          <w:sz w:val="28"/>
          <w:szCs w:val="28"/>
          <w:lang w:val="en-US" w:eastAsia="zh-CN"/>
        </w:rPr>
        <w:fldChar w:fldCharType="end"/>
      </w:r>
      <w:r>
        <w:rPr>
          <w:rFonts w:ascii="Times New Roman" w:hAnsi="Times New Roman" w:eastAsia="宋体" w:cs="Times New Roman"/>
          <w:sz w:val="28"/>
          <w:szCs w:val="28"/>
          <w:lang w:val="en-US" w:eastAsia="zh-CN"/>
        </w:rPr>
        <w:fldChar w:fldCharType="end"/>
      </w:r>
    </w:p>
    <w:p w14:paraId="7DC80B32">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fldChar w:fldCharType="end"/>
      </w:r>
    </w:p>
    <w:p w14:paraId="73F20A8E">
      <w:pPr>
        <w:spacing w:after="97"/>
        <w:rPr>
          <w:rFonts w:ascii="Times New Roman" w:hAnsi="Times New Roman" w:eastAsia="宋体" w:cs="Times New Roman"/>
          <w:sz w:val="22"/>
          <w:szCs w:val="24"/>
        </w:rPr>
        <w:sectPr>
          <w:footerReference r:id="rId7" w:type="default"/>
          <w:pgSz w:w="11906" w:h="16838"/>
          <w:pgMar w:top="1418" w:right="1474" w:bottom="1418" w:left="1588" w:header="851" w:footer="992" w:gutter="0"/>
          <w:pgNumType w:start="1"/>
          <w:cols w:space="720" w:num="1"/>
          <w:docGrid w:type="lines" w:linePitch="326" w:charSpace="0"/>
        </w:sectPr>
      </w:pPr>
    </w:p>
    <w:p w14:paraId="1E000FE4">
      <w:pPr>
        <w:keepNext/>
        <w:keepLines/>
        <w:spacing w:line="580" w:lineRule="exact"/>
        <w:jc w:val="center"/>
        <w:outlineLvl w:val="0"/>
        <w:rPr>
          <w:rFonts w:ascii="Times New Roman" w:hAnsi="Times New Roman" w:eastAsia="黑体" w:cs="Times New Roman"/>
          <w:kern w:val="44"/>
          <w:sz w:val="36"/>
          <w:szCs w:val="36"/>
        </w:rPr>
      </w:pPr>
      <w:bookmarkStart w:id="1" w:name="_Toc4613"/>
      <w:bookmarkStart w:id="2" w:name="_Toc28268237"/>
    </w:p>
    <w:p w14:paraId="751B2E8A">
      <w:pPr>
        <w:keepNext/>
        <w:keepLines/>
        <w:spacing w:line="580" w:lineRule="exact"/>
        <w:jc w:val="center"/>
        <w:outlineLvl w:val="0"/>
        <w:rPr>
          <w:rFonts w:ascii="Times New Roman" w:hAnsi="Times New Roman" w:eastAsia="黑体" w:cs="Times New Roman"/>
          <w:color w:val="000000"/>
          <w:kern w:val="44"/>
          <w:sz w:val="36"/>
          <w:szCs w:val="36"/>
        </w:rPr>
      </w:pPr>
      <w:bookmarkStart w:id="3" w:name="_Toc94308399"/>
      <w:r>
        <w:rPr>
          <w:rFonts w:ascii="Times New Roman" w:hAnsi="Times New Roman" w:eastAsia="黑体" w:cs="Times New Roman"/>
          <w:color w:val="000000"/>
          <w:kern w:val="44"/>
          <w:sz w:val="36"/>
          <w:szCs w:val="36"/>
        </w:rPr>
        <w:t>前  言</w:t>
      </w:r>
      <w:bookmarkEnd w:id="3"/>
    </w:p>
    <w:p w14:paraId="4ADE83AA">
      <w:pPr>
        <w:spacing w:line="580" w:lineRule="exact"/>
        <w:ind w:firstLine="640" w:firstLineChars="200"/>
        <w:rPr>
          <w:rFonts w:ascii="Times New Roman" w:hAnsi="Times New Roman" w:eastAsia="仿宋_GB2312" w:cs="Times New Roman"/>
          <w:color w:val="000000"/>
          <w:kern w:val="0"/>
          <w:sz w:val="32"/>
          <w:szCs w:val="28"/>
          <w:lang w:val="zh-CN"/>
        </w:rPr>
      </w:pPr>
    </w:p>
    <w:p w14:paraId="0E289CE5">
      <w:pPr>
        <w:spacing w:line="580" w:lineRule="exact"/>
        <w:ind w:firstLine="640" w:firstLineChars="200"/>
        <w:rPr>
          <w:rFonts w:ascii="Times New Roman" w:hAnsi="Times New Roman" w:eastAsia="仿宋_GB2312" w:cs="Times New Roman"/>
          <w:color w:val="000000"/>
          <w:kern w:val="0"/>
          <w:sz w:val="32"/>
          <w:szCs w:val="28"/>
          <w:lang w:val="zh-CN"/>
        </w:rPr>
      </w:pPr>
      <w:r>
        <w:rPr>
          <w:rFonts w:ascii="Times New Roman" w:hAnsi="Times New Roman" w:eastAsia="仿宋_GB2312" w:cs="Times New Roman"/>
          <w:color w:val="000000"/>
          <w:kern w:val="0"/>
          <w:sz w:val="32"/>
          <w:szCs w:val="28"/>
          <w:lang w:val="zh-CN"/>
        </w:rPr>
        <w:t>当前，全球正在加速进入以万物互联、泛在智能为特点的第四次工业革命时代，以泛在网、云计算、大数据、人工智能、区块链、量子计算为代表的数字技术不断升级换代、深度融合，加速突破应用。适应新的历史发展潮流，为落实网络强国、数字中国、智慧社会等战略部署，市委、市政府提出加快数字泉州建设。科学编制和有效落实《泉州市“十四五”数字泉州专项规划》，对于全方位推进泉州经济社会高质量发展超越，推进治理体系和治理能力现代化，对于打造“海丝名城、智造强市、品质泉州”，构筑国家智能制造新高地，打造国内知名工业互联网城市，具有重要意义。</w:t>
      </w:r>
    </w:p>
    <w:p w14:paraId="52749CFC">
      <w:pPr>
        <w:spacing w:line="580" w:lineRule="exact"/>
        <w:ind w:firstLine="640" w:firstLineChars="200"/>
        <w:rPr>
          <w:rFonts w:ascii="Times New Roman" w:hAnsi="Times New Roman" w:eastAsia="仿宋_GB2312" w:cs="Times New Roman"/>
          <w:color w:val="000000"/>
          <w:kern w:val="0"/>
          <w:sz w:val="32"/>
          <w:szCs w:val="28"/>
          <w:lang w:val="zh-CN"/>
        </w:rPr>
      </w:pPr>
      <w:r>
        <w:rPr>
          <w:rFonts w:ascii="Times New Roman" w:hAnsi="Times New Roman" w:eastAsia="仿宋_GB2312" w:cs="Times New Roman"/>
          <w:color w:val="000000"/>
          <w:kern w:val="0"/>
          <w:sz w:val="32"/>
          <w:szCs w:val="28"/>
          <w:lang w:val="zh-CN"/>
        </w:rPr>
        <w:t>本规划以《新时代数字福建发展纲要》《福建省“十四五”数字福建专项规划》以及《泉州市国民经济和社会发展第十四个五年规划和二</w:t>
      </w:r>
      <w:r>
        <w:rPr>
          <w:rFonts w:hint="eastAsia" w:ascii="宋体" w:hAnsi="宋体" w:eastAsia="宋体" w:cs="宋体"/>
          <w:color w:val="000000"/>
          <w:kern w:val="0"/>
          <w:sz w:val="32"/>
          <w:szCs w:val="28"/>
          <w:lang w:val="zh-CN"/>
        </w:rPr>
        <w:t>〇</w:t>
      </w:r>
      <w:r>
        <w:rPr>
          <w:rFonts w:hint="eastAsia" w:ascii="仿宋_GB2312" w:hAnsi="仿宋_GB2312" w:eastAsia="仿宋_GB2312" w:cs="仿宋_GB2312"/>
          <w:color w:val="000000"/>
          <w:kern w:val="0"/>
          <w:sz w:val="32"/>
          <w:szCs w:val="28"/>
          <w:lang w:val="zh-CN"/>
        </w:rPr>
        <w:t>三五年远景目标纲要》为依据，全面贯彻党中央、国务院关于网络强国、数字中国等战略部署，落实省委、省政府和市委、市政府工作要求，明确</w:t>
      </w:r>
      <w:r>
        <w:rPr>
          <w:rFonts w:ascii="Times New Roman" w:hAnsi="Times New Roman" w:eastAsia="仿宋_GB2312" w:cs="Times New Roman"/>
          <w:color w:val="000000"/>
          <w:kern w:val="0"/>
          <w:sz w:val="32"/>
          <w:szCs w:val="28"/>
          <w:lang w:val="zh-CN"/>
        </w:rPr>
        <w:t>“十四五”时期数字泉州建设的指导思想、主要目标、重点任务和保障措施等，是“十四五”时期全市各地各部门数字化工作的重要指南，是制定各年度工作计划和安排项目建设与政府投资的主要依据。</w:t>
      </w:r>
    </w:p>
    <w:p w14:paraId="495A1539">
      <w:pPr>
        <w:spacing w:line="580" w:lineRule="exact"/>
        <w:ind w:firstLine="640" w:firstLineChars="200"/>
        <w:rPr>
          <w:rFonts w:ascii="Times New Roman" w:hAnsi="Times New Roman" w:eastAsia="仿宋_GB2312" w:cs="Times New Roman"/>
          <w:color w:val="000000"/>
          <w:kern w:val="0"/>
          <w:sz w:val="32"/>
          <w:szCs w:val="28"/>
          <w:lang w:val="zh-CN"/>
        </w:rPr>
      </w:pPr>
      <w:r>
        <w:rPr>
          <w:rFonts w:ascii="Times New Roman" w:hAnsi="Times New Roman" w:eastAsia="仿宋_GB2312" w:cs="Times New Roman"/>
          <w:color w:val="000000"/>
          <w:kern w:val="0"/>
          <w:sz w:val="32"/>
          <w:szCs w:val="28"/>
          <w:lang w:val="zh-CN"/>
        </w:rPr>
        <w:t>本规划基期为2020年，规划期为2021—2025年。</w:t>
      </w:r>
    </w:p>
    <w:p w14:paraId="3F9E54F5">
      <w:pPr>
        <w:spacing w:after="120"/>
        <w:ind w:left="420" w:leftChars="200" w:firstLine="640" w:firstLineChars="200"/>
        <w:rPr>
          <w:rFonts w:ascii="Times New Roman" w:hAnsi="Times New Roman" w:eastAsia="仿宋_GB2312" w:cs="Times New Roman"/>
          <w:color w:val="000000"/>
          <w:kern w:val="0"/>
          <w:sz w:val="32"/>
          <w:szCs w:val="28"/>
          <w:lang w:val="zh-CN"/>
        </w:rPr>
      </w:pPr>
    </w:p>
    <w:p w14:paraId="3A18C547">
      <w:pPr>
        <w:keepNext/>
        <w:keepLines/>
        <w:spacing w:before="340" w:after="240" w:line="596" w:lineRule="exact"/>
        <w:jc w:val="center"/>
        <w:outlineLvl w:val="0"/>
        <w:rPr>
          <w:rFonts w:ascii="Times New Roman" w:hAnsi="Times New Roman" w:eastAsia="方正小标宋简体" w:cs="Times New Roman"/>
          <w:color w:val="000000"/>
          <w:kern w:val="44"/>
          <w:sz w:val="36"/>
          <w:szCs w:val="36"/>
        </w:rPr>
      </w:pPr>
      <w:bookmarkStart w:id="4" w:name="_Toc87894485"/>
      <w:bookmarkStart w:id="5" w:name="_Toc84782333"/>
      <w:bookmarkStart w:id="6" w:name="_Toc84783850"/>
      <w:bookmarkStart w:id="7" w:name="_Toc94308400"/>
      <w:r>
        <w:rPr>
          <w:rFonts w:ascii="Times New Roman" w:hAnsi="Times New Roman" w:eastAsia="方正小标宋简体" w:cs="Times New Roman"/>
          <w:color w:val="000000"/>
          <w:kern w:val="44"/>
          <w:sz w:val="36"/>
          <w:szCs w:val="36"/>
        </w:rPr>
        <w:t>第一章 发展</w:t>
      </w:r>
      <w:bookmarkEnd w:id="4"/>
      <w:bookmarkEnd w:id="5"/>
      <w:bookmarkEnd w:id="6"/>
      <w:r>
        <w:rPr>
          <w:rFonts w:ascii="Times New Roman" w:hAnsi="Times New Roman" w:eastAsia="方正小标宋简体" w:cs="Times New Roman"/>
          <w:color w:val="000000"/>
          <w:kern w:val="44"/>
          <w:sz w:val="36"/>
          <w:szCs w:val="36"/>
        </w:rPr>
        <w:t>基础</w:t>
      </w:r>
      <w:bookmarkEnd w:id="7"/>
    </w:p>
    <w:p w14:paraId="47D3B61A">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8" w:name="_Toc84782334"/>
      <w:bookmarkStart w:id="9" w:name="_Toc84783851"/>
      <w:bookmarkStart w:id="10" w:name="_Toc87894486"/>
      <w:bookmarkStart w:id="11" w:name="_Toc94308401"/>
      <w:r>
        <w:rPr>
          <w:rFonts w:ascii="Times New Roman" w:hAnsi="Times New Roman" w:eastAsia="方正黑体简体" w:cs="Times New Roman"/>
          <w:bCs/>
          <w:color w:val="000000"/>
          <w:sz w:val="32"/>
          <w:szCs w:val="32"/>
        </w:rPr>
        <w:t>第一节 发展</w:t>
      </w:r>
      <w:bookmarkEnd w:id="8"/>
      <w:bookmarkEnd w:id="9"/>
      <w:bookmarkEnd w:id="10"/>
      <w:r>
        <w:rPr>
          <w:rFonts w:ascii="Times New Roman" w:hAnsi="Times New Roman" w:eastAsia="方正黑体简体" w:cs="Times New Roman"/>
          <w:bCs/>
          <w:color w:val="000000"/>
          <w:sz w:val="32"/>
          <w:szCs w:val="32"/>
        </w:rPr>
        <w:t>现状</w:t>
      </w:r>
      <w:bookmarkEnd w:id="11"/>
    </w:p>
    <w:p w14:paraId="5C2CA4CF">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泉州，地处福建东南部，是福建三大中心城市之一，是古代海上丝绸之路起点城市，文化积淀深厚，素有“东亚文化之都”之美誉。“十三五”期间，市委、市政府高度重视数字泉州建设工作，坚持打基础、补短板、抓重点、求突破，加快数字产业化和产业数字化协同发展，持续推进数字政府建设，加强数据有序共享，统筹推进智慧社会向深层次发展，助力“五个泉州”建设。获批宽带中国示范城市、国家电子商务示范基地、国家产融合作试点城市、全国首批5G商用城市，成功入选国家创新型城市，数字泉州建设取得阶段性成效。</w:t>
      </w:r>
    </w:p>
    <w:p w14:paraId="5C96E1D0">
      <w:pPr>
        <w:spacing w:line="580" w:lineRule="exact"/>
        <w:ind w:firstLine="643"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
          <w:color w:val="000000"/>
          <w:sz w:val="32"/>
          <w:szCs w:val="28"/>
        </w:rPr>
        <w:t>——信息基础设施不断增强</w:t>
      </w:r>
      <w:r>
        <w:rPr>
          <w:rFonts w:ascii="Times New Roman" w:hAnsi="Times New Roman" w:eastAsia="仿宋_GB2312" w:cs="Times New Roman"/>
          <w:color w:val="000000"/>
          <w:sz w:val="32"/>
          <w:szCs w:val="28"/>
        </w:rPr>
        <w:t>。截至2020年底，全市光缆线路总长度超过31万公里，互联网出口带宽达8TB，移动基站总数超过6.4万个，其中NB-IoT基站数达到5100多个，4G基站数超过4万个，全市行政村已经完成100%光纤覆盖与4G网络覆盖；完成区块链服务网络（BSN）城市节点建设，完成5G消息平台建设，累计建成5G基站超过1万个。</w:t>
      </w:r>
    </w:p>
    <w:p w14:paraId="64587B4A">
      <w:pPr>
        <w:spacing w:line="580" w:lineRule="exact"/>
        <w:ind w:firstLine="643"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
          <w:color w:val="000000"/>
          <w:sz w:val="32"/>
          <w:szCs w:val="28"/>
        </w:rPr>
        <w:t>——数据资源建设稳步推进</w:t>
      </w:r>
      <w:r>
        <w:rPr>
          <w:rFonts w:ascii="Times New Roman" w:hAnsi="Times New Roman" w:eastAsia="仿宋_GB2312" w:cs="Times New Roman"/>
          <w:color w:val="000000"/>
          <w:sz w:val="32"/>
          <w:szCs w:val="28"/>
        </w:rPr>
        <w:t>。建成市政务数据汇聚与共享平台（一期），累计汇聚数据超过33亿条，基本建成六大基础数据库。累计提供数据批量交换服务2000多项，交换总记录数据超过10亿多条，发布服务接口200多个。推动公共数据开放，已梳理164张数据表、3500多万条数据。实现与省级政务数据汇聚共享平台、“一照一码”审批信息共享平台的数据实时对接，信息资源共享利用取得初步成效。</w:t>
      </w:r>
    </w:p>
    <w:p w14:paraId="4F15020C">
      <w:pPr>
        <w:spacing w:line="580" w:lineRule="exact"/>
        <w:ind w:firstLine="643"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
          <w:color w:val="000000"/>
          <w:sz w:val="32"/>
          <w:szCs w:val="28"/>
        </w:rPr>
        <w:t>——数字政务建设深入拓展</w:t>
      </w:r>
      <w:r>
        <w:rPr>
          <w:rFonts w:ascii="Times New Roman" w:hAnsi="Times New Roman" w:eastAsia="仿宋_GB2312" w:cs="Times New Roman"/>
          <w:color w:val="000000"/>
          <w:sz w:val="32"/>
          <w:szCs w:val="28"/>
        </w:rPr>
        <w:t>。全面建成市级电子政务云平台，持续推动全市政务数据中心整合，累计完成454套系统整合工作。上线“互联网+政务服务”一体化行政服务平台，不断完善政务服务电脑端“网上办”，实现审批服务事项网上可办率95%以上。2020年被列为电子证照应用试点城市，在全省率先建设电子证照国密应用试点。构建“泉服务”掌上政务服务平台，进一步推进手机端“掌上办”。建成市公共信用信息平台（二期），归集各类信用数据超过5亿条。</w:t>
      </w:r>
    </w:p>
    <w:p w14:paraId="5A9AB86F">
      <w:pPr>
        <w:spacing w:line="580" w:lineRule="exact"/>
        <w:ind w:firstLine="643"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
          <w:color w:val="000000"/>
          <w:sz w:val="32"/>
          <w:szCs w:val="28"/>
        </w:rPr>
        <w:t>——数字化应用水平大幅提升</w:t>
      </w:r>
      <w:r>
        <w:rPr>
          <w:rFonts w:ascii="Times New Roman" w:hAnsi="Times New Roman" w:eastAsia="仿宋_GB2312" w:cs="Times New Roman"/>
          <w:color w:val="000000"/>
          <w:sz w:val="32"/>
          <w:szCs w:val="28"/>
        </w:rPr>
        <w:t>。“十三五”期间，泉州市获批国家级智慧城市试点、信息惠民国家试点城市、信息消费国家试点城市。优先构建面向群众的民生领域智慧应用服务体系，市级财政信息化项目累计投资超过10亿元，逐步推进智慧城市建设。“互联网+医保”应用、城市安全信息系统、YouBike泉州公共自行车网络、教育“三通两平台”、南洋华裔族群寻根谒祖综合服务平台等项目初步建成并投用。全市各级各类博物馆不断推进数字化建设，市海交馆、市博物馆和晋江市博物馆等逐步实现珍贵馆藏品的三维数字化。积极拓展各类应用场景，培育5G场景应用超过50个，17个项目入选2020年福建省数字经济百项应用场景。</w:t>
      </w:r>
    </w:p>
    <w:p w14:paraId="65C7E7E6">
      <w:pPr>
        <w:spacing w:line="580" w:lineRule="exact"/>
        <w:ind w:firstLine="643"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
          <w:color w:val="000000"/>
          <w:sz w:val="32"/>
          <w:szCs w:val="28"/>
        </w:rPr>
        <w:t>——数字经济规模不断扩大</w:t>
      </w:r>
      <w:r>
        <w:rPr>
          <w:rFonts w:ascii="Times New Roman" w:hAnsi="Times New Roman" w:eastAsia="仿宋_GB2312" w:cs="Times New Roman"/>
          <w:color w:val="000000"/>
          <w:sz w:val="32"/>
          <w:szCs w:val="28"/>
        </w:rPr>
        <w:t>。2020年全市数字经济总规模为4583亿元，对经济增长贡献率超过45％，其中产业数字化规模为4112亿元，居全省第一。数字经济增加值增长率连续两年居全省第二。持续推进制造业数字化改造，拥有示范性智能车间超过100个，数字化标杆性生产线超过1000条，超过2500家企业“上云上平台”。大力发展平台经济，精心培育青创网、天地汇、师傅邦、矮凳网等平台。获批跨境电商综合试验区、市场采购贸易方式和综合保税区等三大“国字号”试点。2020年全市网络零售额2574亿元，占全省比重超40%。拥有4个国家电商示范基地，3家国家级电子商务示范企业，2个国家级电子商务进农村综合示范县。电商快递量在全国城市中排名进入前12位。</w:t>
      </w:r>
    </w:p>
    <w:p w14:paraId="0080E1F1">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28"/>
        </w:rPr>
        <w:t>虽然，数字泉州建设取得显著成效，但也存在一些问题和短板，主要有：信息化项目建设统筹不够，缺乏全市信息化领域的总体规划和顶层设计，信息化建设资金管理机制有待进一步完善，全市信息化技术力量有待进一步整合；数字经济头部企业少，平台经济规模小、服务水平低、辐射力不足；数据汇聚共享开发利用有待突破，部分政务数据没有做到应汇尽汇，数据开发利用还处于起步阶段；人才和公共平台支撑不足，数字化创新人才缺乏，工业互联网标识解析二级节点、SAP海丝工业互联网（泉州）创新中心等公共服务平台还未发挥强大效能。</w:t>
      </w:r>
    </w:p>
    <w:p w14:paraId="20AF7C1F">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12" w:name="_Toc94308402"/>
      <w:r>
        <w:rPr>
          <w:rFonts w:ascii="Times New Roman" w:hAnsi="Times New Roman" w:eastAsia="方正黑体简体" w:cs="Times New Roman"/>
          <w:bCs/>
          <w:color w:val="000000"/>
          <w:sz w:val="32"/>
          <w:szCs w:val="32"/>
        </w:rPr>
        <w:t>第二节 发展形势</w:t>
      </w:r>
      <w:bookmarkEnd w:id="12"/>
    </w:p>
    <w:p w14:paraId="3BDFD93A">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32"/>
        </w:rPr>
        <w:t>“十四五”期间，国内外环境面临深刻变化，信息技术革命持续演进，数字泉州建设既获得重大机遇，也面临巨大挑战。</w:t>
      </w:r>
    </w:p>
    <w:p w14:paraId="7C11E79B">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32"/>
        </w:rPr>
        <w:t>国际方面，当今世界正经历百年未有之大变局，新一轮科技革命和产业变革深入发展，国际力量对比深刻调整，新冠肺炎疫情影响广泛深远，世界进入动荡变革期，发展的不稳定性不确定性明显增强。在全球经济增长乏力的背景下，数字经济作为撬动经济增长的新杠杆，成为各国提振经济的重要方向。全球性数字化浪潮来临，我们要以更加开放的姿态推动数字经济建设，为经济社会高质量发展提供支撑。</w:t>
      </w:r>
    </w:p>
    <w:p w14:paraId="3BD4ED2F">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32"/>
        </w:rPr>
        <w:t>国内方面，以习近平同志为核心的党中央准确把握时代大势，作出建设网络强国、数字中国、智慧社会的重大决策部署。十九届五中全会提出系统布局新型基础设施，加快第五代移动通信、工业互联网、大数据中心等建设。《中华人民共和国国民经济和社会发展第十四个五年规划和2035年远景目标纲要》设立专章部署“加快数字化发展建设数字中国”。当前，数字化已成为我国拉动经济发展的重要引擎，丰富人们的数字文化生活和消费，持续助力国家治理能力现代化提升。</w:t>
      </w:r>
    </w:p>
    <w:p w14:paraId="4D22B8CF">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32"/>
        </w:rPr>
        <w:t>省内方面，省委明确把数字福建建设作为推动高质量发展的基础性先导性工程，全省正积极建设数字经济创新发展试验区，大力推进数字产业化、产业数字化，全方位推进高质量发展超越。省内兄弟城市福州、厦门数字建设发展迅猛，莆田、宁德等地发展具有特色，泉州目前处于前有标兵、后有追兵、不进则退、慢进亦退的紧迫境况。</w:t>
      </w:r>
    </w:p>
    <w:p w14:paraId="2351DD9F">
      <w:pPr>
        <w:spacing w:line="58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32"/>
        </w:rPr>
        <w:t>面对新形势、新机遇、新挑战，要牢牢把握新一轮科技革命和产业变革战略机遇，落实网络强国、数字中国、数字社会等国家战略部署，加速推进“数字丝路”建设，打造“海丝名城”，将数字泉州建设作为新时代我市实现转型发展、跨越发展的先导性工程，突出数字赋能，打造“智造强市”，加速推进数字政府、智慧城市和数字乡村建设，满足人民日益增长的美好生活需要，打造“品质泉州”,为奋力谱写全面建设社会主义现代化国家泉州篇章提供强有力支撑</w:t>
      </w:r>
      <w:r>
        <w:rPr>
          <w:rFonts w:ascii="Times New Roman" w:hAnsi="Times New Roman" w:eastAsia="仿宋_GB2312" w:cs="Times New Roman"/>
          <w:color w:val="000000"/>
          <w:spacing w:val="-17"/>
          <w:sz w:val="32"/>
          <w:szCs w:val="32"/>
        </w:rPr>
        <w:t>。</w:t>
      </w:r>
    </w:p>
    <w:p w14:paraId="5F1C785F">
      <w:pPr>
        <w:spacing w:line="600" w:lineRule="exact"/>
        <w:ind w:firstLine="640" w:firstLineChars="200"/>
        <w:rPr>
          <w:rFonts w:ascii="Times New Roman" w:hAnsi="Times New Roman" w:eastAsia="仿宋_GB2312" w:cs="Times New Roman"/>
          <w:color w:val="000000"/>
          <w:sz w:val="32"/>
          <w:szCs w:val="32"/>
        </w:rPr>
        <w:sectPr>
          <w:footerReference r:id="rId8" w:type="default"/>
          <w:footerReference r:id="rId9" w:type="even"/>
          <w:pgSz w:w="11906" w:h="16838"/>
          <w:pgMar w:top="1418" w:right="1474" w:bottom="1418" w:left="1588" w:header="851" w:footer="992" w:gutter="0"/>
          <w:pgNumType w:start="1"/>
          <w:cols w:space="720" w:num="1"/>
          <w:docGrid w:type="lines" w:linePitch="312" w:charSpace="0"/>
        </w:sectPr>
      </w:pPr>
    </w:p>
    <w:p w14:paraId="3D529E85">
      <w:pPr>
        <w:keepNext/>
        <w:keepLines/>
        <w:spacing w:before="340" w:after="240" w:line="596" w:lineRule="exact"/>
        <w:jc w:val="center"/>
        <w:outlineLvl w:val="0"/>
        <w:rPr>
          <w:rFonts w:ascii="Times New Roman" w:hAnsi="Times New Roman" w:eastAsia="方正小标宋简体" w:cs="Times New Roman"/>
          <w:color w:val="000000"/>
          <w:kern w:val="44"/>
          <w:sz w:val="36"/>
          <w:szCs w:val="36"/>
        </w:rPr>
      </w:pPr>
      <w:bookmarkStart w:id="13" w:name="_Toc87894488"/>
      <w:bookmarkStart w:id="14" w:name="_Toc84782336"/>
      <w:bookmarkStart w:id="15" w:name="_Toc84783853"/>
      <w:bookmarkStart w:id="16" w:name="_Toc94308403"/>
      <w:r>
        <w:rPr>
          <w:rFonts w:ascii="Times New Roman" w:hAnsi="Times New Roman" w:eastAsia="方正小标宋简体" w:cs="Times New Roman"/>
          <w:color w:val="000000"/>
          <w:kern w:val="44"/>
          <w:sz w:val="36"/>
          <w:szCs w:val="36"/>
        </w:rPr>
        <w:t xml:space="preserve">第二章 </w:t>
      </w:r>
      <w:bookmarkEnd w:id="1"/>
      <w:bookmarkEnd w:id="13"/>
      <w:bookmarkEnd w:id="14"/>
      <w:bookmarkEnd w:id="15"/>
      <w:r>
        <w:rPr>
          <w:rFonts w:ascii="Times New Roman" w:hAnsi="Times New Roman" w:eastAsia="方正小标宋简体" w:cs="Times New Roman"/>
          <w:color w:val="000000"/>
          <w:kern w:val="44"/>
          <w:sz w:val="36"/>
          <w:szCs w:val="36"/>
        </w:rPr>
        <w:t>总体要求</w:t>
      </w:r>
      <w:bookmarkEnd w:id="16"/>
    </w:p>
    <w:p w14:paraId="4A3E15F4">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17" w:name="_Toc87894489"/>
      <w:bookmarkStart w:id="18" w:name="_Toc94308404"/>
      <w:bookmarkStart w:id="19" w:name="_Toc84783854"/>
      <w:bookmarkStart w:id="20" w:name="_Toc84782337"/>
      <w:bookmarkStart w:id="21" w:name="_Toc10342"/>
      <w:r>
        <w:rPr>
          <w:rFonts w:ascii="Times New Roman" w:hAnsi="Times New Roman" w:eastAsia="方正黑体简体" w:cs="Times New Roman"/>
          <w:bCs/>
          <w:color w:val="000000"/>
          <w:sz w:val="32"/>
          <w:szCs w:val="32"/>
        </w:rPr>
        <w:t>第一节 指导思想</w:t>
      </w:r>
      <w:bookmarkEnd w:id="17"/>
      <w:bookmarkEnd w:id="18"/>
      <w:bookmarkEnd w:id="19"/>
      <w:bookmarkEnd w:id="20"/>
      <w:bookmarkEnd w:id="21"/>
    </w:p>
    <w:p w14:paraId="155F953B">
      <w:pPr>
        <w:spacing w:line="580" w:lineRule="exact"/>
        <w:ind w:firstLine="640" w:firstLineChars="200"/>
        <w:rPr>
          <w:rFonts w:ascii="Times New Roman" w:hAnsi="Times New Roman" w:eastAsia="仿宋_GB2312" w:cs="Times New Roman"/>
          <w:color w:val="000000"/>
          <w:sz w:val="32"/>
          <w:szCs w:val="28"/>
        </w:rPr>
      </w:pPr>
      <w:bookmarkStart w:id="22" w:name="_Toc19708"/>
      <w:r>
        <w:rPr>
          <w:rFonts w:ascii="Times New Roman" w:hAnsi="Times New Roman" w:eastAsia="仿宋_GB2312" w:cs="Times New Roman"/>
          <w:color w:val="000000"/>
          <w:sz w:val="32"/>
          <w:szCs w:val="28"/>
        </w:rPr>
        <w:t>以习近平新时代中国特色社会主义思想为指导，全面贯彻党的十九大和十九届历次全会精神，深入贯彻习近平</w:t>
      </w:r>
      <w:r>
        <w:rPr>
          <w:rFonts w:hint="eastAsia" w:ascii="Times New Roman" w:hAnsi="Times New Roman" w:eastAsia="仿宋_GB2312" w:cs="Times New Roman"/>
          <w:color w:val="000000"/>
          <w:sz w:val="32"/>
          <w:szCs w:val="28"/>
          <w:lang w:val="en-US" w:eastAsia="zh-CN"/>
        </w:rPr>
        <w:t>总书记关于</w:t>
      </w:r>
      <w:r>
        <w:rPr>
          <w:rFonts w:ascii="Times New Roman" w:hAnsi="Times New Roman" w:eastAsia="仿宋_GB2312" w:cs="Times New Roman"/>
          <w:color w:val="000000"/>
          <w:sz w:val="32"/>
          <w:szCs w:val="28"/>
        </w:rPr>
        <w:t>网络强国</w:t>
      </w:r>
      <w:r>
        <w:rPr>
          <w:rFonts w:hint="eastAsia" w:ascii="Times New Roman" w:hAnsi="Times New Roman" w:eastAsia="仿宋_GB2312" w:cs="Times New Roman"/>
          <w:color w:val="000000"/>
          <w:sz w:val="32"/>
          <w:szCs w:val="28"/>
          <w:lang w:val="en-US" w:eastAsia="zh-CN"/>
        </w:rPr>
        <w:t>的</w:t>
      </w:r>
      <w:bookmarkStart w:id="1077" w:name="_GoBack"/>
      <w:bookmarkEnd w:id="1077"/>
      <w:r>
        <w:rPr>
          <w:rFonts w:ascii="Times New Roman" w:hAnsi="Times New Roman" w:eastAsia="仿宋_GB2312" w:cs="Times New Roman"/>
          <w:color w:val="000000"/>
          <w:sz w:val="32"/>
          <w:szCs w:val="28"/>
        </w:rPr>
        <w:t>重要思想和数字中国、智慧社会重要论述，贯彻落实习近平总书记对福建工作的重要讲话重要指示批示精神和来闽考察重要讲话精神，坚持以人民为中心的发展思想，立足新发展阶段，贯彻新发展理念，服务和融入新发展格局，传承弘扬“晋江经验”，加快数字化发展。以数字赋能实体经济为驱动力，促进数字技术与实体经济深度融合，发挥数字技术对经济发展的放大、叠加、倍增作用，以数字化转型整体驱动生产方式、生活方式和治理方式的变革，不断增强人民群众幸福感、获得感、安全感，全力打造“数字丝路”战略支点城市，为奋力谱写全面建设社会主义现代化国家泉州篇章提供强有力</w:t>
      </w:r>
      <w:r>
        <w:rPr>
          <w:rFonts w:ascii="Times New Roman" w:hAnsi="Times New Roman" w:eastAsia="仿宋_GB2312" w:cs="Times New Roman"/>
          <w:bCs/>
          <w:color w:val="000000"/>
          <w:sz w:val="32"/>
          <w:szCs w:val="28"/>
        </w:rPr>
        <w:t>支撑</w:t>
      </w:r>
      <w:r>
        <w:rPr>
          <w:rFonts w:ascii="Times New Roman" w:hAnsi="Times New Roman" w:eastAsia="仿宋_GB2312" w:cs="Times New Roman"/>
          <w:color w:val="000000"/>
          <w:sz w:val="32"/>
          <w:szCs w:val="28"/>
        </w:rPr>
        <w:t>。</w:t>
      </w:r>
    </w:p>
    <w:p w14:paraId="6303E485">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23" w:name="_Toc84783855"/>
      <w:bookmarkStart w:id="24" w:name="_Toc94308405"/>
      <w:bookmarkStart w:id="25" w:name="_Toc87894490"/>
      <w:bookmarkStart w:id="26" w:name="_Toc84782338"/>
      <w:r>
        <w:rPr>
          <w:rFonts w:ascii="Times New Roman" w:hAnsi="Times New Roman" w:eastAsia="方正黑体简体" w:cs="Times New Roman"/>
          <w:bCs/>
          <w:color w:val="000000"/>
          <w:sz w:val="32"/>
          <w:szCs w:val="32"/>
        </w:rPr>
        <w:t>第二节 基本原则</w:t>
      </w:r>
      <w:bookmarkEnd w:id="22"/>
      <w:bookmarkEnd w:id="23"/>
      <w:bookmarkEnd w:id="24"/>
      <w:bookmarkEnd w:id="25"/>
      <w:bookmarkEnd w:id="26"/>
    </w:p>
    <w:p w14:paraId="00101DE4">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创新引领，数据驱动。加快国家创新型城市建设，争创区域性创新高地。发挥数据的基础资源作用和创新引擎作用，构建以数据为关键要素的数字经济，运用大数据提升治理现代化水平，切实保障和改善民生，形成数据驱动型创新体系和发展模式。</w:t>
      </w:r>
    </w:p>
    <w:p w14:paraId="54278C75">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——以人为本，惠及民生。坚持以人民为中心，推动政务服务、社会治理、公共服务从政府供给导向向群众需求导向转变。加快推进智慧城市、数字乡村建设，提供优质高效的数字民生服务，让百姓在</w:t>
      </w:r>
      <w:r>
        <w:rPr>
          <w:rFonts w:ascii="Times New Roman" w:hAnsi="Times New Roman" w:eastAsia="仿宋_GB2312" w:cs="Times New Roman"/>
          <w:bCs/>
          <w:color w:val="000000"/>
          <w:sz w:val="32"/>
          <w:szCs w:val="28"/>
        </w:rPr>
        <w:t>共享</w:t>
      </w:r>
      <w:r>
        <w:rPr>
          <w:rFonts w:ascii="Times New Roman" w:hAnsi="Times New Roman" w:eastAsia="仿宋_GB2312" w:cs="Times New Roman"/>
          <w:color w:val="000000"/>
          <w:sz w:val="32"/>
          <w:szCs w:val="28"/>
        </w:rPr>
        <w:t>数字化发展成果上有更多获得感。</w:t>
      </w:r>
    </w:p>
    <w:p w14:paraId="02921FA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——政府引导，市场主导。加强政府在数字泉州顶层设计、政策标准制定、</w:t>
      </w:r>
      <w:r>
        <w:rPr>
          <w:rFonts w:ascii="Times New Roman" w:hAnsi="Times New Roman" w:eastAsia="仿宋_GB2312" w:cs="Times New Roman"/>
          <w:bCs/>
          <w:color w:val="000000"/>
          <w:sz w:val="32"/>
          <w:szCs w:val="28"/>
        </w:rPr>
        <w:t>建设</w:t>
      </w:r>
      <w:r>
        <w:rPr>
          <w:rFonts w:ascii="Times New Roman" w:hAnsi="Times New Roman" w:eastAsia="仿宋_GB2312" w:cs="Times New Roman"/>
          <w:color w:val="000000"/>
          <w:sz w:val="32"/>
          <w:szCs w:val="28"/>
        </w:rPr>
        <w:t>指导等方面的作用，全局谋划、整体推进。充分发挥市场在资源配置中的决定性作用，集中资源、有的放矢、精准立项，注重考核信息化在带动产业发展、提升治理能力、推动信息惠民、促进生态保护等方面的建设成效。</w:t>
      </w:r>
    </w:p>
    <w:p w14:paraId="1F9F5D04">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——开放合作，互利共赢。以建设“21世纪海上丝绸之路”先行区为契机，深入推进“数字丝路”建设，坚持“引进来”和“走出去”并重，加强与海丝沿线国家和地区的信息化交流合作，强化引进</w:t>
      </w:r>
      <w:r>
        <w:rPr>
          <w:rFonts w:ascii="Times New Roman" w:hAnsi="Times New Roman" w:eastAsia="仿宋_GB2312" w:cs="Times New Roman"/>
          <w:bCs/>
          <w:color w:val="000000"/>
          <w:sz w:val="32"/>
          <w:szCs w:val="28"/>
        </w:rPr>
        <w:t>数字</w:t>
      </w:r>
      <w:r>
        <w:rPr>
          <w:rFonts w:ascii="Times New Roman" w:hAnsi="Times New Roman" w:eastAsia="仿宋_GB2312" w:cs="Times New Roman"/>
          <w:color w:val="000000"/>
          <w:sz w:val="32"/>
          <w:szCs w:val="28"/>
        </w:rPr>
        <w:t>新技术、新业态、新模式，支持数字经济龙头企业“走出去”。推进海峡两岸集成电路产业合作试验区建设，创建泉台“海丝”合作示范区，实现互利共赢发展。</w:t>
      </w:r>
    </w:p>
    <w:p w14:paraId="38767E1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安全可控，长效发展。坚持安全发展理念，确保自主可控，坚持信息安全与信息化建设同步规划、建设、运行，确保网络、应用和数据的安全。加快构建安全可靠的数字基础保障体系，建立数据资源安全保护等基础制度和标准规范，建立长效运营机制，形成可持续发展的动力机制</w:t>
      </w:r>
      <w:r>
        <w:rPr>
          <w:rFonts w:ascii="Times New Roman" w:hAnsi="Times New Roman" w:eastAsia="仿宋_GB2312" w:cs="Times New Roman"/>
          <w:color w:val="000000"/>
          <w:spacing w:val="-17"/>
          <w:sz w:val="32"/>
          <w:szCs w:val="28"/>
        </w:rPr>
        <w:t>。</w:t>
      </w:r>
    </w:p>
    <w:p w14:paraId="1636B926">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27" w:name="_Toc94308406"/>
      <w:bookmarkStart w:id="28" w:name="_Toc84782339"/>
      <w:bookmarkStart w:id="29" w:name="_Toc87894491"/>
      <w:bookmarkStart w:id="30" w:name="_Toc2105"/>
      <w:bookmarkStart w:id="31" w:name="_Toc84783856"/>
      <w:r>
        <w:rPr>
          <w:rFonts w:ascii="Times New Roman" w:hAnsi="Times New Roman" w:eastAsia="方正黑体简体" w:cs="Times New Roman"/>
          <w:bCs/>
          <w:color w:val="000000"/>
          <w:sz w:val="32"/>
          <w:szCs w:val="32"/>
        </w:rPr>
        <w:t>第三节 发展目标</w:t>
      </w:r>
      <w:bookmarkEnd w:id="27"/>
      <w:bookmarkEnd w:id="28"/>
      <w:bookmarkEnd w:id="29"/>
      <w:bookmarkEnd w:id="30"/>
      <w:bookmarkEnd w:id="31"/>
    </w:p>
    <w:p w14:paraId="78D1ACC9">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到2023年，数字泉州建设社会服务效益渗透到各领域各行业，基本形成数字基础设施先进泛在、数字政府协同高效、数字经济融合创新、网络与信息安全自主可控的发展格局。</w:t>
      </w:r>
    </w:p>
    <w:p w14:paraId="61C5DE7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到2025年，数字</w:t>
      </w:r>
      <w:r>
        <w:rPr>
          <w:rFonts w:ascii="Times New Roman" w:hAnsi="Times New Roman" w:eastAsia="仿宋_GB2312" w:cs="Times New Roman"/>
          <w:bCs/>
          <w:color w:val="000000"/>
          <w:sz w:val="32"/>
          <w:szCs w:val="28"/>
        </w:rPr>
        <w:t>社会</w:t>
      </w:r>
      <w:r>
        <w:rPr>
          <w:rFonts w:ascii="Times New Roman" w:hAnsi="Times New Roman" w:eastAsia="仿宋_GB2312" w:cs="Times New Roman"/>
          <w:color w:val="000000"/>
          <w:sz w:val="32"/>
          <w:szCs w:val="28"/>
        </w:rPr>
        <w:t>、数字政府建设成效显著提升，数字经济、实体经济深度融合发展，形成具有国内竞争力的数字产业集群，初步形成数据要素驱动发展格局，成为产业数字化转型的领跑者、数字产业化培育的生力军、城市数字化建设的赶超者。</w:t>
      </w:r>
    </w:p>
    <w:p w14:paraId="6C37561A">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到2035年，全面步入数字时代，形成立足海西、对接台湾、辐射内陆、</w:t>
      </w:r>
      <w:r>
        <w:rPr>
          <w:rFonts w:ascii="Times New Roman" w:hAnsi="Times New Roman" w:eastAsia="仿宋_GB2312" w:cs="Times New Roman"/>
          <w:bCs/>
          <w:color w:val="000000"/>
          <w:sz w:val="32"/>
          <w:szCs w:val="28"/>
        </w:rPr>
        <w:t>联通</w:t>
      </w:r>
      <w:r>
        <w:rPr>
          <w:rFonts w:ascii="Times New Roman" w:hAnsi="Times New Roman" w:eastAsia="仿宋_GB2312" w:cs="Times New Roman"/>
          <w:color w:val="000000"/>
          <w:sz w:val="32"/>
          <w:szCs w:val="28"/>
        </w:rPr>
        <w:t>“海丝”的发展格局，打造海丝数字科创之都、海丝数字应用标杆城市和国内知名工业互联网城市，基本建成现代化数字强市。</w:t>
      </w:r>
    </w:p>
    <w:p w14:paraId="0EAA122C">
      <w:pPr>
        <w:spacing w:after="93" w:line="300" w:lineRule="auto"/>
        <w:ind w:firstLine="560" w:firstLineChars="200"/>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 xml:space="preserve">表 </w:t>
      </w:r>
      <w:r>
        <w:rPr>
          <w:rFonts w:ascii="Times New Roman" w:hAnsi="Times New Roman" w:eastAsia="黑体" w:cs="Times New Roman"/>
          <w:color w:val="000000"/>
          <w:sz w:val="28"/>
          <w:szCs w:val="28"/>
        </w:rPr>
        <w:fldChar w:fldCharType="begin"/>
      </w:r>
      <w:r>
        <w:rPr>
          <w:rFonts w:ascii="Times New Roman" w:hAnsi="Times New Roman" w:eastAsia="黑体" w:cs="Times New Roman"/>
          <w:color w:val="000000"/>
          <w:sz w:val="28"/>
          <w:szCs w:val="28"/>
        </w:rPr>
        <w:instrText xml:space="preserve"> SEQ 表 \* ARABIC </w:instrText>
      </w:r>
      <w:r>
        <w:rPr>
          <w:rFonts w:ascii="Times New Roman" w:hAnsi="Times New Roman" w:eastAsia="黑体" w:cs="Times New Roman"/>
          <w:color w:val="000000"/>
          <w:sz w:val="28"/>
          <w:szCs w:val="28"/>
        </w:rPr>
        <w:fldChar w:fldCharType="separate"/>
      </w:r>
      <w:r>
        <w:rPr>
          <w:rFonts w:ascii="Times New Roman" w:hAnsi="Times New Roman" w:eastAsia="黑体" w:cs="Times New Roman"/>
          <w:color w:val="000000"/>
          <w:sz w:val="28"/>
          <w:szCs w:val="28"/>
          <w:lang w:val="en-US" w:eastAsia="zh-CN"/>
        </w:rPr>
        <w:t>1</w:t>
      </w:r>
      <w:r>
        <w:rPr>
          <w:rFonts w:ascii="Times New Roman" w:hAnsi="Times New Roman" w:eastAsia="黑体" w:cs="Times New Roman"/>
          <w:color w:val="000000"/>
          <w:sz w:val="28"/>
          <w:szCs w:val="28"/>
        </w:rPr>
        <w:fldChar w:fldCharType="end"/>
      </w:r>
      <w:r>
        <w:rPr>
          <w:rFonts w:ascii="Times New Roman" w:hAnsi="Times New Roman" w:eastAsia="黑体" w:cs="Times New Roman"/>
          <w:color w:val="000000"/>
          <w:sz w:val="28"/>
          <w:szCs w:val="28"/>
        </w:rPr>
        <w:t>“十四五”数字泉州建设主要指标</w:t>
      </w:r>
    </w:p>
    <w:tbl>
      <w:tblPr>
        <w:tblStyle w:val="24"/>
        <w:tblW w:w="876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408"/>
        <w:gridCol w:w="2425"/>
        <w:gridCol w:w="835"/>
        <w:gridCol w:w="992"/>
        <w:gridCol w:w="993"/>
        <w:gridCol w:w="2114"/>
      </w:tblGrid>
      <w:tr w14:paraId="73FD1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526" w:hRule="atLeast"/>
          <w:tblHeader/>
          <w:jc w:val="center"/>
        </w:trPr>
        <w:tc>
          <w:tcPr>
            <w:tcW w:w="1408" w:type="dxa"/>
            <w:vAlign w:val="center"/>
          </w:tcPr>
          <w:p w14:paraId="44C8F969">
            <w:pPr>
              <w:widowControl/>
              <w:jc w:val="center"/>
              <w:textAlignment w:val="center"/>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类型</w:t>
            </w:r>
          </w:p>
        </w:tc>
        <w:tc>
          <w:tcPr>
            <w:tcW w:w="2425" w:type="dxa"/>
            <w:vAlign w:val="center"/>
          </w:tcPr>
          <w:p w14:paraId="56FF9332">
            <w:pPr>
              <w:widowControl/>
              <w:jc w:val="center"/>
              <w:textAlignment w:val="center"/>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指标名称</w:t>
            </w:r>
          </w:p>
        </w:tc>
        <w:tc>
          <w:tcPr>
            <w:tcW w:w="835" w:type="dxa"/>
            <w:vAlign w:val="center"/>
          </w:tcPr>
          <w:p w14:paraId="4C8A504F">
            <w:pPr>
              <w:widowControl/>
              <w:jc w:val="center"/>
              <w:textAlignment w:val="center"/>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单位</w:t>
            </w:r>
          </w:p>
        </w:tc>
        <w:tc>
          <w:tcPr>
            <w:tcW w:w="992" w:type="dxa"/>
            <w:vAlign w:val="center"/>
          </w:tcPr>
          <w:p w14:paraId="27EA9A71">
            <w:pPr>
              <w:widowControl/>
              <w:jc w:val="center"/>
              <w:textAlignment w:val="center"/>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基期值2020年</w:t>
            </w:r>
          </w:p>
        </w:tc>
        <w:tc>
          <w:tcPr>
            <w:tcW w:w="993" w:type="dxa"/>
            <w:vAlign w:val="center"/>
          </w:tcPr>
          <w:p w14:paraId="7023EAA2">
            <w:pPr>
              <w:widowControl/>
              <w:jc w:val="center"/>
              <w:textAlignment w:val="center"/>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目标值2025年</w:t>
            </w:r>
          </w:p>
        </w:tc>
        <w:tc>
          <w:tcPr>
            <w:tcW w:w="2114" w:type="dxa"/>
            <w:vAlign w:val="center"/>
          </w:tcPr>
          <w:p w14:paraId="08B9DAEA">
            <w:pPr>
              <w:widowControl/>
              <w:jc w:val="center"/>
              <w:textAlignment w:val="center"/>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分年度目标</w:t>
            </w:r>
          </w:p>
        </w:tc>
      </w:tr>
      <w:tr w14:paraId="7C53A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884" w:hRule="exact"/>
          <w:jc w:val="center"/>
        </w:trPr>
        <w:tc>
          <w:tcPr>
            <w:tcW w:w="1408" w:type="dxa"/>
            <w:vMerge w:val="restart"/>
            <w:vAlign w:val="center"/>
          </w:tcPr>
          <w:p w14:paraId="5DB4F6C5">
            <w:pPr>
              <w:widowControl/>
              <w:spacing w:line="320" w:lineRule="exact"/>
              <w:jc w:val="center"/>
              <w:textAlignment w:val="center"/>
              <w:rPr>
                <w:rFonts w:ascii="Times New Roman" w:hAnsi="Times New Roman" w:eastAsia="仿宋_GB2312" w:cs="Times New Roman"/>
                <w:color w:val="000000"/>
                <w:kern w:val="0"/>
                <w:sz w:val="28"/>
                <w:szCs w:val="28"/>
              </w:rPr>
            </w:pPr>
          </w:p>
          <w:p w14:paraId="3726AAE5">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数字政府</w:t>
            </w:r>
          </w:p>
          <w:p w14:paraId="4049FF4C">
            <w:pPr>
              <w:widowControl/>
              <w:spacing w:line="320" w:lineRule="exact"/>
              <w:jc w:val="center"/>
              <w:textAlignment w:val="center"/>
              <w:rPr>
                <w:rFonts w:ascii="Times New Roman" w:hAnsi="Times New Roman" w:eastAsia="仿宋_GB2312" w:cs="Times New Roman"/>
                <w:color w:val="000000"/>
                <w:kern w:val="0"/>
                <w:sz w:val="28"/>
                <w:szCs w:val="28"/>
              </w:rPr>
            </w:pPr>
          </w:p>
          <w:p w14:paraId="1F15CB34">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6B63B943">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市级行政许可事项网上可办率</w:t>
            </w:r>
          </w:p>
        </w:tc>
        <w:tc>
          <w:tcPr>
            <w:tcW w:w="835" w:type="dxa"/>
            <w:vAlign w:val="center"/>
          </w:tcPr>
          <w:p w14:paraId="4D86F6D8">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79BDB9F3">
            <w:pPr>
              <w:widowControl/>
              <w:jc w:val="center"/>
              <w:textAlignment w:val="center"/>
              <w:rPr>
                <w:rFonts w:ascii="Times New Roman" w:hAnsi="Times New Roman" w:eastAsia="仿宋_GB2312" w:cs="Times New Roman"/>
                <w:color w:val="000000"/>
                <w:kern w:val="0"/>
                <w:sz w:val="28"/>
                <w:szCs w:val="28"/>
                <w:highlight w:val="yellow"/>
              </w:rPr>
            </w:pPr>
            <w:r>
              <w:rPr>
                <w:rFonts w:ascii="Times New Roman" w:hAnsi="Times New Roman" w:eastAsia="仿宋_GB2312" w:cs="Times New Roman"/>
                <w:color w:val="000000"/>
                <w:kern w:val="0"/>
                <w:sz w:val="28"/>
                <w:szCs w:val="28"/>
              </w:rPr>
              <w:t>95</w:t>
            </w:r>
          </w:p>
        </w:tc>
        <w:tc>
          <w:tcPr>
            <w:tcW w:w="993" w:type="dxa"/>
            <w:vAlign w:val="center"/>
          </w:tcPr>
          <w:p w14:paraId="620C2EE7">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99</w:t>
            </w:r>
          </w:p>
        </w:tc>
        <w:tc>
          <w:tcPr>
            <w:tcW w:w="2114" w:type="dxa"/>
            <w:vAlign w:val="center"/>
          </w:tcPr>
          <w:p w14:paraId="779D4CBD">
            <w:pPr>
              <w:widowControl/>
              <w:ind w:left="122" w:leftChars="58" w:right="159" w:rightChars="76"/>
              <w:jc w:val="lef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年均提高0.8个百分点</w:t>
            </w:r>
          </w:p>
        </w:tc>
      </w:tr>
      <w:tr w14:paraId="42BE5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863" w:hRule="exact"/>
          <w:jc w:val="center"/>
        </w:trPr>
        <w:tc>
          <w:tcPr>
            <w:tcW w:w="1408" w:type="dxa"/>
            <w:vMerge w:val="continue"/>
            <w:vAlign w:val="center"/>
          </w:tcPr>
          <w:p w14:paraId="39C02330">
            <w:pPr>
              <w:widowControl/>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6D8D24D5">
            <w:pPr>
              <w:widowControl/>
              <w:ind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“互联网+监管”事项市级梳理率</w:t>
            </w:r>
          </w:p>
        </w:tc>
        <w:tc>
          <w:tcPr>
            <w:tcW w:w="835" w:type="dxa"/>
            <w:vAlign w:val="center"/>
          </w:tcPr>
          <w:p w14:paraId="0BA7E41E">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115EE0E9">
            <w:pPr>
              <w:widowControl/>
              <w:jc w:val="center"/>
              <w:textAlignment w:val="center"/>
              <w:rPr>
                <w:rFonts w:ascii="Times New Roman" w:hAnsi="Times New Roman" w:eastAsia="仿宋_GB2312" w:cs="Times New Roman"/>
                <w:color w:val="000000"/>
                <w:kern w:val="0"/>
                <w:sz w:val="28"/>
                <w:szCs w:val="28"/>
                <w:highlight w:val="yellow"/>
              </w:rPr>
            </w:pPr>
            <w:r>
              <w:rPr>
                <w:rFonts w:ascii="Times New Roman" w:hAnsi="Times New Roman" w:eastAsia="仿宋_GB2312" w:cs="Times New Roman"/>
                <w:color w:val="000000"/>
                <w:kern w:val="0"/>
                <w:sz w:val="28"/>
                <w:szCs w:val="28"/>
              </w:rPr>
              <w:t>50</w:t>
            </w:r>
          </w:p>
        </w:tc>
        <w:tc>
          <w:tcPr>
            <w:tcW w:w="993" w:type="dxa"/>
            <w:vAlign w:val="center"/>
          </w:tcPr>
          <w:p w14:paraId="4E1CBCFC">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c>
          <w:tcPr>
            <w:tcW w:w="2114" w:type="dxa"/>
            <w:vAlign w:val="center"/>
          </w:tcPr>
          <w:p w14:paraId="6767349D">
            <w:pPr>
              <w:widowControl/>
              <w:ind w:left="122" w:leftChars="58" w:right="159" w:rightChars="76"/>
              <w:jc w:val="lef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年均提高8个百分点</w:t>
            </w:r>
          </w:p>
        </w:tc>
      </w:tr>
      <w:tr w14:paraId="56C01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162" w:hRule="exact"/>
          <w:jc w:val="center"/>
        </w:trPr>
        <w:tc>
          <w:tcPr>
            <w:tcW w:w="1408" w:type="dxa"/>
            <w:vMerge w:val="continue"/>
            <w:vAlign w:val="center"/>
          </w:tcPr>
          <w:p w14:paraId="78BA4E49">
            <w:pPr>
              <w:widowControl/>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388A64A5">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行政审批和公共服务事项“一趟不用跑”比例</w:t>
            </w:r>
          </w:p>
        </w:tc>
        <w:tc>
          <w:tcPr>
            <w:tcW w:w="835" w:type="dxa"/>
            <w:vAlign w:val="center"/>
          </w:tcPr>
          <w:p w14:paraId="537B99EE">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3458D68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70</w:t>
            </w:r>
          </w:p>
        </w:tc>
        <w:tc>
          <w:tcPr>
            <w:tcW w:w="993" w:type="dxa"/>
            <w:vAlign w:val="center"/>
          </w:tcPr>
          <w:p w14:paraId="051C7C8C">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c>
          <w:tcPr>
            <w:tcW w:w="2114" w:type="dxa"/>
            <w:vAlign w:val="center"/>
          </w:tcPr>
          <w:p w14:paraId="62C02C83">
            <w:pPr>
              <w:widowControl/>
              <w:ind w:left="122" w:leftChars="58" w:right="159" w:rightChars="76"/>
              <w:jc w:val="lef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年均提高4个百分点</w:t>
            </w:r>
          </w:p>
        </w:tc>
      </w:tr>
      <w:tr w14:paraId="39837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929" w:hRule="exact"/>
          <w:jc w:val="center"/>
        </w:trPr>
        <w:tc>
          <w:tcPr>
            <w:tcW w:w="1408" w:type="dxa"/>
            <w:vMerge w:val="continue"/>
            <w:vAlign w:val="center"/>
          </w:tcPr>
          <w:p w14:paraId="33FE662F">
            <w:pPr>
              <w:widowControl/>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482E3CE0">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跨层级跨部门业务协同率</w:t>
            </w:r>
          </w:p>
        </w:tc>
        <w:tc>
          <w:tcPr>
            <w:tcW w:w="835" w:type="dxa"/>
            <w:vAlign w:val="center"/>
          </w:tcPr>
          <w:p w14:paraId="1054BFBA">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2788BAE5">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30</w:t>
            </w:r>
          </w:p>
        </w:tc>
        <w:tc>
          <w:tcPr>
            <w:tcW w:w="993" w:type="dxa"/>
            <w:vAlign w:val="center"/>
          </w:tcPr>
          <w:p w14:paraId="26D0B88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60</w:t>
            </w:r>
          </w:p>
        </w:tc>
        <w:tc>
          <w:tcPr>
            <w:tcW w:w="2114" w:type="dxa"/>
            <w:vAlign w:val="center"/>
          </w:tcPr>
          <w:p w14:paraId="00000266">
            <w:pPr>
              <w:widowControl/>
              <w:ind w:left="122" w:leftChars="58" w:right="159" w:rightChars="76"/>
              <w:jc w:val="lef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年均提高6个百分点</w:t>
            </w:r>
          </w:p>
        </w:tc>
      </w:tr>
      <w:tr w14:paraId="1295A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743" w:hRule="exact"/>
          <w:jc w:val="center"/>
        </w:trPr>
        <w:tc>
          <w:tcPr>
            <w:tcW w:w="1408" w:type="dxa"/>
            <w:vMerge w:val="continue"/>
            <w:vAlign w:val="center"/>
          </w:tcPr>
          <w:p w14:paraId="7046766A">
            <w:pPr>
              <w:widowControl/>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097660A0">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政务数据汇聚量</w:t>
            </w:r>
          </w:p>
        </w:tc>
        <w:tc>
          <w:tcPr>
            <w:tcW w:w="835" w:type="dxa"/>
            <w:vAlign w:val="center"/>
          </w:tcPr>
          <w:p w14:paraId="7FEB94CC">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亿条</w:t>
            </w:r>
          </w:p>
        </w:tc>
        <w:tc>
          <w:tcPr>
            <w:tcW w:w="992" w:type="dxa"/>
            <w:vAlign w:val="center"/>
          </w:tcPr>
          <w:p w14:paraId="511E6B81">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33</w:t>
            </w:r>
          </w:p>
        </w:tc>
        <w:tc>
          <w:tcPr>
            <w:tcW w:w="993" w:type="dxa"/>
            <w:vAlign w:val="center"/>
          </w:tcPr>
          <w:p w14:paraId="177CEF3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133</w:t>
            </w:r>
          </w:p>
        </w:tc>
        <w:tc>
          <w:tcPr>
            <w:tcW w:w="2114" w:type="dxa"/>
            <w:vAlign w:val="center"/>
          </w:tcPr>
          <w:p w14:paraId="0FC79892">
            <w:pPr>
              <w:widowControl/>
              <w:ind w:left="122" w:leftChars="58" w:right="159" w:rightChars="76"/>
              <w:jc w:val="lef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年均增加20亿条以上</w:t>
            </w:r>
          </w:p>
        </w:tc>
      </w:tr>
      <w:tr w14:paraId="3575A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310" w:hRule="exact"/>
          <w:jc w:val="center"/>
        </w:trPr>
        <w:tc>
          <w:tcPr>
            <w:tcW w:w="1408" w:type="dxa"/>
            <w:vMerge w:val="restart"/>
            <w:vAlign w:val="center"/>
          </w:tcPr>
          <w:p w14:paraId="63456290">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数字经济</w:t>
            </w:r>
          </w:p>
        </w:tc>
        <w:tc>
          <w:tcPr>
            <w:tcW w:w="2425" w:type="dxa"/>
            <w:vAlign w:val="center"/>
          </w:tcPr>
          <w:p w14:paraId="202B8C75">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数字经济增加值占地区生产总值比重</w:t>
            </w:r>
          </w:p>
        </w:tc>
        <w:tc>
          <w:tcPr>
            <w:tcW w:w="835" w:type="dxa"/>
            <w:vAlign w:val="center"/>
          </w:tcPr>
          <w:p w14:paraId="18555BB0">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030F460F">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45</w:t>
            </w:r>
          </w:p>
        </w:tc>
        <w:tc>
          <w:tcPr>
            <w:tcW w:w="993" w:type="dxa"/>
            <w:vAlign w:val="center"/>
          </w:tcPr>
          <w:p w14:paraId="31DD5796">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57</w:t>
            </w:r>
          </w:p>
        </w:tc>
        <w:tc>
          <w:tcPr>
            <w:tcW w:w="2114" w:type="dxa"/>
            <w:vAlign w:val="center"/>
          </w:tcPr>
          <w:p w14:paraId="5A51BE53">
            <w:pPr>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年均增长15%</w:t>
            </w:r>
          </w:p>
        </w:tc>
      </w:tr>
      <w:tr w14:paraId="248AD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154" w:hRule="exact"/>
          <w:jc w:val="center"/>
        </w:trPr>
        <w:tc>
          <w:tcPr>
            <w:tcW w:w="1408" w:type="dxa"/>
            <w:vMerge w:val="continue"/>
            <w:vAlign w:val="center"/>
          </w:tcPr>
          <w:p w14:paraId="15F1C215">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1F811381">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数字经济核心产业增加值占GDP比重</w:t>
            </w:r>
          </w:p>
        </w:tc>
        <w:tc>
          <w:tcPr>
            <w:tcW w:w="835" w:type="dxa"/>
            <w:vAlign w:val="center"/>
          </w:tcPr>
          <w:p w14:paraId="251AC86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26D6413E">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3" w:type="dxa"/>
            <w:vAlign w:val="center"/>
          </w:tcPr>
          <w:p w14:paraId="7582C82D">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提高3个百分点</w:t>
            </w:r>
          </w:p>
        </w:tc>
        <w:tc>
          <w:tcPr>
            <w:tcW w:w="2114" w:type="dxa"/>
            <w:vAlign w:val="center"/>
          </w:tcPr>
          <w:p w14:paraId="47CB028F">
            <w:pPr>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年均提高0.6个百分点</w:t>
            </w:r>
          </w:p>
        </w:tc>
      </w:tr>
      <w:tr w14:paraId="47945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121" w:hRule="exact"/>
          <w:jc w:val="center"/>
        </w:trPr>
        <w:tc>
          <w:tcPr>
            <w:tcW w:w="1408" w:type="dxa"/>
            <w:vMerge w:val="continue"/>
            <w:vAlign w:val="center"/>
          </w:tcPr>
          <w:p w14:paraId="43CFAAAA">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23B0C809">
            <w:pPr>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规模以上工业企业数字化转型覆盖率</w:t>
            </w:r>
          </w:p>
        </w:tc>
        <w:tc>
          <w:tcPr>
            <w:tcW w:w="835" w:type="dxa"/>
            <w:vAlign w:val="center"/>
          </w:tcPr>
          <w:p w14:paraId="6DF6533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1C37EEC4">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55</w:t>
            </w:r>
          </w:p>
        </w:tc>
        <w:tc>
          <w:tcPr>
            <w:tcW w:w="993" w:type="dxa"/>
            <w:vAlign w:val="center"/>
          </w:tcPr>
          <w:p w14:paraId="6617015C">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92.5</w:t>
            </w:r>
          </w:p>
        </w:tc>
        <w:tc>
          <w:tcPr>
            <w:tcW w:w="2114" w:type="dxa"/>
            <w:vAlign w:val="center"/>
          </w:tcPr>
          <w:p w14:paraId="33FF8FA5">
            <w:pPr>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年均提高7.5个百分点</w:t>
            </w:r>
          </w:p>
        </w:tc>
      </w:tr>
      <w:tr w14:paraId="141DC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651" w:hRule="exact"/>
          <w:jc w:val="center"/>
        </w:trPr>
        <w:tc>
          <w:tcPr>
            <w:tcW w:w="1408" w:type="dxa"/>
            <w:vMerge w:val="continue"/>
            <w:vAlign w:val="center"/>
          </w:tcPr>
          <w:p w14:paraId="21FC3E4A">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69B1B8F0">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关键业务环节全面数字化的规模以上制造业企业比例</w:t>
            </w:r>
          </w:p>
        </w:tc>
        <w:tc>
          <w:tcPr>
            <w:tcW w:w="835" w:type="dxa"/>
            <w:vAlign w:val="center"/>
          </w:tcPr>
          <w:p w14:paraId="26B28697">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2301F261">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993" w:type="dxa"/>
            <w:vAlign w:val="center"/>
          </w:tcPr>
          <w:p w14:paraId="5C7A4F4C">
            <w:pPr>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&gt;66</w:t>
            </w:r>
          </w:p>
        </w:tc>
        <w:tc>
          <w:tcPr>
            <w:tcW w:w="2114" w:type="dxa"/>
            <w:vAlign w:val="center"/>
          </w:tcPr>
          <w:p w14:paraId="439391F3">
            <w:pPr>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年均提高5.2个百分点</w:t>
            </w:r>
          </w:p>
        </w:tc>
      </w:tr>
      <w:tr w14:paraId="4F453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563" w:hRule="atLeast"/>
          <w:jc w:val="center"/>
        </w:trPr>
        <w:tc>
          <w:tcPr>
            <w:tcW w:w="1408" w:type="dxa"/>
            <w:vMerge w:val="continue"/>
            <w:vAlign w:val="center"/>
          </w:tcPr>
          <w:p w14:paraId="267164DE">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585D149D">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网络零售额</w:t>
            </w:r>
          </w:p>
        </w:tc>
        <w:tc>
          <w:tcPr>
            <w:tcW w:w="835" w:type="dxa"/>
            <w:vAlign w:val="center"/>
          </w:tcPr>
          <w:p w14:paraId="4A034197">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亿元</w:t>
            </w:r>
          </w:p>
        </w:tc>
        <w:tc>
          <w:tcPr>
            <w:tcW w:w="992" w:type="dxa"/>
            <w:vAlign w:val="center"/>
          </w:tcPr>
          <w:p w14:paraId="2ED809C0">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2574</w:t>
            </w:r>
          </w:p>
        </w:tc>
        <w:tc>
          <w:tcPr>
            <w:tcW w:w="993" w:type="dxa"/>
            <w:vAlign w:val="center"/>
          </w:tcPr>
          <w:p w14:paraId="0405D999">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4500</w:t>
            </w:r>
          </w:p>
        </w:tc>
        <w:tc>
          <w:tcPr>
            <w:tcW w:w="2114" w:type="dxa"/>
            <w:vAlign w:val="center"/>
          </w:tcPr>
          <w:p w14:paraId="374A910A">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年均增长12%</w:t>
            </w:r>
          </w:p>
        </w:tc>
      </w:tr>
      <w:tr w14:paraId="656E8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98" w:hRule="atLeast"/>
          <w:jc w:val="center"/>
        </w:trPr>
        <w:tc>
          <w:tcPr>
            <w:tcW w:w="1408" w:type="dxa"/>
            <w:vMerge w:val="restart"/>
            <w:vAlign w:val="center"/>
          </w:tcPr>
          <w:p w14:paraId="3EEB0BC1">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创新能力</w:t>
            </w:r>
          </w:p>
        </w:tc>
        <w:tc>
          <w:tcPr>
            <w:tcW w:w="2425" w:type="dxa"/>
            <w:vAlign w:val="center"/>
          </w:tcPr>
          <w:p w14:paraId="0EB9AF51">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R&amp;D经费投入占GDP的比重</w:t>
            </w:r>
          </w:p>
        </w:tc>
        <w:tc>
          <w:tcPr>
            <w:tcW w:w="835" w:type="dxa"/>
            <w:vAlign w:val="center"/>
          </w:tcPr>
          <w:p w14:paraId="0F746D9F">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1D4F990E">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1.4</w:t>
            </w:r>
          </w:p>
        </w:tc>
        <w:tc>
          <w:tcPr>
            <w:tcW w:w="993" w:type="dxa"/>
            <w:vAlign w:val="center"/>
          </w:tcPr>
          <w:p w14:paraId="2E01D48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2.4</w:t>
            </w:r>
          </w:p>
        </w:tc>
        <w:tc>
          <w:tcPr>
            <w:tcW w:w="2114" w:type="dxa"/>
            <w:vAlign w:val="center"/>
          </w:tcPr>
          <w:p w14:paraId="0FE300D7">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年均提高0.2个百分点</w:t>
            </w:r>
          </w:p>
        </w:tc>
      </w:tr>
      <w:tr w14:paraId="510D8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907" w:hRule="atLeast"/>
          <w:jc w:val="center"/>
        </w:trPr>
        <w:tc>
          <w:tcPr>
            <w:tcW w:w="1408" w:type="dxa"/>
            <w:vMerge w:val="continue"/>
            <w:vAlign w:val="center"/>
          </w:tcPr>
          <w:p w14:paraId="5E1E797F">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3125CE69">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高新技术企业数量</w:t>
            </w:r>
          </w:p>
        </w:tc>
        <w:tc>
          <w:tcPr>
            <w:tcW w:w="835" w:type="dxa"/>
            <w:vAlign w:val="center"/>
          </w:tcPr>
          <w:p w14:paraId="6F26B179">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个</w:t>
            </w:r>
          </w:p>
        </w:tc>
        <w:tc>
          <w:tcPr>
            <w:tcW w:w="992" w:type="dxa"/>
            <w:vAlign w:val="center"/>
          </w:tcPr>
          <w:p w14:paraId="12122EC7">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1037</w:t>
            </w:r>
          </w:p>
        </w:tc>
        <w:tc>
          <w:tcPr>
            <w:tcW w:w="993" w:type="dxa"/>
            <w:vAlign w:val="center"/>
          </w:tcPr>
          <w:p w14:paraId="3FF1C244">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3500</w:t>
            </w:r>
          </w:p>
        </w:tc>
        <w:tc>
          <w:tcPr>
            <w:tcW w:w="2114" w:type="dxa"/>
            <w:vAlign w:val="center"/>
          </w:tcPr>
          <w:p w14:paraId="76383F2B">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每年新增高新技术企业近500家</w:t>
            </w:r>
          </w:p>
        </w:tc>
      </w:tr>
      <w:tr w14:paraId="24CAD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198" w:hRule="atLeast"/>
          <w:jc w:val="center"/>
        </w:trPr>
        <w:tc>
          <w:tcPr>
            <w:tcW w:w="1408" w:type="dxa"/>
            <w:vMerge w:val="continue"/>
            <w:vAlign w:val="center"/>
          </w:tcPr>
          <w:p w14:paraId="0FD06718">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09975FEF">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每万人口发明专利拥有量</w:t>
            </w:r>
          </w:p>
        </w:tc>
        <w:tc>
          <w:tcPr>
            <w:tcW w:w="835" w:type="dxa"/>
            <w:vAlign w:val="center"/>
          </w:tcPr>
          <w:p w14:paraId="03BE338B">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件</w:t>
            </w:r>
          </w:p>
        </w:tc>
        <w:tc>
          <w:tcPr>
            <w:tcW w:w="992" w:type="dxa"/>
            <w:vAlign w:val="center"/>
          </w:tcPr>
          <w:p w14:paraId="48B205F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10.44</w:t>
            </w:r>
          </w:p>
        </w:tc>
        <w:tc>
          <w:tcPr>
            <w:tcW w:w="993" w:type="dxa"/>
            <w:vAlign w:val="center"/>
          </w:tcPr>
          <w:p w14:paraId="7018A2FF">
            <w:pPr>
              <w:widowControl/>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&gt;20</w:t>
            </w:r>
          </w:p>
        </w:tc>
        <w:tc>
          <w:tcPr>
            <w:tcW w:w="2114" w:type="dxa"/>
            <w:vAlign w:val="center"/>
          </w:tcPr>
          <w:p w14:paraId="73D15B87">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年均增长15% </w:t>
            </w:r>
          </w:p>
        </w:tc>
      </w:tr>
      <w:tr w14:paraId="1853E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759" w:hRule="exact"/>
          <w:jc w:val="center"/>
        </w:trPr>
        <w:tc>
          <w:tcPr>
            <w:tcW w:w="1408" w:type="dxa"/>
            <w:vMerge w:val="restart"/>
            <w:vAlign w:val="center"/>
          </w:tcPr>
          <w:p w14:paraId="05C26320">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新型基础设施</w:t>
            </w:r>
          </w:p>
        </w:tc>
        <w:tc>
          <w:tcPr>
            <w:tcW w:w="2425" w:type="dxa"/>
            <w:vAlign w:val="center"/>
          </w:tcPr>
          <w:p w14:paraId="4A208DFF">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5G用户普及率</w:t>
            </w:r>
          </w:p>
        </w:tc>
        <w:tc>
          <w:tcPr>
            <w:tcW w:w="835" w:type="dxa"/>
            <w:vAlign w:val="center"/>
          </w:tcPr>
          <w:p w14:paraId="60DDAFB1">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0B24F80B">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c>
          <w:tcPr>
            <w:tcW w:w="993" w:type="dxa"/>
            <w:vAlign w:val="center"/>
          </w:tcPr>
          <w:p w14:paraId="7A386255">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70</w:t>
            </w:r>
          </w:p>
        </w:tc>
        <w:tc>
          <w:tcPr>
            <w:tcW w:w="2114" w:type="dxa"/>
            <w:vAlign w:val="center"/>
          </w:tcPr>
          <w:p w14:paraId="1FF39E25">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年均提高11个百分点</w:t>
            </w:r>
          </w:p>
        </w:tc>
      </w:tr>
      <w:tr w14:paraId="47E40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703" w:hRule="exact"/>
          <w:jc w:val="center"/>
        </w:trPr>
        <w:tc>
          <w:tcPr>
            <w:tcW w:w="1408" w:type="dxa"/>
            <w:vMerge w:val="continue"/>
            <w:vAlign w:val="center"/>
          </w:tcPr>
          <w:p w14:paraId="4ABA4380">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1BBAA67A">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IPv6活跃用户数</w:t>
            </w:r>
          </w:p>
        </w:tc>
        <w:tc>
          <w:tcPr>
            <w:tcW w:w="835" w:type="dxa"/>
            <w:vAlign w:val="center"/>
          </w:tcPr>
          <w:p w14:paraId="231F4745">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万户</w:t>
            </w:r>
          </w:p>
        </w:tc>
        <w:tc>
          <w:tcPr>
            <w:tcW w:w="992" w:type="dxa"/>
            <w:vAlign w:val="center"/>
          </w:tcPr>
          <w:p w14:paraId="1CBCC59A">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1000</w:t>
            </w:r>
          </w:p>
        </w:tc>
        <w:tc>
          <w:tcPr>
            <w:tcW w:w="993" w:type="dxa"/>
            <w:vAlign w:val="center"/>
          </w:tcPr>
          <w:p w14:paraId="41F19F2E">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2000</w:t>
            </w:r>
          </w:p>
        </w:tc>
        <w:tc>
          <w:tcPr>
            <w:tcW w:w="2114" w:type="dxa"/>
            <w:vAlign w:val="center"/>
          </w:tcPr>
          <w:p w14:paraId="3ED3DBBF">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年均新增200万户</w:t>
            </w:r>
          </w:p>
        </w:tc>
      </w:tr>
      <w:tr w14:paraId="6C052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744" w:hRule="exact"/>
          <w:jc w:val="center"/>
        </w:trPr>
        <w:tc>
          <w:tcPr>
            <w:tcW w:w="1408" w:type="dxa"/>
            <w:vMerge w:val="continue"/>
            <w:vAlign w:val="center"/>
          </w:tcPr>
          <w:p w14:paraId="327F172B">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3B6E5153">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千兆宽带家庭普及率</w:t>
            </w:r>
          </w:p>
        </w:tc>
        <w:tc>
          <w:tcPr>
            <w:tcW w:w="835" w:type="dxa"/>
            <w:vAlign w:val="center"/>
          </w:tcPr>
          <w:p w14:paraId="6CAFB177">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p>
        </w:tc>
        <w:tc>
          <w:tcPr>
            <w:tcW w:w="992" w:type="dxa"/>
            <w:vAlign w:val="center"/>
          </w:tcPr>
          <w:p w14:paraId="24AF7374">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993" w:type="dxa"/>
            <w:vAlign w:val="center"/>
          </w:tcPr>
          <w:p w14:paraId="2B7C3A9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w:t>
            </w:r>
          </w:p>
        </w:tc>
        <w:tc>
          <w:tcPr>
            <w:tcW w:w="2114" w:type="dxa"/>
            <w:vAlign w:val="center"/>
          </w:tcPr>
          <w:p w14:paraId="52B74139">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年均提高4个百分点</w:t>
            </w:r>
          </w:p>
        </w:tc>
      </w:tr>
      <w:tr w14:paraId="7AAE8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767" w:hRule="exact"/>
          <w:jc w:val="center"/>
        </w:trPr>
        <w:tc>
          <w:tcPr>
            <w:tcW w:w="1408" w:type="dxa"/>
            <w:vMerge w:val="continue"/>
            <w:vAlign w:val="center"/>
          </w:tcPr>
          <w:p w14:paraId="58391477">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598D0A2E">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互联网出口带宽</w:t>
            </w:r>
          </w:p>
        </w:tc>
        <w:tc>
          <w:tcPr>
            <w:tcW w:w="835" w:type="dxa"/>
            <w:vAlign w:val="center"/>
          </w:tcPr>
          <w:p w14:paraId="17D5F696">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Tbps</w:t>
            </w:r>
          </w:p>
        </w:tc>
        <w:tc>
          <w:tcPr>
            <w:tcW w:w="992" w:type="dxa"/>
            <w:vAlign w:val="center"/>
          </w:tcPr>
          <w:p w14:paraId="2F5419E6">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w:t>
            </w:r>
          </w:p>
        </w:tc>
        <w:tc>
          <w:tcPr>
            <w:tcW w:w="993" w:type="dxa"/>
            <w:vAlign w:val="center"/>
          </w:tcPr>
          <w:p w14:paraId="0F827C3A">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24</w:t>
            </w:r>
          </w:p>
        </w:tc>
        <w:tc>
          <w:tcPr>
            <w:tcW w:w="2114" w:type="dxa"/>
            <w:vAlign w:val="center"/>
          </w:tcPr>
          <w:p w14:paraId="4599D97E">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年均增长24.5%以上</w:t>
            </w:r>
          </w:p>
        </w:tc>
      </w:tr>
      <w:tr w14:paraId="2A6AC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833" w:hRule="exact"/>
          <w:jc w:val="center"/>
        </w:trPr>
        <w:tc>
          <w:tcPr>
            <w:tcW w:w="1408" w:type="dxa"/>
            <w:vMerge w:val="continue"/>
            <w:vAlign w:val="center"/>
          </w:tcPr>
          <w:p w14:paraId="7338F4E2">
            <w:pPr>
              <w:widowControl/>
              <w:spacing w:line="320" w:lineRule="exact"/>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3FB242A7">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物联网终端用户数</w:t>
            </w:r>
          </w:p>
        </w:tc>
        <w:tc>
          <w:tcPr>
            <w:tcW w:w="835" w:type="dxa"/>
            <w:vAlign w:val="center"/>
          </w:tcPr>
          <w:p w14:paraId="3F9238A4">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万个</w:t>
            </w:r>
          </w:p>
        </w:tc>
        <w:tc>
          <w:tcPr>
            <w:tcW w:w="992" w:type="dxa"/>
            <w:vAlign w:val="center"/>
          </w:tcPr>
          <w:p w14:paraId="37DCF31D">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700</w:t>
            </w:r>
          </w:p>
        </w:tc>
        <w:tc>
          <w:tcPr>
            <w:tcW w:w="993" w:type="dxa"/>
            <w:vAlign w:val="center"/>
          </w:tcPr>
          <w:p w14:paraId="18765D22">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1750</w:t>
            </w:r>
          </w:p>
        </w:tc>
        <w:tc>
          <w:tcPr>
            <w:tcW w:w="2114" w:type="dxa"/>
            <w:vAlign w:val="center"/>
          </w:tcPr>
          <w:p w14:paraId="330A2AE6">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年均增长20%以上</w:t>
            </w:r>
          </w:p>
        </w:tc>
      </w:tr>
      <w:tr w14:paraId="52796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cantSplit/>
          <w:trHeight w:val="826" w:hRule="exact"/>
          <w:jc w:val="center"/>
        </w:trPr>
        <w:tc>
          <w:tcPr>
            <w:tcW w:w="1408" w:type="dxa"/>
            <w:vMerge w:val="continue"/>
            <w:vAlign w:val="center"/>
          </w:tcPr>
          <w:p w14:paraId="7A061BE8">
            <w:pPr>
              <w:widowControl/>
              <w:jc w:val="center"/>
              <w:textAlignment w:val="center"/>
              <w:rPr>
                <w:rFonts w:ascii="Times New Roman" w:hAnsi="Times New Roman" w:eastAsia="仿宋_GB2312" w:cs="Times New Roman"/>
                <w:color w:val="000000"/>
                <w:kern w:val="0"/>
                <w:sz w:val="28"/>
                <w:szCs w:val="28"/>
              </w:rPr>
            </w:pPr>
          </w:p>
        </w:tc>
        <w:tc>
          <w:tcPr>
            <w:tcW w:w="2425" w:type="dxa"/>
            <w:vAlign w:val="center"/>
          </w:tcPr>
          <w:p w14:paraId="53E67294">
            <w:pPr>
              <w:widowControl/>
              <w:ind w:left="122" w:leftChars="58" w:right="159" w:rightChars="76"/>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数据中心总算力</w:t>
            </w:r>
          </w:p>
        </w:tc>
        <w:tc>
          <w:tcPr>
            <w:tcW w:w="835" w:type="dxa"/>
            <w:vAlign w:val="center"/>
          </w:tcPr>
          <w:p w14:paraId="446BE870">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EFLOPS</w:t>
            </w:r>
          </w:p>
        </w:tc>
        <w:tc>
          <w:tcPr>
            <w:tcW w:w="992" w:type="dxa"/>
            <w:vAlign w:val="center"/>
          </w:tcPr>
          <w:p w14:paraId="30FA3A76">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0.47</w:t>
            </w:r>
          </w:p>
        </w:tc>
        <w:tc>
          <w:tcPr>
            <w:tcW w:w="993" w:type="dxa"/>
            <w:vAlign w:val="center"/>
          </w:tcPr>
          <w:p w14:paraId="100592A9">
            <w:pPr>
              <w:widowControl/>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1.8</w:t>
            </w:r>
          </w:p>
        </w:tc>
        <w:tc>
          <w:tcPr>
            <w:tcW w:w="2114" w:type="dxa"/>
            <w:vAlign w:val="center"/>
          </w:tcPr>
          <w:p w14:paraId="31F5F245">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年均增长30.5%以上</w:t>
            </w:r>
          </w:p>
        </w:tc>
      </w:tr>
    </w:tbl>
    <w:p w14:paraId="591218CE">
      <w:pP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注：EFLOPS指“百亿亿次级计算”</w:t>
      </w:r>
    </w:p>
    <w:p w14:paraId="5FCFFA97">
      <w:pPr>
        <w:spacing w:line="360" w:lineRule="auto"/>
        <w:rPr>
          <w:rFonts w:ascii="Times New Roman" w:hAnsi="Times New Roman" w:eastAsia="仿宋_GB2312" w:cs="Times New Roman"/>
          <w:color w:val="000000"/>
          <w:sz w:val="28"/>
          <w:szCs w:val="28"/>
        </w:rPr>
        <w:sectPr>
          <w:footerReference r:id="rId10" w:type="default"/>
          <w:pgSz w:w="11906" w:h="16838"/>
          <w:pgMar w:top="1418" w:right="1474" w:bottom="1418" w:left="1588" w:header="851" w:footer="992" w:gutter="0"/>
          <w:cols w:space="720" w:num="1"/>
          <w:docGrid w:type="lines" w:linePitch="312" w:charSpace="0"/>
        </w:sectPr>
      </w:pPr>
    </w:p>
    <w:p w14:paraId="2247F38C">
      <w:pPr>
        <w:keepNext/>
        <w:keepLines/>
        <w:spacing w:before="340" w:after="240" w:line="596" w:lineRule="exact"/>
        <w:jc w:val="center"/>
        <w:outlineLvl w:val="0"/>
        <w:rPr>
          <w:rFonts w:ascii="Times New Roman" w:hAnsi="Times New Roman" w:eastAsia="方正小标宋简体" w:cs="Times New Roman"/>
          <w:color w:val="000000"/>
          <w:kern w:val="44"/>
          <w:sz w:val="36"/>
          <w:szCs w:val="36"/>
        </w:rPr>
      </w:pPr>
      <w:bookmarkStart w:id="32" w:name="_Toc84782340"/>
      <w:bookmarkStart w:id="33" w:name="_Toc87894492"/>
      <w:bookmarkStart w:id="34" w:name="_Toc84783857"/>
      <w:bookmarkStart w:id="35" w:name="_Toc94308407"/>
      <w:bookmarkStart w:id="36" w:name="_Toc31650"/>
      <w:r>
        <w:rPr>
          <w:rFonts w:ascii="Times New Roman" w:hAnsi="Times New Roman" w:eastAsia="方正小标宋简体" w:cs="Times New Roman"/>
          <w:color w:val="000000"/>
          <w:kern w:val="44"/>
          <w:sz w:val="36"/>
          <w:szCs w:val="36"/>
        </w:rPr>
        <w:t xml:space="preserve">第三章 </w:t>
      </w:r>
      <w:bookmarkEnd w:id="32"/>
      <w:bookmarkEnd w:id="33"/>
      <w:bookmarkEnd w:id="34"/>
      <w:r>
        <w:rPr>
          <w:rFonts w:ascii="Times New Roman" w:hAnsi="Times New Roman" w:eastAsia="方正小标宋简体" w:cs="Times New Roman"/>
          <w:color w:val="000000"/>
          <w:kern w:val="44"/>
          <w:sz w:val="36"/>
          <w:szCs w:val="36"/>
        </w:rPr>
        <w:t>提升数字化治理能力，构建数字政府新模式</w:t>
      </w:r>
      <w:bookmarkEnd w:id="35"/>
    </w:p>
    <w:p w14:paraId="60C78D7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推进数字政府建设，全面提升政府治理的数字化、网络化、智能化水平，推动政府治理流程再造和模式优化，加强资源集约统筹利用，实现政务信息化建设由投资驱动向效能驱动转变，迈入以数据赋能、协同治理、智慧决策、优质服务为主要特征的融慧治理新阶段。</w:t>
      </w:r>
    </w:p>
    <w:p w14:paraId="2CEA2E58">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37" w:name="_Toc84782341"/>
      <w:bookmarkStart w:id="38" w:name="_Toc87894493"/>
      <w:bookmarkStart w:id="39" w:name="_Toc84783858"/>
      <w:bookmarkStart w:id="40" w:name="_Toc94308408"/>
      <w:bookmarkStart w:id="41" w:name="_Toc73545482"/>
      <w:bookmarkStart w:id="42" w:name="_Toc16197"/>
      <w:r>
        <w:rPr>
          <w:rFonts w:ascii="Times New Roman" w:hAnsi="Times New Roman" w:eastAsia="方正黑体简体" w:cs="Times New Roman"/>
          <w:bCs/>
          <w:color w:val="000000"/>
          <w:sz w:val="32"/>
          <w:szCs w:val="32"/>
        </w:rPr>
        <w:t xml:space="preserve">第一节 </w:t>
      </w:r>
      <w:bookmarkEnd w:id="37"/>
      <w:bookmarkEnd w:id="38"/>
      <w:bookmarkEnd w:id="39"/>
      <w:r>
        <w:rPr>
          <w:rFonts w:ascii="Times New Roman" w:hAnsi="Times New Roman" w:eastAsia="方正黑体简体" w:cs="Times New Roman"/>
          <w:bCs/>
          <w:color w:val="000000"/>
          <w:sz w:val="32"/>
          <w:szCs w:val="32"/>
        </w:rPr>
        <w:t>夯实数字政府基础支撑能力</w:t>
      </w:r>
      <w:bookmarkEnd w:id="40"/>
    </w:p>
    <w:p w14:paraId="4D8C9BB2">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构建市级一体化办公平台及“互联网+政务服务”一体化平台，夯实数字政府基础支撑能力。推进政务信息系统云迁移，实现政务网与政务云</w:t>
      </w:r>
      <w:r>
        <w:rPr>
          <w:rFonts w:ascii="Times New Roman" w:hAnsi="Times New Roman" w:eastAsia="仿宋_GB2312" w:cs="Times New Roman"/>
          <w:bCs/>
          <w:color w:val="000000"/>
          <w:sz w:val="32"/>
          <w:szCs w:val="28"/>
        </w:rPr>
        <w:t>“云网融合”</w:t>
      </w:r>
      <w:r>
        <w:rPr>
          <w:rFonts w:ascii="Times New Roman" w:hAnsi="Times New Roman" w:eastAsia="仿宋_GB2312" w:cs="Times New Roman"/>
          <w:color w:val="000000"/>
          <w:sz w:val="32"/>
          <w:szCs w:val="28"/>
        </w:rPr>
        <w:t>，网站群、OA、审批三大协同，增强政务信息系统快速部署能力和弹性扩展能力。</w:t>
      </w:r>
    </w:p>
    <w:p w14:paraId="2A2FD3B8">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一、推进政务网络整合与优化</w:t>
      </w:r>
    </w:p>
    <w:p w14:paraId="04A85857">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在全省电子政务网络体系下，推进我市政务信息网、政务外网、无线政务专网、政务内网向统一的电子政务网络整合优化，建成横向到边、纵向到底的政务外网和政务内网“两张网”，构建统一的电子政务网络体系。拓宽电子政务外网服务范围，按照应接尽接的原则，加快推进电子政务外网覆盖和带宽。推进全市电子政务外网IPv6改造，推进骨干网和城域网IPv6互联互通，完善电子政务外网IPv6应用支撑能力。遵循省统一规范要求，将全市各类分散隔离的非涉密业务专网，通过业务系统迁移、网络割接、线路合并等方式整合到统一的政务外网，提升政务网络安全与支撑服务能力。</w:t>
      </w:r>
    </w:p>
    <w:p w14:paraId="5E5916BA">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二、提升政务云服务支撑能力</w:t>
      </w:r>
    </w:p>
    <w:p w14:paraId="0937B0B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推进计算、存储等资源扩容，加强政务云PaaS服务能力，提供“按需分配，弹性伸缩”的基础软硬件云服务，推动全市政务云资源统一管理、灵活管控，进一步提高资源利用率。遵循省“数字政府”政务云平台总体框架和建设要求，依据国家安全、可靠应用标准对现有政务云平台进行整合优化，构建自主创新、高可靠国产政务云服务环境，为全市提供可信国产政务云服务，满足不同系统多元化需求。强化网络安全保障，严格落实分等级保护制度，增强政务信息化基础设施和系统、数据安全保障能力。</w:t>
      </w:r>
    </w:p>
    <w:p w14:paraId="59B750ED">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三、提升政务应用通用服务支撑能力</w:t>
      </w:r>
    </w:p>
    <w:p w14:paraId="1D00991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按照公共平台集约化建设原则，推广“数字福建”公共平台应用，建设一批公共应用平台，提升全市统一的政务应用支撑能力，为政务应用提供通用支撑服务。</w:t>
      </w:r>
    </w:p>
    <w:p w14:paraId="734B5DA6">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数据汇聚共享支撑能力</w:t>
      </w:r>
      <w:r>
        <w:rPr>
          <w:rFonts w:ascii="Times New Roman" w:hAnsi="Times New Roman" w:eastAsia="仿宋_GB2312" w:cs="Times New Roman"/>
          <w:color w:val="000000"/>
          <w:sz w:val="32"/>
          <w:szCs w:val="28"/>
        </w:rPr>
        <w:t>。持续优化升级市级政务数据汇聚共享平台，完善人口、</w:t>
      </w:r>
      <w:r>
        <w:rPr>
          <w:rFonts w:ascii="Times New Roman" w:hAnsi="Times New Roman" w:eastAsia="仿宋_GB2312" w:cs="Times New Roman"/>
          <w:bCs/>
          <w:color w:val="000000"/>
          <w:sz w:val="32"/>
          <w:szCs w:val="28"/>
        </w:rPr>
        <w:t>法人</w:t>
      </w:r>
      <w:r>
        <w:rPr>
          <w:rFonts w:ascii="Times New Roman" w:hAnsi="Times New Roman" w:eastAsia="仿宋_GB2312" w:cs="Times New Roman"/>
          <w:color w:val="000000"/>
          <w:sz w:val="32"/>
          <w:szCs w:val="28"/>
        </w:rPr>
        <w:t>、自然资源、经济数据等基础数据库，构建专业主题数据库，推广“政务服务总线”应用，推进跨层级、跨系统的信息共享。</w:t>
      </w:r>
    </w:p>
    <w:p w14:paraId="606A70F1">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公共视频服务支撑能力</w:t>
      </w:r>
      <w:r>
        <w:rPr>
          <w:rFonts w:ascii="Times New Roman" w:hAnsi="Times New Roman" w:eastAsia="仿宋_GB2312" w:cs="Times New Roman"/>
          <w:color w:val="000000"/>
          <w:sz w:val="32"/>
          <w:szCs w:val="28"/>
        </w:rPr>
        <w:t>。构建统一的城市视频融合赋能平台，形成统一的视频数据资源池，实现“全域覆盖、全网共享、全时可用、全程可控”的公共视频服务支撑能力。</w:t>
      </w:r>
    </w:p>
    <w:p w14:paraId="1C950C58">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地理信息公共服务支撑能力</w:t>
      </w:r>
      <w:r>
        <w:rPr>
          <w:rFonts w:ascii="Times New Roman" w:hAnsi="Times New Roman" w:eastAsia="仿宋_GB2312" w:cs="Times New Roman"/>
          <w:color w:val="000000"/>
          <w:sz w:val="32"/>
          <w:szCs w:val="28"/>
        </w:rPr>
        <w:t>。加强泉州市地理信息公共服务平台建设和应用，形成“标准统一、基准一致、内容全面、覆盖全市、实时更新”的地理信息公共服务支撑体系。推进建设泉州市资源规划综合信息平台建设。</w:t>
      </w:r>
    </w:p>
    <w:p w14:paraId="0548F233">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公共网格化服务支撑能力</w:t>
      </w:r>
      <w:r>
        <w:rPr>
          <w:rFonts w:ascii="Times New Roman" w:hAnsi="Times New Roman" w:eastAsia="仿宋_GB2312" w:cs="Times New Roman"/>
          <w:color w:val="000000"/>
          <w:sz w:val="32"/>
          <w:szCs w:val="28"/>
        </w:rPr>
        <w:t>。推进网格化平台升级改造，推行“网格化+职能应用”服务管理模式，提供市、县、乡、村、单元网格五级运行网络服务能力。</w:t>
      </w:r>
    </w:p>
    <w:p w14:paraId="383661B9">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四、建设一批政务协同应用平台</w:t>
      </w:r>
    </w:p>
    <w:p w14:paraId="13CCC97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合理规划、整合、建设全市政务应用平台，实现跨层级、跨地域、跨系统、跨部门、跨业务的</w:t>
      </w:r>
      <w:r>
        <w:rPr>
          <w:rFonts w:ascii="Times New Roman" w:hAnsi="Times New Roman" w:eastAsia="仿宋_GB2312" w:cs="Times New Roman"/>
          <w:bCs/>
          <w:color w:val="000000"/>
          <w:sz w:val="32"/>
          <w:szCs w:val="28"/>
        </w:rPr>
        <w:t>协同</w:t>
      </w:r>
      <w:r>
        <w:rPr>
          <w:rFonts w:ascii="Times New Roman" w:hAnsi="Times New Roman" w:eastAsia="仿宋_GB2312" w:cs="Times New Roman"/>
          <w:color w:val="000000"/>
          <w:sz w:val="32"/>
          <w:szCs w:val="28"/>
        </w:rPr>
        <w:t>管理和服务。</w:t>
      </w:r>
    </w:p>
    <w:p w14:paraId="4C5D0061">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整合优化政府网站体系</w:t>
      </w:r>
      <w:r>
        <w:rPr>
          <w:rFonts w:ascii="Times New Roman" w:hAnsi="Times New Roman" w:eastAsia="仿宋_GB2312" w:cs="Times New Roman"/>
          <w:color w:val="000000"/>
          <w:sz w:val="32"/>
          <w:szCs w:val="28"/>
        </w:rPr>
        <w:t>。通过集约化网站建设，提高网站在信息公开、网上办事、公众参与等方面的水平，实现政府网站一站式窗口，统一门户服务社会公众。</w:t>
      </w:r>
    </w:p>
    <w:p w14:paraId="3DC1EF2A">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建设市级“互联网+政务服务”一体化平台</w:t>
      </w:r>
      <w:r>
        <w:rPr>
          <w:rFonts w:ascii="Times New Roman" w:hAnsi="Times New Roman" w:eastAsia="仿宋_GB2312" w:cs="Times New Roman"/>
          <w:color w:val="000000"/>
          <w:sz w:val="32"/>
          <w:szCs w:val="28"/>
        </w:rPr>
        <w:t>。构建市、县、乡、村四级联动的“</w:t>
      </w:r>
      <w:r>
        <w:rPr>
          <w:rFonts w:ascii="Times New Roman" w:hAnsi="Times New Roman" w:eastAsia="仿宋_GB2312" w:cs="Times New Roman"/>
          <w:bCs/>
          <w:color w:val="000000"/>
          <w:sz w:val="32"/>
          <w:szCs w:val="28"/>
        </w:rPr>
        <w:t>互联网</w:t>
      </w:r>
      <w:r>
        <w:rPr>
          <w:rFonts w:ascii="Times New Roman" w:hAnsi="Times New Roman" w:eastAsia="仿宋_GB2312" w:cs="Times New Roman"/>
          <w:color w:val="000000"/>
          <w:sz w:val="32"/>
          <w:szCs w:val="28"/>
        </w:rPr>
        <w:t>+政务服务”一体化行政服务平台，实现“一号一窗一网”。</w:t>
      </w:r>
    </w:p>
    <w:p w14:paraId="3BCF5B8E">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建设市级协同办公一体化平台</w:t>
      </w:r>
      <w:r>
        <w:rPr>
          <w:rFonts w:ascii="Times New Roman" w:hAnsi="Times New Roman" w:eastAsia="仿宋_GB2312" w:cs="Times New Roman"/>
          <w:color w:val="000000"/>
          <w:sz w:val="32"/>
          <w:szCs w:val="28"/>
        </w:rPr>
        <w:t>。建设市、县两级政府部门统一的办公应用平台，实现跨层级、跨部门的公文办理和业务协同，实现政务人员</w:t>
      </w:r>
      <w:r>
        <w:rPr>
          <w:rFonts w:ascii="Times New Roman" w:hAnsi="Times New Roman" w:eastAsia="仿宋_GB2312" w:cs="Times New Roman"/>
          <w:bCs/>
          <w:color w:val="000000"/>
          <w:sz w:val="32"/>
          <w:szCs w:val="28"/>
        </w:rPr>
        <w:t>办公</w:t>
      </w:r>
      <w:r>
        <w:rPr>
          <w:rFonts w:ascii="Times New Roman" w:hAnsi="Times New Roman" w:eastAsia="仿宋_GB2312" w:cs="Times New Roman"/>
          <w:color w:val="000000"/>
          <w:sz w:val="32"/>
          <w:szCs w:val="28"/>
        </w:rPr>
        <w:t>业务“掌上办”“政务办公一趟不用跑”。规范电子文档和电子档案管理，推动数字档案建设。</w:t>
      </w:r>
    </w:p>
    <w:bookmarkEnd w:id="41"/>
    <w:p w14:paraId="08D177F6">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43" w:name="_Toc84783859"/>
      <w:bookmarkStart w:id="44" w:name="_Toc84782342"/>
      <w:bookmarkStart w:id="45" w:name="_Toc87894494"/>
      <w:bookmarkStart w:id="46" w:name="_Toc94308409"/>
      <w:r>
        <w:rPr>
          <w:rFonts w:ascii="Times New Roman" w:hAnsi="Times New Roman" w:eastAsia="方正黑体简体" w:cs="Times New Roman"/>
          <w:bCs/>
          <w:color w:val="000000"/>
          <w:sz w:val="32"/>
          <w:szCs w:val="32"/>
        </w:rPr>
        <w:t xml:space="preserve">第二节 </w:t>
      </w:r>
      <w:bookmarkEnd w:id="43"/>
      <w:bookmarkEnd w:id="44"/>
      <w:bookmarkEnd w:id="45"/>
      <w:r>
        <w:rPr>
          <w:rFonts w:ascii="Times New Roman" w:hAnsi="Times New Roman" w:eastAsia="方正黑体简体" w:cs="Times New Roman"/>
          <w:bCs/>
          <w:color w:val="000000"/>
          <w:sz w:val="32"/>
          <w:szCs w:val="32"/>
        </w:rPr>
        <w:t>增强数字政府政务服务效能</w:t>
      </w:r>
      <w:bookmarkEnd w:id="46"/>
    </w:p>
    <w:p w14:paraId="334B694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全面推进政府运行方式、业务流程和服务模式数字化智能化，提升掌上便民“泉服务”应用，加快实现“一网好办”。加快数字政府升级，强化电子证照应用，全面提升“互联网+政务服务”，营造良好数字营商环境。</w:t>
      </w:r>
    </w:p>
    <w:p w14:paraId="4C1718B4">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一、提升“互联网+政务服务”水平</w:t>
      </w:r>
    </w:p>
    <w:p w14:paraId="6818C501">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推进政府服务模式数字化</w:t>
      </w:r>
      <w:r>
        <w:rPr>
          <w:rFonts w:ascii="Times New Roman" w:hAnsi="Times New Roman" w:eastAsia="仿宋_GB2312" w:cs="Times New Roman"/>
          <w:color w:val="000000"/>
          <w:sz w:val="32"/>
          <w:szCs w:val="28"/>
        </w:rPr>
        <w:t>。推进政府内部业务流程整合优化，打造7×24小时“随时办”服务的“不打烊”数字政府。依托“泉服务”平台等应用，进一步提升政务服务手机端“掌上办”、电脑端“网上办”、服务大厅“一窗办”、自助一体机“就近办”、政务事项“邮递办”水平，全方位推进“网上办、掌上办、一次办、自助办、就近办、跨域办”，并持续增加“秒批、秒办”申办事项数量。</w:t>
      </w:r>
    </w:p>
    <w:p w14:paraId="2E2D602D">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创新政府服务模式智能化</w:t>
      </w:r>
      <w:r>
        <w:rPr>
          <w:rFonts w:ascii="Times New Roman" w:hAnsi="Times New Roman" w:eastAsia="仿宋_GB2312" w:cs="Times New Roman"/>
          <w:color w:val="000000"/>
          <w:sz w:val="32"/>
          <w:szCs w:val="28"/>
        </w:rPr>
        <w:t>。打造“开卷式审批”新模式，建立智能化申报材料自审系统，引导群众判断材料的完整性、准确性和有效性；预测与深入辨识用户个性化服务需求，自动提示、引导和评价，为公众提供定制化服务，实现“一事快办”迈向“一键智办”，并逐步实现由“一网通办”迈向“一网好办”。</w:t>
      </w:r>
    </w:p>
    <w:p w14:paraId="44CAEB87">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提升政务服务模式标准化</w:t>
      </w:r>
      <w:r>
        <w:rPr>
          <w:rFonts w:ascii="Times New Roman" w:hAnsi="Times New Roman" w:eastAsia="仿宋_GB2312" w:cs="Times New Roman"/>
          <w:color w:val="000000"/>
          <w:sz w:val="32"/>
          <w:szCs w:val="28"/>
        </w:rPr>
        <w:t>。全面梳理政务服务事项，实施行政审批服务事项“五级十五同”目录清单管理，深化全市政务服务“好差评”系统应用，畅通政民互动信息通道，推动服务绩效由企业和群众来评判。推进线上服务适老化及无障碍改造，助力老年人等特殊群体办事无障碍方面的优秀创新做法。</w:t>
      </w:r>
    </w:p>
    <w:p w14:paraId="4660F546">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二、加速数字化赋能营商环境</w:t>
      </w:r>
    </w:p>
    <w:p w14:paraId="703CABEC">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强化电子证照应用，促进营商环境优化</w:t>
      </w:r>
      <w:r>
        <w:rPr>
          <w:rFonts w:ascii="Times New Roman" w:hAnsi="Times New Roman" w:eastAsia="仿宋_GB2312" w:cs="Times New Roman"/>
          <w:color w:val="000000"/>
          <w:sz w:val="32"/>
          <w:szCs w:val="28"/>
        </w:rPr>
        <w:t>。推动电子证照在全市行政审批、公共服务等领域的便利化应用，逐步实现电子证照“网上查证、掌上亮证、自助打证”。推动行政服务中心转型升级，深化“证照分离”改革，推广“不见面审批”。加强营商法治保障，全市推行全流程电子化招投标，实现“不见面招投标”。</w:t>
      </w:r>
    </w:p>
    <w:p w14:paraId="0E6783BD">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打造亲清政府，营造一流营商环境</w:t>
      </w:r>
      <w:r>
        <w:rPr>
          <w:rFonts w:ascii="Times New Roman" w:hAnsi="Times New Roman" w:eastAsia="仿宋_GB2312" w:cs="Times New Roman"/>
          <w:color w:val="000000"/>
          <w:sz w:val="32"/>
          <w:szCs w:val="28"/>
        </w:rPr>
        <w:t>。立足泉州民营经济特色，着重推进政府数字化转型，全力升级涉企服务，市、县联动、政银企协同，加快市、县涉企事项掌上办、掌上联办“一件事一次办”、惠企服务掌上办、对可实现“免申即享”事项及时办，支持泉州台商投资区试点推行“掌上不动产”服务模式，精准服务企业和项目，构建台胞台企登陆的第一家园服务体系。推广泉州台商投资区搭建“亲清家园”在线服务平台做法，构建亲清政商民关系，打造“亲而又清”营商环境。</w:t>
      </w:r>
    </w:p>
    <w:p w14:paraId="73A4FBE7">
      <w:pPr>
        <w:spacing w:line="580" w:lineRule="exact"/>
        <w:ind w:firstLine="643"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全面提升营商指标信息化支撑</w:t>
      </w:r>
      <w:r>
        <w:rPr>
          <w:rFonts w:ascii="Times New Roman" w:hAnsi="Times New Roman" w:eastAsia="仿宋_GB2312" w:cs="Times New Roman"/>
          <w:color w:val="000000"/>
          <w:sz w:val="32"/>
          <w:szCs w:val="28"/>
        </w:rPr>
        <w:t>。加快政府数字化技术转型和数据保障，统筹政府事项对接、数据汇聚、平台应用，全力支撑“互联网+政府服务”进程。全面实施营商环境“1+17”指标领域优化提升行动，到2023年，进入全国营商环境标杆城市。</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BC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42" w:type="dxa"/>
          </w:tcPr>
          <w:p w14:paraId="38F806CB">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政府便民服务工程</w:t>
            </w:r>
          </w:p>
        </w:tc>
      </w:tr>
      <w:tr w14:paraId="486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7DC558DE">
            <w:pPr>
              <w:spacing w:line="600" w:lineRule="exact"/>
              <w:ind w:firstLine="562"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掌上便民“泉服务”</w:t>
            </w:r>
            <w:r>
              <w:rPr>
                <w:rFonts w:ascii="Times New Roman" w:hAnsi="Times New Roman" w:eastAsia="仿宋_GB2312" w:cs="Times New Roman"/>
                <w:color w:val="000000"/>
                <w:sz w:val="28"/>
                <w:szCs w:val="28"/>
              </w:rPr>
              <w:t>。加快推进泉服务移动便民一体化平台建设。按照“一个门户、一个标准、一套制度”的新型模式，采用“统管分建”方式，开发“泉服务”APP，打造城市级统一掌上便民服务入口，实现政务服务一键办理，身份认证一号通认。在微信、支付宝等平台增加“泉服务”入口，梳理推动使用市级及以下自建系统的高频政务服务、便民惠企服务及公益类社会服务事项入驻“泉服务”，推动更多的窗口办、网上办事项，逐步迁移至手机端，实现掌上办。</w:t>
            </w:r>
          </w:p>
          <w:p w14:paraId="52666584">
            <w:pPr>
              <w:spacing w:line="600" w:lineRule="exact"/>
              <w:ind w:firstLine="562"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电子证照促营商</w:t>
            </w:r>
            <w:r>
              <w:rPr>
                <w:rFonts w:ascii="Times New Roman" w:hAnsi="Times New Roman" w:eastAsia="仿宋_GB2312" w:cs="Times New Roman"/>
                <w:color w:val="000000"/>
                <w:sz w:val="28"/>
                <w:szCs w:val="28"/>
              </w:rPr>
              <w:t>。建立电子证照共享互认机制，实现电子证照“一库管理、互认共享”。选取一批高频和跨省、跨市电子证照应用事项纳入试点，实现电子证照和纸质证照的同步生成、同步变更、同步废止和办事材料自动关联引用，以及跨地区互认共享。引入“区块链+电子证照”技术，实现实体证照与区块链电子证照同步发放，打造全方位在线政务服务新模式。</w:t>
            </w:r>
          </w:p>
          <w:p w14:paraId="4AC66F36">
            <w:pPr>
              <w:spacing w:line="600" w:lineRule="exact"/>
              <w:ind w:firstLine="562"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b/>
                <w:color w:val="000000"/>
                <w:sz w:val="28"/>
                <w:szCs w:val="28"/>
              </w:rPr>
              <w:t>“互联网+政务服务”增效能</w:t>
            </w:r>
            <w:r>
              <w:rPr>
                <w:rFonts w:ascii="Times New Roman" w:hAnsi="Times New Roman" w:eastAsia="仿宋_GB2312" w:cs="Times New Roman"/>
                <w:color w:val="000000"/>
                <w:sz w:val="28"/>
                <w:szCs w:val="28"/>
              </w:rPr>
              <w:t>。加强政府网站管理，打造官微、公众号、客户端等新媒体传，构建市、县、乡、村四级联动的“互联网+政务服务”一体化行政服务平台，实现“一号一窗一网”，并继续深化应用，提升政务服务环境。建设“泉州市12345便民服务平台”，实现综合受理，协同办理；加快推进“泉州市公共资源交易平台”建设，实现工程建设项目招标投标、政府采购、土地使用权和矿业权出让、国有资产交易系统等信息与资源共享。</w:t>
            </w:r>
          </w:p>
        </w:tc>
      </w:tr>
    </w:tbl>
    <w:p w14:paraId="3A7336EC">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三、创新“互联网+监管”服务</w:t>
      </w:r>
    </w:p>
    <w:p w14:paraId="47EEA1A2">
      <w:pPr>
        <w:spacing w:line="57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加强市场监管信息化建设，完善“双随机</w:t>
      </w:r>
      <w:r>
        <w:rPr>
          <w:rFonts w:hint="eastAsia" w:ascii="Times New Roman" w:hAnsi="Times New Roman" w:eastAsia="仿宋_GB2312" w:cs="Times New Roman"/>
          <w:bCs/>
          <w:color w:val="000000"/>
          <w:sz w:val="32"/>
          <w:szCs w:val="28"/>
          <w:lang w:eastAsia="zh-CN"/>
        </w:rPr>
        <w:t>、</w:t>
      </w:r>
      <w:r>
        <w:rPr>
          <w:rFonts w:ascii="Times New Roman" w:hAnsi="Times New Roman" w:eastAsia="仿宋_GB2312" w:cs="Times New Roman"/>
          <w:bCs/>
          <w:color w:val="000000"/>
          <w:sz w:val="32"/>
          <w:szCs w:val="28"/>
        </w:rPr>
        <w:t>一公开”监管、“互联网+监管”、信用监管等机制。打造“信用泉州”，尽快启动市公共信用信息平台（三期）建设，实现政务、商务、社会、司法四大领域信用体系深度融合，结合信用大数据开展公共信用综合评价。积极推动住建信息系统整合，建成市级房地产数据中心和房屋管理综合信息平台。进一步优化“互联网+市场监管”，建立健全食品药品质量追溯体系，加大对食品药品加工、准入和流通等环节智能化监管力度。强化事前预警防控，利用大数据加强对市场行为风险监测分析，确定监管重点和方式。</w:t>
      </w:r>
    </w:p>
    <w:p w14:paraId="17D2A92F">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47" w:name="_Toc84783860"/>
      <w:bookmarkStart w:id="48" w:name="_Toc87894495"/>
      <w:bookmarkStart w:id="49" w:name="_Toc84782343"/>
      <w:bookmarkStart w:id="50" w:name="_Toc94308410"/>
      <w:r>
        <w:rPr>
          <w:rFonts w:ascii="Times New Roman" w:hAnsi="Times New Roman" w:eastAsia="方正黑体简体" w:cs="Times New Roman"/>
          <w:bCs/>
          <w:color w:val="000000"/>
          <w:sz w:val="32"/>
          <w:szCs w:val="32"/>
        </w:rPr>
        <w:t xml:space="preserve">第三节 </w:t>
      </w:r>
      <w:bookmarkEnd w:id="47"/>
      <w:bookmarkEnd w:id="48"/>
      <w:bookmarkEnd w:id="49"/>
      <w:r>
        <w:rPr>
          <w:rFonts w:ascii="Times New Roman" w:hAnsi="Times New Roman" w:eastAsia="方正黑体简体" w:cs="Times New Roman"/>
          <w:bCs/>
          <w:color w:val="000000"/>
          <w:sz w:val="32"/>
          <w:szCs w:val="32"/>
        </w:rPr>
        <w:t>提升数字政府精准治理能力</w:t>
      </w:r>
      <w:bookmarkEnd w:id="50"/>
    </w:p>
    <w:p w14:paraId="50A14273">
      <w:pPr>
        <w:spacing w:line="57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加快构建数字技术辅助政府决策机制，强化数字技术在生态环境监测、社会安全防控、灾害应急管理等的应用，提升数字政府跨部门协同、精准化治理能力。</w:t>
      </w:r>
    </w:p>
    <w:p w14:paraId="2640D405">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一、构建数字化抗疫能力体系</w:t>
      </w:r>
    </w:p>
    <w:p w14:paraId="17E90F20">
      <w:pPr>
        <w:spacing w:line="57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建机制、搭平台、推应用，构建全市一体化协同抗疫管理机制，全面提升数字化抗疫能力。加速推进泉州核酸检测平台建设，实现全市核酸检测应检尽检。汇聚更新各类疫情防控数据，运用大数据、人工智能等数字技术，在疫情监测分析、病毒溯源、资源调配等方面更好发挥支撑作用。建设全市突发灾（疫）情大数据分析与监测预警平台，强化重点人群管控，提供多部门协同防控和跨区县精准防疫支撑，助力复工复产。加强疫情防控数据共享应用，为全市疫情防控工作科学化、精准化开展提供有力支撑。</w:t>
      </w:r>
    </w:p>
    <w:p w14:paraId="2FAD4B90">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二、构建数字化生态治理体系</w:t>
      </w:r>
    </w:p>
    <w:p w14:paraId="2CE4E668">
      <w:pPr>
        <w:spacing w:line="57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树牢“绿水青山就是金山银山”的理念，加快实现市、县协同化管理、天空地海一体化监管，为建设“美丽泉州”提供有力支撑。加快构建覆盖全市的水、空气等立体化生态环境质量监测网络和污染源监控系统，初步建成生态环境物联网，大数据应用贯穿监管全领域，推动实现生态环境监管体系和监管能力现代化。优化空气、地表水自动监测网，完善海洋生态环境监管体系，加强生态环境实验室基础能力建设。严格落实海洋生态保护红线管控要求，形成陆海统筹的生态保护红线制度。进一步优化国土空间开发保护格局，为国土空间规划、用途管制、耕地保护、生态保护、督察执法、审批监管等自然资源管理和决策提供重要支撑和保障。强化水资源调度业务与专业模型的深度融合，建设覆盖全市水资源供配体系的水资源综合调度平台，为泉州“上蓄下引、河库连通”的水网工程体系提供支撑。积极谋划泉州市园林绿化数字化信息管理系统建设，对园林事件进行智能化识别、跟踪、分析和管理。</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4E9E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42" w:type="dxa"/>
          </w:tcPr>
          <w:p w14:paraId="2117A4F4">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美丽泉州数字化工程</w:t>
            </w:r>
          </w:p>
        </w:tc>
      </w:tr>
      <w:tr w14:paraId="4285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14B46AD5">
            <w:pPr>
              <w:spacing w:line="600" w:lineRule="exact"/>
              <w:ind w:firstLine="562"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生态环境数字化工程</w:t>
            </w:r>
            <w:r>
              <w:rPr>
                <w:rFonts w:ascii="Times New Roman" w:hAnsi="Times New Roman" w:eastAsia="仿宋_GB2312" w:cs="Times New Roman"/>
                <w:color w:val="000000"/>
                <w:sz w:val="28"/>
                <w:szCs w:val="28"/>
              </w:rPr>
              <w:t>：开展生态环境监管能力建设三年行动，重点实施生态环境大数据应用、空气与地表水自动监测站建设、海洋环境监管能力建设、实验室基础能力建设、生态环境综合执法和应急能力提升等五大专项项目。加快泉州市生态环境综合监管平台建设，提升生态环境综合决策科学化、监管精准化水平。进一步完善环境质量监测网络，建设泉州市大气超级站。创新海洋环境监管手段，运用5G、高清探头等高科技手段，加强海漂垃圾综合治理。</w:t>
            </w:r>
          </w:p>
          <w:p w14:paraId="67256B4A">
            <w:pPr>
              <w:spacing w:line="600" w:lineRule="exact"/>
              <w:ind w:firstLine="562" w:firstLineChars="200"/>
              <w:contextualSpacing/>
              <w:rPr>
                <w:rFonts w:ascii="Times New Roman" w:hAnsi="Times New Roman" w:eastAsia="华文仿宋" w:cs="Times New Roman"/>
                <w:color w:val="000000"/>
                <w:sz w:val="32"/>
                <w:szCs w:val="32"/>
              </w:rPr>
            </w:pPr>
            <w:r>
              <w:rPr>
                <w:rFonts w:ascii="Times New Roman" w:hAnsi="Times New Roman" w:eastAsia="仿宋_GB2312" w:cs="Times New Roman"/>
                <w:b/>
                <w:color w:val="000000"/>
                <w:sz w:val="28"/>
                <w:szCs w:val="28"/>
              </w:rPr>
              <w:t>自然资源数字化工程</w:t>
            </w:r>
            <w:r>
              <w:rPr>
                <w:rFonts w:ascii="Times New Roman" w:hAnsi="Times New Roman" w:eastAsia="仿宋_GB2312" w:cs="Times New Roman"/>
                <w:color w:val="000000"/>
                <w:sz w:val="28"/>
                <w:szCs w:val="28"/>
              </w:rPr>
              <w:t>：推动遥感影像、大数据、云计算、人工智能、物联网、5G等新一代信息技术与自然资源和规划管理深度融合，有效提升自然资源管理服务水平。积极推动泉州市生态修复信息系统建设，对国土空间综合整治、土地整理、矿山地质生态修复、海域海岸带修复等进行统一管理和监督。实施海岸带美化提升及生态修复工程；严格保护优质沙滩、重要滨海湿地、红树林等海岸线，加强自然岸线保有率管控。推动国土三调成果和水资源、森林资源、湿地资源等专项调查数据成果利用，加强自然资源监测成果动态更新，构建全天候监测与预警的技术机制，形成实时、快速的自然资源感知能力，积极谋划建设泉州市资源规划综合信息平台。</w:t>
            </w:r>
          </w:p>
        </w:tc>
      </w:tr>
    </w:tbl>
    <w:p w14:paraId="712DE93B">
      <w:pPr>
        <w:spacing w:line="580" w:lineRule="exact"/>
        <w:ind w:firstLine="640" w:firstLineChars="200"/>
        <w:rPr>
          <w:rFonts w:ascii="Times New Roman" w:hAnsi="Times New Roman" w:eastAsia="黑体" w:cs="Times New Roman"/>
          <w:color w:val="000000"/>
          <w:kern w:val="0"/>
          <w:sz w:val="32"/>
          <w:szCs w:val="30"/>
          <w:lang w:val="zh-CN"/>
        </w:rPr>
      </w:pPr>
      <w:bookmarkStart w:id="51" w:name="_Toc2416"/>
      <w:bookmarkStart w:id="52" w:name="_Toc21947"/>
      <w:bookmarkStart w:id="53" w:name="_Toc2061883628"/>
      <w:bookmarkStart w:id="54" w:name="_Toc6531"/>
      <w:bookmarkStart w:id="55" w:name="_Toc2481"/>
      <w:bookmarkStart w:id="56" w:name="_Toc16160"/>
      <w:bookmarkStart w:id="57" w:name="_Toc13236"/>
      <w:bookmarkStart w:id="58" w:name="_Toc22199"/>
      <w:bookmarkStart w:id="59" w:name="_Toc1549918111"/>
      <w:bookmarkStart w:id="60" w:name="_Toc87003393"/>
      <w:bookmarkStart w:id="61" w:name="_Toc119813883"/>
      <w:bookmarkStart w:id="62" w:name="_Toc8296"/>
      <w:bookmarkStart w:id="63" w:name="_Toc146881527"/>
      <w:bookmarkStart w:id="64" w:name="_Toc25347"/>
      <w:bookmarkStart w:id="65" w:name="_Toc10585"/>
      <w:bookmarkStart w:id="66" w:name="_Toc23165"/>
      <w:r>
        <w:rPr>
          <w:rFonts w:ascii="Times New Roman" w:hAnsi="Times New Roman" w:eastAsia="黑体" w:cs="Times New Roman"/>
          <w:color w:val="000000"/>
          <w:kern w:val="0"/>
          <w:sz w:val="32"/>
          <w:szCs w:val="30"/>
          <w:lang w:val="zh-CN"/>
        </w:rPr>
        <w:t>三、构建数字化综治防控体系</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6CD8B78">
      <w:pPr>
        <w:spacing w:line="570" w:lineRule="exact"/>
        <w:ind w:firstLine="640" w:firstLineChars="2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构建“大联动、微治理”的社会治理体系，推动城市管理从“数字城管”向“智慧城管”的转变，构建网格化管理、精细化服务、信息化支撑、开放共享的基层管理服务平台。高标准推进“雪亮工程”建设，打破数据壁垒，实现信息数据由“面上收集存储”向“深层解析研判”转换升级，构建协同高效的社会治理新模式。打造全国领先的智慧公安“泉州模式”，全面打造智慧城市“安全大脑”，构建全程覆盖的安全管理机制、全网防控的安全保障技术体系，争创全国社会治安防控体系建设示范城市。</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6FD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46DADBFA">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立体化综治防控工程</w:t>
            </w:r>
          </w:p>
        </w:tc>
      </w:tr>
      <w:tr w14:paraId="03F2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245C40E5">
            <w:pPr>
              <w:spacing w:line="600" w:lineRule="exact"/>
              <w:ind w:firstLine="560" w:firstLineChars="200"/>
              <w:contextualSpacing/>
              <w:rPr>
                <w:rFonts w:ascii="Times New Roman" w:hAnsi="Times New Roman" w:eastAsia="华文仿宋" w:cs="Times New Roman"/>
                <w:color w:val="000000"/>
                <w:sz w:val="32"/>
                <w:szCs w:val="32"/>
              </w:rPr>
            </w:pPr>
            <w:r>
              <w:rPr>
                <w:rFonts w:ascii="Times New Roman" w:hAnsi="Times New Roman" w:eastAsia="仿宋_GB2312" w:cs="Times New Roman"/>
                <w:color w:val="000000"/>
                <w:sz w:val="28"/>
                <w:szCs w:val="28"/>
              </w:rPr>
              <w:t>加快推进泉州市智慧城管物联通管理平台建设，构建城市物联通大平台、城市视频共享平台、城市管理应用平台，建立一套市、县统一标准的物联通，实现“数据全面实时感知、资源高度集中共享、系统综合有机集成、监管决策有效支撑”监督指挥管理要求。建设“1”张动态实时、全量采集的多维感知网络，“1”个异构兼容、分层解耦的统一支撑云计算平台，“1”个公安大数据中心（福建公安大数据中心泉州分中心），“N”个智能化应用，构建泉州“智慧公安”。加速“E通政法”建设，实现政法部门之间的协同办案和数据共享，建设“智慧政法”示范应用城市。深入推进“雪亮工程”“智慧城安”，完善提升泉州市城市安全信息系统，实现重点公共区域视频监控覆盖率100%，高清率100%，联网率100%，实现以公共安全视频监控为主，推动重点公共区域、重点行业领域视频监控、视频图像联网使用。</w:t>
            </w:r>
          </w:p>
        </w:tc>
      </w:tr>
    </w:tbl>
    <w:p w14:paraId="291B639D">
      <w:pPr>
        <w:spacing w:line="580" w:lineRule="exact"/>
        <w:ind w:firstLine="640" w:firstLineChars="200"/>
        <w:rPr>
          <w:rFonts w:ascii="Times New Roman" w:hAnsi="Times New Roman" w:eastAsia="黑体" w:cs="Times New Roman"/>
          <w:color w:val="000000"/>
          <w:kern w:val="0"/>
          <w:sz w:val="32"/>
          <w:szCs w:val="30"/>
          <w:lang w:val="zh-CN"/>
        </w:rPr>
      </w:pPr>
      <w:bookmarkStart w:id="67" w:name="_Toc13297"/>
      <w:bookmarkStart w:id="68" w:name="_Toc9573"/>
      <w:bookmarkStart w:id="69" w:name="_Toc21124"/>
      <w:bookmarkStart w:id="70" w:name="_Toc1584"/>
      <w:bookmarkStart w:id="71" w:name="_Toc23870"/>
      <w:bookmarkStart w:id="72" w:name="_Toc19267"/>
      <w:bookmarkStart w:id="73" w:name="_Toc14691"/>
      <w:bookmarkStart w:id="74" w:name="_Toc2130314758"/>
      <w:bookmarkStart w:id="75" w:name="_Toc19401"/>
      <w:bookmarkStart w:id="76" w:name="_Toc16560"/>
      <w:bookmarkStart w:id="77" w:name="_Toc16659"/>
      <w:bookmarkStart w:id="78" w:name="_Toc596922744"/>
      <w:bookmarkStart w:id="79" w:name="_Toc1842873195"/>
      <w:bookmarkStart w:id="80" w:name="_Toc87003394"/>
      <w:bookmarkStart w:id="81" w:name="_Toc256309553"/>
      <w:bookmarkStart w:id="82" w:name="_Toc29916"/>
      <w:r>
        <w:rPr>
          <w:rFonts w:ascii="Times New Roman" w:hAnsi="Times New Roman" w:eastAsia="黑体" w:cs="Times New Roman"/>
          <w:color w:val="000000"/>
          <w:kern w:val="0"/>
          <w:sz w:val="32"/>
          <w:szCs w:val="30"/>
          <w:lang w:val="zh-CN"/>
        </w:rPr>
        <w:t>四、构建数字化应急管理体系</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5CD26D9">
      <w:pPr>
        <w:spacing w:line="570" w:lineRule="exact"/>
        <w:ind w:firstLine="640" w:firstLineChars="200"/>
        <w:rPr>
          <w:rFonts w:ascii="Times New Roman" w:hAnsi="Times New Roman" w:eastAsia="宋体" w:cs="Times New Roman"/>
          <w:szCs w:val="24"/>
        </w:rPr>
      </w:pPr>
      <w:r>
        <w:rPr>
          <w:rFonts w:ascii="Times New Roman" w:hAnsi="Times New Roman" w:eastAsia="仿宋_GB2312" w:cs="Times New Roman"/>
          <w:bCs/>
          <w:color w:val="000000"/>
          <w:sz w:val="32"/>
          <w:szCs w:val="28"/>
        </w:rPr>
        <w:t>完善“互联网+应急”模式，形成需求引领数据驱动、自我进化、融合创新的智慧应急体系。建设一个应急管理大数据库，通过市政务数据汇聚共享22个部门单位应急数据；搭建监测预警、应急指挥、安全生产宣教等“三个中心”；构建感知网、通讯网、人工智能和云平台等“四大赋能工程”，智慧安全监管、智慧监测预警、智慧应急指挥、智慧决策辅助、智慧政务服务等“五大公共应用”和标准化智慧管理平台、智慧安全宣教、智慧防灾减灾（防汛、防火、抗震）、智慧危化品监管、智慧矿山监管、智慧城乡生命线监测预警等“六个专题”。依托天通、北斗等国家自组网络，打造移动公网与应急专网相结合的空天地海一体化通信体系。设置“城乡生命线”模块，融入气象、水、电、燃气、有限空间作业、房屋安全风险、边坡安全风险、桥梁安全风险、隧道安全风险等管控平台数据。</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FA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2C7AE9EF">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防灾减灾应急工程</w:t>
            </w:r>
          </w:p>
        </w:tc>
      </w:tr>
      <w:tr w14:paraId="592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038B0E9B">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加快推进市级应急广播平台建设，形成市、县、乡、村四级贯通、纵向与上级应急广播平台对接、横向和本级预警信息发布系统连通的全市应急广播体系。积极推动地质灾害管理系统建设，实现地质灾害防治高效管理和全程监管。支持构建基于海洋监测和预报大数据态势感知的综合信息监管决策分析应用系统，为海洋灾害风险预测提供科学辅助依据。支持370MHz应急指挥窄带无线通信系统、119智能接处警系统建设。加快构建市应急管理信息化平台，全面支撑应急管理能力现代化。加快推进丰泽“人工智能四级联动安防监控平台”建设，建立应急联动长效管理机制。</w:t>
            </w:r>
          </w:p>
        </w:tc>
      </w:tr>
      <w:bookmarkEnd w:id="42"/>
    </w:tbl>
    <w:p w14:paraId="5A643C73">
      <w:pPr>
        <w:spacing w:line="360" w:lineRule="auto"/>
        <w:jc w:val="center"/>
        <w:rPr>
          <w:rFonts w:ascii="Times New Roman" w:hAnsi="Times New Roman" w:eastAsia="宋体" w:cs="Times New Roman"/>
          <w:color w:val="000000"/>
          <w:szCs w:val="24"/>
        </w:rPr>
        <w:sectPr>
          <w:pgSz w:w="11906" w:h="16838"/>
          <w:pgMar w:top="1418" w:right="1474" w:bottom="1418" w:left="1588" w:header="851" w:footer="992" w:gutter="0"/>
          <w:cols w:space="720" w:num="1"/>
          <w:docGrid w:type="lines" w:linePitch="312" w:charSpace="0"/>
        </w:sectPr>
      </w:pPr>
    </w:p>
    <w:p w14:paraId="4E48DDE0">
      <w:pPr>
        <w:keepNext/>
        <w:keepLines/>
        <w:spacing w:before="340" w:after="240" w:line="596" w:lineRule="exact"/>
        <w:jc w:val="center"/>
        <w:outlineLvl w:val="0"/>
        <w:rPr>
          <w:rFonts w:ascii="Times New Roman" w:hAnsi="Times New Roman" w:eastAsia="方正小标宋简体" w:cs="Times New Roman"/>
          <w:color w:val="000000"/>
          <w:kern w:val="44"/>
          <w:sz w:val="36"/>
          <w:szCs w:val="36"/>
        </w:rPr>
      </w:pPr>
      <w:bookmarkStart w:id="83" w:name="_Toc84782344"/>
      <w:bookmarkStart w:id="84" w:name="_Toc84783861"/>
      <w:bookmarkStart w:id="85" w:name="_Toc87894496"/>
      <w:bookmarkStart w:id="86" w:name="_Toc94308411"/>
      <w:r>
        <w:rPr>
          <w:rFonts w:ascii="Times New Roman" w:hAnsi="Times New Roman" w:eastAsia="方正小标宋简体" w:cs="Times New Roman"/>
          <w:color w:val="000000"/>
          <w:kern w:val="44"/>
          <w:sz w:val="36"/>
          <w:szCs w:val="36"/>
        </w:rPr>
        <w:t xml:space="preserve">第四章 </w:t>
      </w:r>
      <w:bookmarkEnd w:id="36"/>
      <w:bookmarkEnd w:id="83"/>
      <w:bookmarkEnd w:id="84"/>
      <w:bookmarkEnd w:id="85"/>
      <w:r>
        <w:rPr>
          <w:rFonts w:ascii="Times New Roman" w:hAnsi="Times New Roman" w:eastAsia="方正小标宋简体" w:cs="Times New Roman"/>
          <w:color w:val="000000"/>
          <w:kern w:val="44"/>
          <w:sz w:val="36"/>
          <w:szCs w:val="36"/>
        </w:rPr>
        <w:t>推进新经济融合创新，打造数字经济新优势</w:t>
      </w:r>
      <w:bookmarkEnd w:id="86"/>
    </w:p>
    <w:p w14:paraId="30BD8F3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围绕打造海丝数字科创之都，聚焦构建释放数字生产力的创新发展体系，加强信息技术基础研究，强化关键信息技术创新应用，加快推进5G、大数据、云计算、区块链、元宇宙等新一代数字技术与实体经济深度融合发展。协同推进产业数字化和数字产业化，赋能传统产业升级，培育新产业新业态新模式，大力发展平台经济、线上经济。围绕企业数字能力建设，加快企业数字能力标准体系研制推广，分级分类推进企业数字能力试点示范，加快新经济园区集聚，打造数字经济新引擎。</w:t>
      </w:r>
    </w:p>
    <w:p w14:paraId="35185D5C">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87" w:name="_Toc84783862"/>
      <w:bookmarkStart w:id="88" w:name="_Toc14616"/>
      <w:bookmarkStart w:id="89" w:name="_Toc84782345"/>
      <w:bookmarkStart w:id="90" w:name="_Toc87894497"/>
      <w:bookmarkStart w:id="91" w:name="_Toc94308412"/>
      <w:r>
        <w:rPr>
          <w:rFonts w:ascii="Times New Roman" w:hAnsi="Times New Roman" w:eastAsia="方正黑体简体" w:cs="Times New Roman"/>
          <w:bCs/>
          <w:color w:val="000000"/>
          <w:sz w:val="32"/>
          <w:szCs w:val="32"/>
        </w:rPr>
        <w:t xml:space="preserve">第一节 </w:t>
      </w:r>
      <w:bookmarkEnd w:id="87"/>
      <w:bookmarkEnd w:id="88"/>
      <w:bookmarkEnd w:id="89"/>
      <w:bookmarkEnd w:id="90"/>
      <w:r>
        <w:rPr>
          <w:rFonts w:ascii="Times New Roman" w:hAnsi="Times New Roman" w:eastAsia="方正黑体简体" w:cs="Times New Roman"/>
          <w:bCs/>
          <w:color w:val="000000"/>
          <w:sz w:val="32"/>
          <w:szCs w:val="32"/>
        </w:rPr>
        <w:t>加快推进数字产业化，发展数字经济新产业</w:t>
      </w:r>
      <w:bookmarkEnd w:id="91"/>
    </w:p>
    <w:p w14:paraId="0111D22D">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不断增强关键技术创新能力，深化新一代信息技术集成创新和融合应用，完善5G、</w:t>
      </w:r>
      <w:r>
        <w:rPr>
          <w:rFonts w:hint="eastAsia" w:ascii="Times New Roman" w:hAnsi="Times New Roman" w:eastAsia="仿宋_GB2312" w:cs="Times New Roman"/>
          <w:color w:val="000000"/>
          <w:sz w:val="32"/>
          <w:szCs w:val="28"/>
        </w:rPr>
        <w:t>集成电路</w:t>
      </w:r>
      <w:r>
        <w:rPr>
          <w:rFonts w:ascii="Times New Roman" w:hAnsi="Times New Roman" w:eastAsia="仿宋_GB2312" w:cs="Times New Roman"/>
          <w:color w:val="000000"/>
          <w:sz w:val="32"/>
          <w:szCs w:val="28"/>
        </w:rPr>
        <w:t>、人工智能、工业互联网等重点产业供应链体系，推动软件产业做强做大，加快培育发展人工智能、区块链、量子通信、虚拟技术等新产业新业态新模式。</w:t>
      </w:r>
    </w:p>
    <w:p w14:paraId="3B063D4F">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一、培育壮大新一代数字技术产业规模</w:t>
      </w:r>
    </w:p>
    <w:p w14:paraId="6B357A22">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（一）培育壮大电子信息制造业</w:t>
      </w:r>
    </w:p>
    <w:p w14:paraId="2B869EFD">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以获批海峡两岸集成电路产业合作试验区为契机，突出“增芯强屏”，做强集成电路、半导体产业链，前瞻2035年锻造电子信息五千亿级产业集群。（1）依托泉州芯谷“一区三园”，以晋华存储器、渠梁封装测试、三安高端半导体等项目为龙头，推进慧芯、中石光芯、中科宏芯等项目投建投产，加快招引产业链上下游企业集聚，打造国内最具有市场竞争力、产业辐射力和创新活力的半导体产业基地。（2）利用5G、卫星应用等技术，延伸对讲机产业链，以飞通科技等企业为龙头，建设海上丝绸之路数据中心，推动并形成卫星通讯产业集聚。（3）以西人马联合测控为龙头，大力发展高端传感器产业，全面培育“设计+制造+封装+测试+整机产品+应用集成”的智能传感器产业链，争创国家传感器产业示范基地。</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118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7BC84E40">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电子信息产业工程</w:t>
            </w:r>
          </w:p>
        </w:tc>
      </w:tr>
      <w:tr w14:paraId="5C31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04B5C406">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培育壮大电子信息制造业，做强新型显示、芯片、半导体等产业链。（1）推进芯片产业发展。推动泉州“光子技术协同创新研究院”建设，打造国内一流光子技术产业研究平台，构建光子技术产业生态圈，推进“光芯片项目”集聚发展，进一步加快光子技术产业发展；继续推进晋江“银达锦物联网芯片设计”项目建设，开展先进无线射频+基带芯片技术的研发。推进“康芯科技电子雷管模组项目”建设，开展专用数码电子雷管芯片的设计与研发；加快推进惠安“城南中心工业园区高端芯片”项目投产放量。（2）做大“新型显示”产业集群规模。支持“泉州开发区新型显示数字经济产业园（一期）”项目建设，创建新型显示数字经济产业集聚中心、创新中心、技术研究院，以锐驰公司、京东与科复平台为核心，打造新型数字显示科技创新中心。积极谋划南安“智能识别激光打标”项目建设，为液晶面板设备生产线提供配套部件加工及维护服务。（3）发展半导体产业链。加快推进“联东U谷·南安半导体科技产业港”“南安科创中心”项目建设，积极推进南安建设“安芯半导体装备及耗材研发制造生产线”，建设含光刻机、涂胶显影机、高端湿法设备等半导体装备及耗材研发制造生产线。积极推动泉州台商投资区“微米科技”项目落地，建设以整合光通信加工组装、半导体封装插针加工等业务为一体的生产制造基地。</w:t>
            </w:r>
          </w:p>
        </w:tc>
      </w:tr>
    </w:tbl>
    <w:p w14:paraId="2DB91577">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（二）优化升级软件信息服务业</w:t>
      </w:r>
    </w:p>
    <w:p w14:paraId="2430B312">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大力培育本地软件骨干企业，出台专项政策支持企业开拓市场和参与市外信息化项目招标，对入选工信部“全国软件百强”企业给予奖励。鼓励本地企业争创“国家规划布局内重点软件企业”。充分利用市场、政策、项目等手段，吸引工业软件、互联网、人工智能等领域国内外知名软件企业及研发机构来我市投资落户，推动国内外知名软件企业在我市建设软件创新中心。以泉州软件园、华创园等软件园区为依托，以南威软件等龙头企业为带动，建立涵盖项目对接、软件开发、外包知识产权、外包人才培养、行业公共品牌的软件信息平台，提升我市软件与信息服务外包产业的核心竞争力，为政府部门、行业协会、产业园区及企业提供完善和持续性的服务。</w:t>
      </w:r>
    </w:p>
    <w:p w14:paraId="70369E81">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（三）优先发展人工智能新产业</w:t>
      </w:r>
    </w:p>
    <w:p w14:paraId="2C30075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鼓励科技企业孵化器和众创空间将人工智能作为优先引进和支持领域，推进人工智能科技成果转移转化，孵化培育人工智能创新创业企业。前瞻布局类脑智能新兴产业前沿科学研究与技术开发，研制类脑人工智能功能器件及人机交互、共融设备，大力支持无人驾驶、人脸识别等人工智能企业快速成长。加快建设智能交通、智能家居、智能园区、智能商务等人工智能应用试点示范场景。依托“泉州芯谷”、数字福建（安溪）产业园、智能装备产业园，重点发展存储器、智能机器人、智能制造装备等硬件支撑，大规模推进传统产业智能化改造，打造全国重要的半导体产业特色集聚区和智能轻工装备产业基地。到2025年，人工智能技术创新体系基本完备，创新水平显著提升，引领带动新产业、新业态、新模式、新场景加速涌现，人工智能产业集聚效应显现，建设国内具有重要影响力的新一代人工智能产业集群，人工智能领域技术创新应用能力全国领先。</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529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6D05C2E0">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人工智能产业工程</w:t>
            </w:r>
          </w:p>
        </w:tc>
      </w:tr>
      <w:tr w14:paraId="5E8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1B6E366A">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在机器人技术、机器视觉与模式识别、传感器基础器件、机器学习等关键技术和应用领域取得重要突破和显著进展，获得一批标志性科技创新成果，人工智能区域联合攻关取得明显成效。积极推动“奇鹭大数据人工智能公共服务SaaS云平台”落地，到2025年，建成10个以上人工智能协同创新平台、工程（技术）研发中心、重点实验室，集聚100名以上人工智能领军型创新创业人才，形成具有核心竞争力的人工智能高层次人才创新创业集聚区。人工智能技术在纺织服装、鞋业、石油化工、机械装备、建材家居等主导产业、以及在智能制造、智能社会治理等领域率先应用和推广，到2025年形成10个以上深度应用场景，建设15个以上应用示范项目。引进一批人工智能领域龙头企业，培育10家以上本土人工智能创新标杆企业，形成若干具有泉州特色的人工智能创新型产业集群。人工智能核心产业规模突破100亿元，带动相关产业规模超过500亿元。</w:t>
            </w:r>
          </w:p>
        </w:tc>
      </w:tr>
    </w:tbl>
    <w:p w14:paraId="59C439AC">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（四）加快发展区块链应用产业</w:t>
      </w:r>
    </w:p>
    <w:p w14:paraId="317FCC9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支持社会资本设立区块链产业基金，大力引进区块链底层技术、场景应用、资产数字化、安全监管等领域领军人才，强化区块链基础研究，提升原始创新能力，推动区块链核心技术突破。积极部署区块链服务网络（BSN）泉州城市节点，建设区块链数据中心、应用集聚区或案例中心，支持条件成熟的县（市、区）建设区块链产业园。推动成立区块链行业协会和产业发展联盟，依托各类社会组织力量，培育壮大泉州本土区块链产业生态。重点围绕政务数据汇聚、电子证照、市场监管、民生等4个领域，实施“区块链+”计划，推进“证照链”“数据链”“信用链”“民生链”应用，打造区块链产业集聚区，打造区块链应用标杆城市。</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B96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7E80E3E9">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区块链应用工程</w:t>
            </w:r>
          </w:p>
        </w:tc>
      </w:tr>
      <w:tr w14:paraId="6DB2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0E707068">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依托数字福建（安溪）产业园，建设区块链分布式存储技术配套设施，打造区块链应用孵化平台；依托中科院国家授时中心打造区块链泉州时间源，为区块链产业发展应用提供高精度时间戳基础服务。（1）全面打造“链上政务”工程。支持泉州台商投资区开展“区块链+政务服务”公共应用试点；继续推进行政服务中心通过区块链技术搭建证照应用的证照链，深度将区块链与电子证照结合应用；基于区块链技术开展“区块链+征信”应用，打造“信用泉州”。（2）不断拓展行业应用。致力打造安溪区块链产业孵化基地，区块链服务实体产业涵盖了金融、农业、餐饮等“民生链”应用；以中化泉州原油进口业务获批开展区块链应用试点为契机开展“石化链”应用；推动德化“中国陶瓷产业互联网数字平台”建设，打造从瓷土到成品，再到流通的可视溯源平台的“陶瓷链”应用；支持纺织鞋服行业提升供应链管理效率和品牌信任度的“纺织鞋服链”应用；利用区块链技术不断完善和支撑电商诚信体系建设的“电商链”应用；改造和优化茶产业供应链体系的“茶业链”应用等。</w:t>
            </w:r>
          </w:p>
        </w:tc>
      </w:tr>
    </w:tbl>
    <w:p w14:paraId="5469A83C">
      <w:pPr>
        <w:spacing w:line="580" w:lineRule="exact"/>
        <w:ind w:firstLine="640" w:firstLineChars="200"/>
        <w:rPr>
          <w:rFonts w:ascii="Times New Roman" w:hAnsi="Times New Roman" w:eastAsia="方正楷体简体" w:cs="Times New Roman"/>
          <w:bCs/>
          <w:color w:val="000000"/>
          <w:sz w:val="32"/>
          <w:szCs w:val="28"/>
        </w:rPr>
      </w:pPr>
      <w:bookmarkStart w:id="92" w:name="_Toc58310546"/>
      <w:r>
        <w:rPr>
          <w:rFonts w:ascii="Times New Roman" w:hAnsi="Times New Roman" w:eastAsia="方正楷体简体" w:cs="Times New Roman"/>
          <w:bCs/>
          <w:color w:val="000000"/>
          <w:sz w:val="32"/>
          <w:szCs w:val="28"/>
        </w:rPr>
        <w:t>（五）创新发展量子通信新产业</w:t>
      </w:r>
    </w:p>
    <w:p w14:paraId="7387FE5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强量子通信关键创新技术研发，聚焦量子通信基础研究及前沿技术、重大共性关键技术和重点核心元器件，加大人才引进和资金投入，优化量子通信技术产业环境，全力推进高可靠相位编码量子密钥技术在政务领域的使用。创新发展量子通信技术新产业，加快量子通信技术和产业链条布局，开展量子通信试点应用等工作，打造“量子安全平台”。围绕产业链孵化培育大批创新型量子中小企业，形成完善的量子产业生态系统，力争培育一批量子领军企业。推进泉州市量子通信产业发展。</w:t>
      </w:r>
    </w:p>
    <w:p w14:paraId="6B82D180">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（六）创新发展虚拟技术新产业</w:t>
      </w:r>
    </w:p>
    <w:p w14:paraId="56F20B4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发挥虚拟现实（VR）、增强现实（AR）、人机交互、第五代移动通信（5G）等数字技术对内容创作、产品研发、模式创新的深度渗透和核心支撑作用。提升工业设计服务水平，加强新技术、新工艺、新材料应用，支持面向制造业设计需求，搭建网络化的设计协同平台，开展众创、众包、众设等模式的应用推广，强化工业设计对电子信息、家电、服装、玩具等产业发展的支撑。</w:t>
      </w:r>
    </w:p>
    <w:p w14:paraId="737A941D">
      <w:pPr>
        <w:spacing w:line="580" w:lineRule="exact"/>
        <w:ind w:firstLine="640" w:firstLineChars="200"/>
        <w:rPr>
          <w:rFonts w:ascii="Times New Roman" w:hAnsi="Times New Roman" w:eastAsia="黑体" w:cs="Times New Roman"/>
          <w:color w:val="000000"/>
          <w:kern w:val="0"/>
          <w:sz w:val="32"/>
          <w:szCs w:val="30"/>
          <w:lang w:val="zh-CN"/>
        </w:rPr>
      </w:pPr>
      <w:bookmarkStart w:id="93" w:name="_Toc86954669"/>
      <w:bookmarkStart w:id="94" w:name="_Toc1820960008"/>
      <w:bookmarkStart w:id="95" w:name="_Toc459690429"/>
      <w:bookmarkStart w:id="96" w:name="_Toc19028"/>
      <w:bookmarkStart w:id="97" w:name="_Toc880"/>
      <w:bookmarkStart w:id="98" w:name="_Toc22265"/>
      <w:bookmarkStart w:id="99" w:name="_Toc8309"/>
      <w:bookmarkStart w:id="100" w:name="_Toc154"/>
      <w:bookmarkStart w:id="101" w:name="_Toc3145"/>
      <w:bookmarkStart w:id="102" w:name="_Toc254663121"/>
      <w:bookmarkStart w:id="103" w:name="_Toc81425755"/>
      <w:bookmarkStart w:id="104" w:name="_Toc14009"/>
      <w:bookmarkStart w:id="105" w:name="_Toc915069911"/>
      <w:bookmarkStart w:id="106" w:name="_Toc2095"/>
      <w:bookmarkStart w:id="107" w:name="_Toc16795"/>
      <w:bookmarkStart w:id="108" w:name="_Toc27503"/>
      <w:bookmarkStart w:id="109" w:name="_Toc2268"/>
      <w:bookmarkStart w:id="110" w:name="_Toc16139"/>
      <w:r>
        <w:rPr>
          <w:rFonts w:ascii="Times New Roman" w:hAnsi="Times New Roman" w:eastAsia="黑体" w:cs="Times New Roman"/>
          <w:color w:val="000000"/>
          <w:kern w:val="0"/>
          <w:sz w:val="32"/>
          <w:szCs w:val="30"/>
          <w:lang w:val="zh-CN"/>
        </w:rPr>
        <w:t>二、加快发展数字经济的新业态新模式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36A9569">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（一）大力发展平台经济新模式</w:t>
      </w:r>
    </w:p>
    <w:p w14:paraId="4ABBF9C9">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大力引进重大平台，加大培育本土大型数字经济平台、行业特色平台，不断推动提升数字经济辐射力。启动实施泉州市平台经济“五十百千”行动，围绕打造全国知名工业互联网应用示范城市，积极创建省级工业互联网示范平台；持续创建国家电子商务示范城市，加大综合性电商平台的引进力度，做大做强电商物流平台；围绕建设海丝文化休闲旅游目的地，立足“后申遗”时代，创新打造文创文旅平台；通过“互联网+”整合资源，积极培育新兴细分互联网平台；夯实做强基础资源平台等5个重点领域，聚焦纺织服装、鞋业、建材家居、机械装备、食品饮料、工艺制品、纸业印刷、商贸、物流、文旅等10个主要行业，筛选培育扶持100个具有行业性、区域性影响力的平台，每年新增1000家以上企业“上云上平台”，交易额超百亿平台12个以上，加快形成“一行业一数据、一数据一平台、一平台一龙头”的发展格局。</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56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773E3142">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平台经济建设工程</w:t>
            </w:r>
          </w:p>
        </w:tc>
      </w:tr>
      <w:tr w14:paraId="6253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229AFE0E">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加快建设工业互联网平台</w:t>
            </w:r>
            <w:r>
              <w:rPr>
                <w:rFonts w:ascii="Times New Roman" w:hAnsi="Times New Roman" w:eastAsia="仿宋_GB2312" w:cs="Times New Roman"/>
                <w:color w:val="000000"/>
                <w:sz w:val="28"/>
                <w:szCs w:val="28"/>
              </w:rPr>
              <w:t>：重点培育SAP、华为、万物智联等工业互联网平台，推进本地特色产业集群数字化、网络化、智能化改造升级。大力开展企业数字化技术改造，力争每年推广应用100条（个）以上数字化、智能化生产线或应用场景。支持中小企业通过购买服务、租用系统，应用成熟的设计、管理、仓储、供销等云服务，支持企业“上云上平台”。</w:t>
            </w:r>
          </w:p>
          <w:p w14:paraId="6653FED8">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做大做强电商物流平台</w:t>
            </w:r>
            <w:r>
              <w:rPr>
                <w:rFonts w:ascii="Times New Roman" w:hAnsi="Times New Roman" w:eastAsia="仿宋_GB2312" w:cs="Times New Roman"/>
                <w:color w:val="000000"/>
                <w:sz w:val="28"/>
                <w:szCs w:val="28"/>
              </w:rPr>
              <w:t>：扶持海峡石化交易中心、青创网等一批区域性垂直电商平台发展，培育本地电子商务产业集群。重点吸引国际100强或国内50强电商企业到泉州设立全国性或区域总部。扶持天地汇、龙易配等网络货运平台发展，重点培育晋江陆地港等物流专业服务平台，培育网络货运行业营业额超百亿平台3个以上。</w:t>
            </w:r>
          </w:p>
          <w:p w14:paraId="38AB26D3">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创新打造文创文旅平台</w:t>
            </w:r>
            <w:r>
              <w:rPr>
                <w:rFonts w:ascii="Times New Roman" w:hAnsi="Times New Roman" w:eastAsia="仿宋_GB2312" w:cs="Times New Roman"/>
                <w:color w:val="000000"/>
                <w:sz w:val="28"/>
                <w:szCs w:val="28"/>
              </w:rPr>
              <w:t>：推动泉州深厚历史文化积淀与互联网深度融合，建好用好神旅APP、泉州智慧旅游云、泉州文化云等文化旅游平台。打造具有行业影响力的文旅服务平台3个以上。</w:t>
            </w:r>
          </w:p>
          <w:p w14:paraId="7568DB1D">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b/>
                <w:color w:val="000000"/>
                <w:sz w:val="28"/>
                <w:szCs w:val="28"/>
              </w:rPr>
              <w:t>积极培育新兴细分互联网平台</w:t>
            </w:r>
            <w:r>
              <w:rPr>
                <w:rFonts w:ascii="Times New Roman" w:hAnsi="Times New Roman" w:eastAsia="仿宋_GB2312" w:cs="Times New Roman"/>
                <w:color w:val="000000"/>
                <w:sz w:val="28"/>
                <w:szCs w:val="28"/>
              </w:rPr>
              <w:t>：全面推进信用信息服务产业发展，推广银行业机构线上供应链金融产品，支持泉州小微企业金融服务平台做大做强，打造具有行业影响力的金融服务平台2个以上。积极培育面向生活需求的细分服务平台，打造多样化、本地化新兴消费业态，打造具有区域影响力的生活服务类平台3个以上。深入推进“互联网+”创业创新，支持有条件的18家科研平台及众创空间、孵化器通过“互联网+”整合资源，优化服务模式，培育具有网络辐射能力的平台5个以上。</w:t>
            </w:r>
          </w:p>
        </w:tc>
      </w:tr>
    </w:tbl>
    <w:p w14:paraId="166965A1">
      <w:pPr>
        <w:spacing w:line="580" w:lineRule="exact"/>
        <w:ind w:firstLine="640" w:firstLineChars="200"/>
        <w:rPr>
          <w:rFonts w:ascii="Times New Roman" w:hAnsi="Times New Roman" w:eastAsia="方正楷体简体" w:cs="Times New Roman"/>
          <w:bCs/>
          <w:color w:val="000000"/>
          <w:sz w:val="32"/>
          <w:szCs w:val="28"/>
        </w:rPr>
      </w:pPr>
      <w:bookmarkStart w:id="111" w:name="_Toc58310547"/>
      <w:r>
        <w:rPr>
          <w:rFonts w:ascii="Times New Roman" w:hAnsi="Times New Roman" w:eastAsia="方正楷体简体" w:cs="Times New Roman"/>
          <w:bCs/>
          <w:color w:val="000000"/>
          <w:sz w:val="32"/>
          <w:szCs w:val="28"/>
        </w:rPr>
        <w:t>（二）加快发展线上经济新模式</w:t>
      </w:r>
    </w:p>
    <w:p w14:paraId="6412E85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发展线上经济，鼓励各类“直播带货”模式，培育发展一批产业带直播基地。大力发展在线定制化设计，建立数字化设计与虚拟仿真系统。鼓励企业发展无边界协同、全场景协作的远程办公新模式。加强校企合作，全面推广“互联网+职业技能培训”。推动各类专业化会展线上线下融合发展，推进智能化会展场馆建设。借助新一代信息技术和“新基建”优化传统劳动力，发展“无接触”“宅生活”“云消费”“无人经济”，打造具有较大国内影响力、区域强带动力的线上经济发展高地。</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42ED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637CB963">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线上经济建设工程</w:t>
            </w:r>
          </w:p>
        </w:tc>
      </w:tr>
      <w:tr w14:paraId="4C38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159FA3D5">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加快推进直播电商与纺织鞋服、家居建材、休闲食品、陶瓷、茶叶等我市特色优势产业融合发展，构建与淘宝、拼多多、抖音等国内顶尖直播平台共同发展的生态产业。深入推进“一十百千万”发展计划（打造一个网红城市、十个直播基地、百个网红直播机构、千家供货商、万个直播商铺），加快线上线下深度融合，着力打造千亿规模电商区域中心。积极推动领SHOW天地“短视频+直播”基地，打造泉州短视频、直播基地完整闭环的产业链条。构建10个年带货量超亿元直播电商产业基地，培育及引进100家年带货量超千万直播机构和网红品牌。</w:t>
            </w:r>
          </w:p>
          <w:p w14:paraId="26382B66">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支持开展各类众创、众智、众包、众设的线上创作活动，推动在线技术服务平台建设。鼓励企业发展远程办公新模式，加快5G技术应用，持续优化用户体验，提高远程办公效率。引导更多职业培训从线下走到线上。大力发展数字会展，提升会展场馆、服务智能化水平，打造永不落幕的网上、掌上会展平台，推动会展对数据资源价值的深度挖掘，实现商业模式升级。</w:t>
            </w:r>
          </w:p>
        </w:tc>
      </w:tr>
      <w:bookmarkEnd w:id="111"/>
    </w:tbl>
    <w:p w14:paraId="240311D2">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112" w:name="_Toc23134"/>
      <w:bookmarkStart w:id="113" w:name="_Toc22400"/>
      <w:bookmarkStart w:id="114" w:name="_Toc15590"/>
      <w:bookmarkStart w:id="115" w:name="_Toc81425756"/>
      <w:bookmarkStart w:id="116" w:name="_Toc527686595"/>
      <w:bookmarkStart w:id="117" w:name="_Toc24422"/>
      <w:bookmarkStart w:id="118" w:name="_Toc31822"/>
      <w:bookmarkStart w:id="119" w:name="_Toc21383"/>
      <w:bookmarkStart w:id="120" w:name="_Toc11661"/>
      <w:bookmarkStart w:id="121" w:name="_Toc29170"/>
      <w:bookmarkStart w:id="122" w:name="_Toc15925"/>
      <w:bookmarkStart w:id="123" w:name="_Toc32232"/>
      <w:bookmarkStart w:id="124" w:name="_Toc14894"/>
      <w:bookmarkStart w:id="125" w:name="_Toc1570745891"/>
      <w:bookmarkStart w:id="126" w:name="_Toc9591"/>
      <w:bookmarkStart w:id="127" w:name="_Toc94308413"/>
      <w:bookmarkStart w:id="128" w:name="_Toc427686502"/>
      <w:bookmarkStart w:id="129" w:name="_Toc86954670"/>
      <w:bookmarkStart w:id="130" w:name="_Toc1662864788"/>
      <w:r>
        <w:rPr>
          <w:rFonts w:ascii="Times New Roman" w:hAnsi="Times New Roman" w:eastAsia="方正黑体简体" w:cs="Times New Roman"/>
          <w:bCs/>
          <w:color w:val="000000"/>
          <w:sz w:val="32"/>
          <w:szCs w:val="32"/>
        </w:rPr>
        <w:t>第二节 转型升级产业数字化，打造数字经济新引擎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255A623">
      <w:pPr>
        <w:spacing w:line="580" w:lineRule="exact"/>
        <w:ind w:firstLine="640" w:firstLineChars="200"/>
        <w:rPr>
          <w:rFonts w:ascii="Times New Roman" w:hAnsi="Times New Roman" w:eastAsia="仿宋_GB2312" w:cs="Times New Roman"/>
          <w:color w:val="000000"/>
          <w:sz w:val="32"/>
          <w:szCs w:val="28"/>
        </w:rPr>
      </w:pPr>
      <w:bookmarkStart w:id="131" w:name="_Toc8912"/>
      <w:bookmarkStart w:id="132" w:name="_Toc28991"/>
      <w:bookmarkStart w:id="133" w:name="_Toc1266812958"/>
      <w:bookmarkStart w:id="134" w:name="_Toc81425757"/>
      <w:bookmarkStart w:id="135" w:name="_Toc18059"/>
      <w:bookmarkStart w:id="136" w:name="_Toc1742218117"/>
      <w:bookmarkStart w:id="137" w:name="_Toc18280"/>
      <w:bookmarkStart w:id="138" w:name="_Toc8439"/>
      <w:bookmarkStart w:id="139" w:name="_Toc11079"/>
      <w:bookmarkStart w:id="140" w:name="_Toc21804"/>
      <w:bookmarkStart w:id="141" w:name="_Toc1017520457"/>
      <w:bookmarkStart w:id="142" w:name="_Toc58310548"/>
      <w:bookmarkStart w:id="143" w:name="_Toc27232"/>
      <w:bookmarkStart w:id="144" w:name="_Toc237669184"/>
      <w:bookmarkStart w:id="145" w:name="_Toc1495"/>
      <w:bookmarkStart w:id="146" w:name="_Toc4806"/>
      <w:bookmarkStart w:id="147" w:name="_Toc86954671"/>
      <w:bookmarkStart w:id="148" w:name="_Toc20126"/>
      <w:bookmarkStart w:id="149" w:name="_Toc29168"/>
      <w:r>
        <w:rPr>
          <w:rFonts w:ascii="Times New Roman" w:hAnsi="Times New Roman" w:eastAsia="仿宋_GB2312" w:cs="Times New Roman"/>
          <w:color w:val="000000"/>
          <w:sz w:val="32"/>
          <w:szCs w:val="28"/>
        </w:rPr>
        <w:t>大力推进产业数字化转型，建设一批产业公共服务平台，深化重点产业数字化转型，立足不同产业特点和差异化需求，推动传统产业全方位、全链条数字化转型。纵深推进工业数字化转型，大力提升农业数字化水平，全面加快商贸、物流、金融等服务业数字化转型。推动产业园区和产业集群数字化转型。</w:t>
      </w:r>
    </w:p>
    <w:p w14:paraId="5C24CE5F">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一、提升工业数字化赋能</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A05C26D">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（一）加快两化深度融合促进转型升级</w:t>
      </w:r>
    </w:p>
    <w:p w14:paraId="559C3843">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推动工业云平台建设，开展工业大数据应用。</w:t>
      </w:r>
      <w:r>
        <w:rPr>
          <w:rFonts w:ascii="Times New Roman" w:hAnsi="Times New Roman" w:eastAsia="仿宋_GB2312" w:cs="Times New Roman"/>
          <w:color w:val="000000"/>
          <w:sz w:val="32"/>
          <w:szCs w:val="28"/>
        </w:rPr>
        <w:t>积极推动各行业龙头企业输出行业技术标准，建设企业级工业互联网平台，带动企业上下游合作伙伴上云。努力打造一批工业互联网示范平台，支持行业协会牵头打造“产业云”，积极实施“泉企上云”工程，支持鼓励企业开展“设备和流程上云”，到2025年，推动7500家企业上云，工业互联网应用领域进入全国领先行列。推动共性工业APP、行业通用工业APP和企业专用工业APP等向工业云平台汇聚。积极开展工业大数据应用，形成全产业链的大数据产品和服务供应体系，形成一批工业大数据解决方案。大力发展基于工业大数据分析的工艺提升、智能安排生产、过程控制优化、能耗优化等智能决策与控制应用。</w:t>
      </w:r>
    </w:p>
    <w:p w14:paraId="0B751EAD">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抓好两化融合项目建设，实现企业产品赋能。</w:t>
      </w:r>
      <w:r>
        <w:rPr>
          <w:rFonts w:ascii="Times New Roman" w:hAnsi="Times New Roman" w:eastAsia="仿宋_GB2312" w:cs="Times New Roman"/>
          <w:color w:val="000000"/>
          <w:sz w:val="32"/>
          <w:szCs w:val="28"/>
        </w:rPr>
        <w:t>支持数字化生产线打造，加快一批智能制造示范性项目建设。引进、培养一批创新能力强、品牌知名度高、产值规模大的领军企业，围绕工业产品研发设计、生产过程控制、企业技术改造等环节加大数字技术应用，促进信息化和工业化深度融合。打造一批示范企业，在基础条件好、需求迫切的重点地区、行业和企业中，分类实施流程制造、离散制造、智能装备和产品、新业态新模式、智能化管理、智能化服务等试点示范及应用推广。制定重点行业领域数字化转型路线图，分行业、分能力、分阶段推进数字化转型标准体系贯标，全面推广两化融合管理体系。</w:t>
      </w:r>
    </w:p>
    <w:p w14:paraId="41033F8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加快工业互联网项目建设，实现企业管理赋能。</w:t>
      </w:r>
      <w:r>
        <w:rPr>
          <w:rFonts w:ascii="Times New Roman" w:hAnsi="Times New Roman" w:eastAsia="仿宋_GB2312" w:cs="Times New Roman"/>
          <w:color w:val="000000"/>
          <w:sz w:val="32"/>
          <w:szCs w:val="28"/>
        </w:rPr>
        <w:t>开展管理赋能，建设一批服务于数控和智能制造的产业园区和基地，引进建设一批公共技术服务平台和新型科研机构。实施融合发展系统解决方案能力提升工程，突破系统集成技术瓶颈，面向重点行业组织开展行业系统解决方案应用试点示范，为中小企业提供标准化、专业化的系统解决方案。</w:t>
      </w:r>
    </w:p>
    <w:p w14:paraId="6C49F412">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（二）实施智能化改造促进制造业升级</w:t>
      </w:r>
    </w:p>
    <w:p w14:paraId="3E1358FC">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推动制造业由“数控一代”向“智能一代”方向发展。</w:t>
      </w:r>
      <w:r>
        <w:rPr>
          <w:rFonts w:ascii="Times New Roman" w:hAnsi="Times New Roman" w:eastAsia="仿宋_GB2312" w:cs="Times New Roman"/>
          <w:color w:val="000000"/>
          <w:sz w:val="32"/>
          <w:szCs w:val="28"/>
        </w:rPr>
        <w:t>进一步推动“数控一代”扩面提质，大力推进“机器换工”专项行动和智能化改造提升工程，全面提升制造装备的数控化率，并把实施示范工程的重点行业领域由原来的纺织鞋服、建材家居、数控机床和机器人三大领域扩大到工程机械、食品包装、纸业印刷和工艺品制造等主要产业领域。先进装备制造业突出高端化智能化发展，壮大高端装备产业，提升关键基础零部件配套能力。加快推进数字化运营平台建设，大幅度改善流程、优化供应链，助力纺织、鞋业制造、智能可穿戴行业开展产业数字化升级。加快推进“5G+智能制造”建设，实现全连接工厂实时生产优化，持续提升生产智能化水平。加快由少数创新应用示范企业带动转向整个产业的推广，建设更多的自动化示范生产线、数字化车间、智能工厂（“熄灯工厂”），积极参与国内、国际市场的竞争和推广应用。力争到2025年规模以上工业企业数字化转型覆盖率达92.5%、生产线改造达65%。</w:t>
      </w:r>
    </w:p>
    <w:p w14:paraId="5B252303">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实施智能改造实现传统产业“制造”到“智造”升级。</w:t>
      </w:r>
      <w:r>
        <w:rPr>
          <w:rFonts w:ascii="Times New Roman" w:hAnsi="Times New Roman" w:eastAsia="仿宋_GB2312" w:cs="Times New Roman"/>
          <w:color w:val="000000"/>
          <w:sz w:val="32"/>
          <w:szCs w:val="28"/>
        </w:rPr>
        <w:t>实施发展智能制造专项行动计划，力争在网络化协同、个性化定制、柔性化生产、共享制造等智能型制造上闯出泉州特色之路，推进生产型制造向服务型制造转变。发展网络化协同制造，基于网络、数据驱动的生产资源配置新模式，实现产业链高效协同和资源配置优化。支持个性化定制运用，基于供应链数据集成和企业数据垂直打通，实现需求响应向规模定制转变。基于产品全流程数据采集分析的智能化服务，打造产品全生命周期管理服务新模式，培育产品在线服务、远程运维、智能供应链等服务新业态；支持创建一批智能制造示范基地，根据各自特色产业组织实施智能制造示范项目，重点在纺织鞋服、建材家居等行业开展个性化定制试点示范，实现需求响应向规模定制转变，支持鞋业、服装、食品等消费类企业建立开放式创新交互平台、在线设计中心，支持机械装备、建材家居产业加快构建产业链协同创新体系。</w:t>
      </w:r>
    </w:p>
    <w:p w14:paraId="21FE2AD0">
      <w:pPr>
        <w:spacing w:after="120"/>
        <w:ind w:left="420" w:leftChars="200" w:firstLine="420" w:firstLineChars="200"/>
        <w:rPr>
          <w:rFonts w:ascii="Times New Roman" w:hAnsi="Times New Roman" w:eastAsia="宋体" w:cs="Times New Roman"/>
          <w:szCs w:val="24"/>
        </w:rPr>
      </w:pP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A0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42" w:type="dxa"/>
          </w:tcPr>
          <w:p w14:paraId="56B71DCA">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制造业数字化转型升级工程</w:t>
            </w:r>
          </w:p>
        </w:tc>
      </w:tr>
      <w:tr w14:paraId="7202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0B383060">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加快推进“智谷（泉州）万洋高新技术产业园”“云知声智能科技”“智创机械生产制造”“铁拓信息化系统升级”“泉州云箭技术创新研究院及产业化”等项目建设，支持洛江打造以泛在物联网、芯片、传感器、人工智能、工业互联网等智能制造为核心产业链的传感智能制造产业基地，力争到2025年产业集群规模突破400亿元。</w:t>
            </w:r>
          </w:p>
          <w:p w14:paraId="79A00F28">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推进晋江“盛达石材数控加工设备生产”“和盛智能机械制造”“光学镜头及模组芯片研发生产”“自动化焊接流水线研发生产”等项目建设。推动晋江与航天科工下属第二、三研究院、中科院泉州装备所联合开展“智能识别分拣包装关键技术研发及应用”项目研发，推进智能装备研发与制造。支持晋江“泉州智能装备制造产业园”建设，力争到2025年实现产值200亿元以上。</w:t>
            </w:r>
          </w:p>
          <w:p w14:paraId="3E33D73E">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支持“永春智慧制造产业园”项目建设，打造智慧家居产业基地，力争到2025年产值达50亿元以上。积极推动惠安创建“国家增材制造创新中心泉州产业基地”，加快推进“顺天塑胶智能制造”“灿辉绿色环保功能性面料织造及智能服饰产业”“南王科技研发总部及智能工厂”等项目建设。加速推进丰泽“footwork lab SaaS平台”“5G医疗服务机器人”、泉州开发区“面向数字化装备的远程运维智能管控平台”、鲤城“卫生用品高端智能装备生产扩建项目”、石狮“鹏泰二期智能制造”“宏兴二期智能工厂”、南安“石材行业智能制造项目”、泉港“金维他智能化生产项目”等项目建设。</w:t>
            </w:r>
          </w:p>
        </w:tc>
      </w:tr>
    </w:tbl>
    <w:p w14:paraId="3EF38328">
      <w:pPr>
        <w:spacing w:line="580" w:lineRule="exact"/>
        <w:ind w:firstLine="640" w:firstLineChars="200"/>
        <w:rPr>
          <w:rFonts w:ascii="Times New Roman" w:hAnsi="Times New Roman" w:eastAsia="黑体" w:cs="Times New Roman"/>
          <w:color w:val="000000"/>
          <w:kern w:val="0"/>
          <w:sz w:val="32"/>
          <w:szCs w:val="30"/>
          <w:lang w:val="zh-CN"/>
        </w:rPr>
      </w:pPr>
      <w:bookmarkStart w:id="150" w:name="_Toc16120"/>
      <w:bookmarkStart w:id="151" w:name="_Toc15444"/>
      <w:bookmarkStart w:id="152" w:name="_Toc2098224898"/>
      <w:bookmarkStart w:id="153" w:name="_Toc376551862"/>
      <w:bookmarkStart w:id="154" w:name="_Toc5570"/>
      <w:bookmarkStart w:id="155" w:name="_Toc1664"/>
      <w:bookmarkStart w:id="156" w:name="_Toc46"/>
      <w:bookmarkStart w:id="157" w:name="_Toc86954672"/>
      <w:bookmarkStart w:id="158" w:name="_Toc2132416642"/>
      <w:bookmarkStart w:id="159" w:name="_Toc1958440381"/>
      <w:bookmarkStart w:id="160" w:name="_Toc17149"/>
      <w:bookmarkStart w:id="161" w:name="_Toc8479"/>
      <w:bookmarkStart w:id="162" w:name="_Toc761"/>
      <w:bookmarkStart w:id="163" w:name="_Toc25244"/>
      <w:bookmarkStart w:id="164" w:name="_Toc4761"/>
      <w:bookmarkStart w:id="165" w:name="_Toc15740"/>
      <w:bookmarkStart w:id="166" w:name="_Toc20860"/>
      <w:bookmarkStart w:id="167" w:name="_Toc81425758"/>
      <w:bookmarkStart w:id="168" w:name="_Toc58310550"/>
      <w:bookmarkStart w:id="169" w:name="_Toc58310549"/>
      <w:r>
        <w:rPr>
          <w:rFonts w:ascii="Times New Roman" w:hAnsi="Times New Roman" w:eastAsia="黑体" w:cs="Times New Roman"/>
          <w:color w:val="000000"/>
          <w:kern w:val="0"/>
          <w:sz w:val="32"/>
          <w:szCs w:val="30"/>
          <w:lang w:val="zh-CN"/>
        </w:rPr>
        <w:t>二、加速农业数字化推进</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3DA59D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促进数字技术与农业经济深度融合，加快农业生产经营、管理服务数字化改造，全面提升农业生产智能化、经营网络化、管理高效化、服务便捷化水平。</w:t>
      </w:r>
    </w:p>
    <w:p w14:paraId="3EEA80EA">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（一）推进智慧型农业建设</w:t>
      </w:r>
    </w:p>
    <w:p w14:paraId="2EC4C70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整合农产品信息发布系统、农产品溯源系统、土壤数据分析系统、病虫害防治系统、农资监管平台，建设农业综合信息服务平台。构建泉州智慧农业大数据资源中心，增加相关农业信息源单位的涉农信息采集和更新范围，统筹建设农业自然资源、重要农业种质资源、农村集体资产、农村宅基地、农户和新型农业经营主体等五类大数据，形成农业农村基础数据资源体系，全面开启对涉农数据的挖掘、汇聚、智能分析、智能感知、智能预警、智能决策。加强市场信息发布和服务，健全重要农产品全产业链监测预警体系。</w:t>
      </w:r>
      <w:bookmarkStart w:id="170" w:name="_Hlk63713423"/>
      <w:r>
        <w:rPr>
          <w:rFonts w:ascii="Times New Roman" w:hAnsi="Times New Roman" w:eastAsia="仿宋_GB2312" w:cs="Times New Roman"/>
          <w:color w:val="000000"/>
          <w:sz w:val="32"/>
          <w:szCs w:val="28"/>
        </w:rPr>
        <w:t>支持安溪构建农业大数据平台，</w:t>
      </w:r>
      <w:bookmarkEnd w:id="170"/>
      <w:r>
        <w:rPr>
          <w:rFonts w:ascii="Times New Roman" w:hAnsi="Times New Roman" w:eastAsia="仿宋_GB2312" w:cs="Times New Roman"/>
          <w:color w:val="000000"/>
          <w:sz w:val="32"/>
          <w:szCs w:val="28"/>
        </w:rPr>
        <w:t>争创全国数字农业建设试点。建设一批省级现代农业智慧园。</w:t>
      </w:r>
    </w:p>
    <w:p w14:paraId="7FB04AE8">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（二）开展农业物联网应用</w:t>
      </w:r>
    </w:p>
    <w:p w14:paraId="30B2E5B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物联网、大数据、空间地理信息（GIS）等新一代信息技术与农业生产全面融合应用，打造一批数字农业创新示范基地。开展农业物联网应用，接入农业物联网感知与控制，采集农业生产过程中的多项目数据，提高农业自动化、智能化水平，实现农业生产的节本增效，创建一批省级农业物联网示范点。选择基础较好地区开展精准农业示范，实现对生产要素、生产环境和生产信息的实时监测、智能控制、可视化操作和远程管理，为农业生产提供精准智能服务，并在大数据日渐成熟的基础上，实现农业可视化远程诊断、远程控制、灾变预警等。</w:t>
      </w:r>
    </w:p>
    <w:p w14:paraId="2AF1112B">
      <w:pPr>
        <w:spacing w:line="580" w:lineRule="exact"/>
        <w:ind w:firstLine="640" w:firstLineChars="200"/>
        <w:rPr>
          <w:rFonts w:ascii="Times New Roman" w:hAnsi="Times New Roman" w:eastAsia="黑体" w:cs="Times New Roman"/>
          <w:color w:val="000000"/>
          <w:kern w:val="0"/>
          <w:sz w:val="32"/>
          <w:szCs w:val="30"/>
          <w:lang w:val="zh-CN"/>
        </w:rPr>
      </w:pPr>
      <w:bookmarkStart w:id="171" w:name="_Toc3372"/>
      <w:bookmarkStart w:id="172" w:name="_Toc24582"/>
      <w:bookmarkStart w:id="173" w:name="_Toc19813"/>
      <w:bookmarkStart w:id="174" w:name="_Toc22961"/>
      <w:bookmarkStart w:id="175" w:name="_Toc16268"/>
      <w:bookmarkStart w:id="176" w:name="_Toc812443334"/>
      <w:bookmarkStart w:id="177" w:name="_Toc22353"/>
      <w:bookmarkStart w:id="178" w:name="_Toc1020"/>
      <w:bookmarkStart w:id="179" w:name="_Toc558489341"/>
      <w:bookmarkStart w:id="180" w:name="_Toc25275"/>
      <w:bookmarkStart w:id="181" w:name="_Toc721383992"/>
      <w:bookmarkStart w:id="182" w:name="_Toc31360"/>
      <w:bookmarkStart w:id="183" w:name="_Toc1563"/>
      <w:bookmarkStart w:id="184" w:name="_Toc16928"/>
      <w:bookmarkStart w:id="185" w:name="_Toc2047525073"/>
      <w:bookmarkStart w:id="186" w:name="_Toc86954673"/>
      <w:bookmarkStart w:id="187" w:name="_Toc81425759"/>
      <w:bookmarkStart w:id="188" w:name="_Toc13849"/>
      <w:r>
        <w:rPr>
          <w:rFonts w:ascii="Times New Roman" w:hAnsi="Times New Roman" w:eastAsia="黑体" w:cs="Times New Roman"/>
          <w:color w:val="000000"/>
          <w:kern w:val="0"/>
          <w:sz w:val="32"/>
          <w:szCs w:val="30"/>
          <w:lang w:val="zh-CN"/>
        </w:rPr>
        <w:t>三、推动服务业数字化升级</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39A9EC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电子商务、智慧物流、在线金融已经成为服务业发展新引擎，推动服务业高质量发展，重点要升级发展电子商务，构建智慧物流配送体系，优化在线金融服务。</w:t>
      </w:r>
    </w:p>
    <w:p w14:paraId="3B1E752F">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（一）升级发展电子商务</w:t>
      </w:r>
    </w:p>
    <w:p w14:paraId="37005B8D">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以建设国家电子商务示范城市、国家电子商务示范基地、中国（泉州）跨境电商综合试验区、国家级市场采购贸易方式试点为契机全面升级发展电子商务，建立电子商务（泉州）大数据服务平台，汇集泉州产业的发展趋势、用户画像、热销省市、热销品牌、热销产品及市场份额、价格走势等信息，为地方政策提供有力依据。完善电子商务监测系统，建立多层次、全覆盖、高效率的社交移动电商风险监测预警机制。加快电商产业链招商，建设全产业链跨境贸易高新技术综合示范园区，实施“一业一平台”扶持工程，分类推动平台做大做强。建设完善线上公共服务平台，为跨境电商各类市场主体提供“一站式”综合服务，构建具有泉州特色的线下功能园区，推动泉州加速形成制造、交易、集货、支付、物流、结算、结汇等全产业链“闭环式”跨境电商生态圈，打造全国重点跨境电商供货基地、物流基地和“双创”基地。通过“集成+赋能”方式，整合涵盖网批市场、直播基地、电商数据中心、物流服务中心、网红公寓、网红培训等创建千亿级新电商区域中心。</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F51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5FAC7356">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电子商务升级工程</w:t>
            </w:r>
          </w:p>
        </w:tc>
      </w:tr>
      <w:tr w14:paraId="20E6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046B36BB">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加快建设泉州市电子商务监测系统，建立起多层次、全覆盖、高效率的社交移动电商风险监测预警机制。加快建设鲤城“捷云科创园”，开展企业直播电商服务、新零售电商云技术供应链服务；加快推进晋江“Lazada泉州综合保税区发展跨境电商合作项目”“云创联航电商数字经济园”建设；加快推进惠安“家世比工业4.0电商产业园”“城南慧臻科技电商双创产业园”建设。</w:t>
            </w:r>
          </w:p>
          <w:p w14:paraId="1A62928E">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推动石狮“海丝国际智能电商孵化基地”建设，打造规模化、规范化、多功能、立体化、全方位的一流电商集散地；加速“青创城服装网批云市场公共服务平台”建设，采用线上“青创网”+线下“青创城”的模式致力于石狮服装产业的优化与革新；探索建立“市场采购贸易+跨境电商+外贸综合服务+保税物流中心区+港口经济”等叠加优势模式。</w:t>
            </w:r>
          </w:p>
        </w:tc>
      </w:tr>
    </w:tbl>
    <w:p w14:paraId="12A1FAEB">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（二）构建物流配送体系</w:t>
      </w:r>
    </w:p>
    <w:p w14:paraId="7D28415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以创建新一轮“中国快递示范城市”为契机，加快智慧物流发展，建立物流大数据中心，促进智慧物流平台与电子商务平台对接，鼓励构建网络货运平台，发展“物流+互联网”新生态，构建智能物流配送体系。充分发挥泉州生产基地产业集群优势，大力推动“互联网+生产基地+物流”融合创新，加快培育一批布局集中、用地集约、功能集成的示范物流园区。依托晋江陆地港、泉州国际快件监管中心、石狮国际快件监管中心、泉州跨境电商通关服务中心和泉州国际邮件互换局（交换站），创新集国际快件、跨境电商和国际邮件监管于一体的“三合一”式集约化通关新模式。加速推广使用无线射频识别、自动分拣设备、无人仓、专业机器人等，拓展泉州快递数据实时分析展示系统功能，提高其在市场监管、数据追踪、趋势研判、宏观经济分析等多个方面应用。推进快递“进厂”“进村”“出海”，建成邮政快递业监管服务平台，实现全市邮政、快递网点监控全覆盖。大力发展“无接触”配送服务，加快社区、园区、楼宇等区域布局智能投递终端，加快推进和完善村级邮政快递物流公共服务体系建设，促进农特产品“走出去”。</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15F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156B68C3">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现代物流体系建设工程</w:t>
            </w:r>
          </w:p>
        </w:tc>
      </w:tr>
      <w:tr w14:paraId="320E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5433E5A8">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构建智能物流配送体系重点项目</w:t>
            </w:r>
            <w:r>
              <w:rPr>
                <w:rFonts w:ascii="Times New Roman" w:hAnsi="Times New Roman" w:eastAsia="仿宋_GB2312" w:cs="Times New Roman"/>
                <w:color w:val="000000"/>
                <w:sz w:val="28"/>
                <w:szCs w:val="28"/>
              </w:rPr>
              <w:t>：（1）积极构建覆盖泉州市全区“邮政快递业监管服务平台”，加快推进晋江“货同运网络货运平台”建设。加快推进泉港“陆地港项目”，打造对于危化品运输车辆的监管和服务并行的线上线下石化智慧物流平台。（2）积极推动安溪“弘桥智谷电商园仓储物流扩容升级项目”建设，</w:t>
            </w:r>
            <w:bookmarkStart w:id="189" w:name="_Hlk63713520"/>
            <w:r>
              <w:rPr>
                <w:rFonts w:ascii="Times New Roman" w:hAnsi="Times New Roman" w:eastAsia="仿宋_GB2312" w:cs="Times New Roman"/>
                <w:color w:val="000000"/>
                <w:sz w:val="28"/>
                <w:szCs w:val="28"/>
              </w:rPr>
              <w:t>加快推进石狮“特步现代化智能物流仓储及生产车间项目”建设；</w:t>
            </w:r>
            <w:bookmarkEnd w:id="189"/>
            <w:r>
              <w:rPr>
                <w:rFonts w:ascii="Times New Roman" w:hAnsi="Times New Roman" w:eastAsia="仿宋_GB2312" w:cs="Times New Roman"/>
                <w:color w:val="000000"/>
                <w:sz w:val="28"/>
                <w:szCs w:val="28"/>
              </w:rPr>
              <w:t>加快推进惠安“音锋智能物流机器人及数字工厂产业基地项目”建设。（3）积极推动安溪建设农副产品冻库冷链项目，创建国际现代冷链物流创新基地；积极推动晋江创建“华南智慧冷链产业园”，泉港创建“恒昌盛物流仓储产业园”，德化创建“中国陶瓷电商物流园”，发展智能仓储物流，提升上下游产业智慧化水平。</w:t>
            </w:r>
          </w:p>
          <w:p w14:paraId="5DE87289">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b/>
                <w:color w:val="000000"/>
                <w:sz w:val="28"/>
                <w:szCs w:val="28"/>
              </w:rPr>
              <w:t>创建中国快递集聚发展先行区</w:t>
            </w:r>
            <w:r>
              <w:rPr>
                <w:rFonts w:ascii="Times New Roman" w:hAnsi="Times New Roman" w:eastAsia="仿宋_GB2312" w:cs="Times New Roman"/>
                <w:color w:val="000000"/>
                <w:sz w:val="28"/>
                <w:szCs w:val="28"/>
              </w:rPr>
              <w:t>：推动泉州开发区开展“泉州智能物流示范基地”建设。加快推进泉州顺丰创新产业园项目、德邦东南总部项目建设；推动中通福建总部、福建圆通总部、邮政物流（EMS）集散中心、韵达集团泉州区域总部，申通快递华东总部等项目的落地，加速形成以晋江和泉州开发区为快递聚集区。</w:t>
            </w:r>
          </w:p>
        </w:tc>
      </w:tr>
    </w:tbl>
    <w:p w14:paraId="14F28CC2">
      <w:pPr>
        <w:spacing w:line="580" w:lineRule="exact"/>
        <w:ind w:firstLine="640" w:firstLineChars="200"/>
        <w:rPr>
          <w:rFonts w:ascii="Times New Roman" w:hAnsi="Times New Roman" w:eastAsia="方正楷体简体" w:cs="Times New Roman"/>
          <w:bCs/>
          <w:color w:val="000000"/>
          <w:sz w:val="32"/>
          <w:szCs w:val="28"/>
        </w:rPr>
      </w:pPr>
      <w:r>
        <w:rPr>
          <w:rFonts w:ascii="Times New Roman" w:hAnsi="Times New Roman" w:eastAsia="方正楷体简体" w:cs="Times New Roman"/>
          <w:bCs/>
          <w:color w:val="000000"/>
          <w:sz w:val="32"/>
          <w:szCs w:val="28"/>
        </w:rPr>
        <w:t>（三）优化在线金融服务</w:t>
      </w:r>
    </w:p>
    <w:p w14:paraId="519EE0B7">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大力推进国家产融合作试点城市建设，鼓励在泉银行业机构积极对接省“金服云”平台的“线上经济定制式服务产品”，面向线上经济企业推广“快服贷”服务。推动数字普惠金融服务平台建设。促进政务数据与金融数据融合应用，打通金融机构与政府部门之间的信息通道，设立数据共享机制，让平台充分依规使用银行数据，银行依规共享政务数据，做活政府的政务数据资产。鼓励银行机构依托本地普惠金融服务平台和“信易贷”平台向信用良好的中小微企业开展以信用为基础的免抵押贷款、电力贷等信用无抵押贷款。依托我市产业链条，构建更多行业信用维度，创新应用场景，推动垂直领域细分行业信易贷应用场景落地。探索风险多元缓释机制，实现信易贷风险共担。</w:t>
      </w:r>
    </w:p>
    <w:p w14:paraId="122341F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积极开发知识产权质押贷款、科技保险、专利保险等金融产品，支持线上经济小微企业等轻资产企业融资。推进供应链金融“互联网+票据”建设，依托供应链核心企业信用、真实交易背景和实物流、资金流、信息流闭环，为上下游企业提供无需抵押担保的“平台+金融+保险+企业”具有民营企业特色的供应链金融。探索建设用工企业平台与自由职业者之间收入结算及成本优化的一站式互联网服务平台。加快推进泉州银行“数据基础服务平台”建设，利用机器学习技术构建客户画像；推动银行机构积极开展互联网金融新业务，逐步向电子商务、移动支付、互联网理财等领域加速业务渗透。</w:t>
      </w:r>
    </w:p>
    <w:p w14:paraId="31401D47">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推动线上申贷续贷还贷、线上投资理财理赔、线上便民缴费等金融服务。创新探索开展线上房屋抵押典当贷款、个人消费贷等业务，打造上下游供应商应收账款、商票、银票等财产权利质押数字化融资平台。推动发展电子保函，推动我市建筑、市政、水利水电等各类招投标业务以电子保函替代传统投标保证金。</w:t>
      </w:r>
    </w:p>
    <w:bookmarkEnd w:id="168"/>
    <w:bookmarkEnd w:id="169"/>
    <w:p w14:paraId="2CB47C94">
      <w:pPr>
        <w:spacing w:line="580" w:lineRule="exact"/>
        <w:ind w:firstLine="640" w:firstLineChars="200"/>
        <w:rPr>
          <w:rFonts w:ascii="Times New Roman" w:hAnsi="Times New Roman" w:eastAsia="黑体" w:cs="Times New Roman"/>
          <w:color w:val="000000"/>
          <w:kern w:val="0"/>
          <w:sz w:val="32"/>
          <w:szCs w:val="30"/>
          <w:lang w:val="zh-CN"/>
        </w:rPr>
      </w:pPr>
      <w:bookmarkStart w:id="190" w:name="_Toc58310545"/>
      <w:bookmarkStart w:id="191" w:name="_Toc18564"/>
      <w:bookmarkStart w:id="192" w:name="_Toc15030"/>
      <w:bookmarkStart w:id="193" w:name="_Toc16260"/>
      <w:bookmarkStart w:id="194" w:name="_Toc22786"/>
      <w:bookmarkStart w:id="195" w:name="_Toc15179"/>
      <w:bookmarkStart w:id="196" w:name="_Toc1103836538"/>
      <w:bookmarkStart w:id="197" w:name="_Toc86954674"/>
      <w:bookmarkStart w:id="198" w:name="_Toc2032666438"/>
      <w:bookmarkStart w:id="199" w:name="_Toc10672"/>
      <w:bookmarkStart w:id="200" w:name="_Toc11189"/>
      <w:bookmarkStart w:id="201" w:name="_Toc782005829"/>
      <w:bookmarkStart w:id="202" w:name="_Toc5466"/>
      <w:bookmarkStart w:id="203" w:name="_Toc4824"/>
      <w:bookmarkStart w:id="204" w:name="_Toc2034000889"/>
      <w:bookmarkStart w:id="205" w:name="_Toc4674"/>
      <w:bookmarkStart w:id="206" w:name="_Toc81425760"/>
      <w:bookmarkStart w:id="207" w:name="_Toc3681"/>
      <w:bookmarkStart w:id="208" w:name="_Toc26949"/>
      <w:bookmarkStart w:id="209" w:name="_Toc58098827"/>
      <w:r>
        <w:rPr>
          <w:rFonts w:ascii="Times New Roman" w:hAnsi="Times New Roman" w:eastAsia="黑体" w:cs="Times New Roman"/>
          <w:color w:val="000000"/>
          <w:kern w:val="0"/>
          <w:sz w:val="32"/>
          <w:szCs w:val="30"/>
          <w:lang w:val="zh-CN"/>
        </w:rPr>
        <w:t>四</w:t>
      </w:r>
      <w:bookmarkEnd w:id="190"/>
      <w:r>
        <w:rPr>
          <w:rFonts w:ascii="Times New Roman" w:hAnsi="Times New Roman" w:eastAsia="黑体" w:cs="Times New Roman"/>
          <w:color w:val="000000"/>
          <w:kern w:val="0"/>
          <w:sz w:val="32"/>
          <w:szCs w:val="30"/>
          <w:lang w:val="zh-CN"/>
        </w:rPr>
        <w:t>、加速数字经济园区集聚</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A5C6FF2">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以建设国家级数字经济（福厦泉）示范区为契机，着力提升数字经济产业集聚和辐射能力，打造数字经济发展新引擎。加强数字经济园区（基地）建设，打造数字文创动漫、大数据、新型显示、电子化学新材料等产业集群；打造区域智能电网电器产业综合园、科技创新孵化器和软件生态圈；打造光子技术、高科技陶瓷、人工智能等产业集聚区；打造服务泉州、辐射全省乃至全国的知识产权、科技成果转化创新创业基地；打造先进传感智能制造产业基地、人机交互产业基地、全球重要的内存生产基地、国际领先的化合物半导体专业基地；打造全国领先的现代化智能装备产业园区、世界一流时空产业园区；打造中国快递集聚发展先行区。深入开展园区标准化建设，按照“龙头+基地+产业链”的运作模式，集聚资源要素打造高水平数字经济产业园区，力争用5年时间打造百亿传感制造产业、百亿时空产业、百亿新型数字显示产业、百亿知创产业和千亿半导体产业等一批数字经济产业集聚园区。到2025年，力争打造50个数字经济产业园区，落地工业互联网、人工智能、区块链等创新示范应用案例超过300个，数字经济增加值占地区生产总值比重超57%。</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02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66E81321">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数字经济园区集聚大比拼行动</w:t>
            </w:r>
          </w:p>
        </w:tc>
      </w:tr>
      <w:tr w14:paraId="0E5D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49C50CDA">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产业集群、产业集聚区、发展先行区</w:t>
            </w:r>
            <w:r>
              <w:rPr>
                <w:rFonts w:ascii="Times New Roman" w:hAnsi="Times New Roman" w:eastAsia="仿宋_GB2312" w:cs="Times New Roman"/>
                <w:color w:val="000000"/>
                <w:sz w:val="28"/>
                <w:szCs w:val="28"/>
              </w:rPr>
              <w:t>：鲤城区打造古城数字文创动漫产业集群；数字福建（安溪）产业基地打造具有较强竞争力的空天、影视、电商大数据产业链；泉州开发区打造新型数字显示产业集群；泉港区打造具有国际竞争力的电子化学新材料产业集群。石狮市打造光子技术产业特色集聚区；德化县打造高端陶瓷制造产业集聚区；惠安县打造人工智能及半导体全生态产业链集聚区；晋江市与泉州开发区打造中国快递集聚发展先行区。</w:t>
            </w:r>
          </w:p>
          <w:p w14:paraId="23AC3313">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产业基地、创业基地</w:t>
            </w:r>
            <w:r>
              <w:rPr>
                <w:rFonts w:ascii="Times New Roman" w:hAnsi="Times New Roman" w:eastAsia="仿宋_GB2312" w:cs="Times New Roman"/>
                <w:color w:val="000000"/>
                <w:sz w:val="28"/>
                <w:szCs w:val="28"/>
              </w:rPr>
              <w:t>：丰泽区打造服务泉州、辐射全省乃至全国的知识产权、科技成果转化创新创业基地；洛江区全力打造全国重要的先进传感智能制造产业基地；晋江市全力打造全球重要的内存产业生产基地，全力建设两岸集成电路产业合作示范中心；南安市打造国际领先的化合物半导体专业基地。</w:t>
            </w:r>
          </w:p>
          <w:p w14:paraId="7B4A1BDC">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b/>
                <w:color w:val="000000"/>
                <w:sz w:val="28"/>
                <w:szCs w:val="28"/>
              </w:rPr>
              <w:t>产业园区、生态圈</w:t>
            </w:r>
            <w:r>
              <w:rPr>
                <w:rFonts w:ascii="Times New Roman" w:hAnsi="Times New Roman" w:eastAsia="仿宋_GB2312" w:cs="Times New Roman"/>
                <w:color w:val="000000"/>
                <w:sz w:val="28"/>
                <w:szCs w:val="28"/>
              </w:rPr>
              <w:t>：南安市重点打造特种机器人、无人机（船）、智能军警训练器材、后勤装备等人机交互特色产业生态圈；晋江市打造全国领先的现代化智能装备产业园区；丰泽区与泉州台商投资区打造世界一流时空产业园区；泉州台商投资区打造区域智能电网电器产业综合园；丰泽区打造科技创新孵化器和软件生态圈。</w:t>
            </w:r>
          </w:p>
        </w:tc>
      </w:tr>
    </w:tbl>
    <w:p w14:paraId="0C8C77C1">
      <w:pPr>
        <w:keepNext/>
        <w:keepLines/>
        <w:pageBreakBefore/>
        <w:spacing w:before="340" w:after="240" w:line="596" w:lineRule="exact"/>
        <w:jc w:val="center"/>
        <w:outlineLvl w:val="0"/>
        <w:rPr>
          <w:rFonts w:ascii="Times New Roman" w:hAnsi="Times New Roman" w:eastAsia="方正小标宋简体" w:cs="Times New Roman"/>
          <w:color w:val="000000"/>
          <w:kern w:val="44"/>
          <w:sz w:val="36"/>
          <w:szCs w:val="36"/>
        </w:rPr>
      </w:pPr>
      <w:bookmarkStart w:id="210" w:name="_Toc94308414"/>
      <w:bookmarkStart w:id="211" w:name="_Toc400124136"/>
      <w:bookmarkStart w:id="212" w:name="_Toc2099402558"/>
      <w:bookmarkStart w:id="213" w:name="_Toc20384"/>
      <w:bookmarkStart w:id="214" w:name="_Toc86954675"/>
      <w:bookmarkStart w:id="215" w:name="_Toc29143"/>
      <w:bookmarkStart w:id="216" w:name="_Toc8510"/>
      <w:bookmarkStart w:id="217" w:name="_Toc24791"/>
      <w:bookmarkStart w:id="218" w:name="_Toc710"/>
      <w:bookmarkStart w:id="219" w:name="_Toc31258"/>
      <w:bookmarkStart w:id="220" w:name="_Toc903743861"/>
      <w:bookmarkStart w:id="221" w:name="_Toc25667"/>
      <w:bookmarkStart w:id="222" w:name="_Toc81425761"/>
      <w:bookmarkStart w:id="223" w:name="_Toc6551"/>
      <w:bookmarkStart w:id="224" w:name="_Toc1193078756"/>
      <w:bookmarkStart w:id="225" w:name="_Toc21884"/>
      <w:bookmarkStart w:id="226" w:name="_Toc13448"/>
      <w:bookmarkStart w:id="227" w:name="_Toc30571"/>
      <w:bookmarkStart w:id="228" w:name="_Toc18339"/>
      <w:r>
        <w:rPr>
          <w:rFonts w:ascii="Times New Roman" w:hAnsi="Times New Roman" w:eastAsia="方正小标宋简体" w:cs="Times New Roman"/>
          <w:color w:val="000000"/>
          <w:kern w:val="44"/>
          <w:sz w:val="36"/>
          <w:szCs w:val="36"/>
        </w:rPr>
        <w:t>第五章 促进跨区域融合发展，建设数字社会新篇章</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7CAD000">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提升社会服务数字化普惠水平，加快推动文化教育、医疗健康、出行、社保等公共服务资源数字化供给和网络化服务，让群众拥有更多的获得感。统筹推动新型智慧城市和数字乡村建设，加快推进泉州“城市大脑”建设，推进社区设施数字化改造，探索“数字孪生”城市建设，推进数字乡村建设，补齐农村地区信息基础设施短板。加强信息无障碍建设，提升面向特殊群体的数字化社会服务能力，加快弥合数字鸿沟。加速推进“数字丝路”建设，打造“海丝”数字应用标杆城市。</w:t>
      </w:r>
    </w:p>
    <w:bookmarkEnd w:id="209"/>
    <w:p w14:paraId="2B9C43BD">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229" w:name="_Toc81425762"/>
      <w:bookmarkStart w:id="230" w:name="_Toc14576"/>
      <w:bookmarkStart w:id="231" w:name="_Toc386552653"/>
      <w:bookmarkStart w:id="232" w:name="_Toc15202"/>
      <w:bookmarkStart w:id="233" w:name="_Toc222488971"/>
      <w:bookmarkStart w:id="234" w:name="_Toc252777188"/>
      <w:bookmarkStart w:id="235" w:name="_Toc26277"/>
      <w:bookmarkStart w:id="236" w:name="_Toc6189"/>
      <w:bookmarkStart w:id="237" w:name="_Toc12854"/>
      <w:bookmarkStart w:id="238" w:name="_Toc31003"/>
      <w:bookmarkStart w:id="239" w:name="_Toc2535"/>
      <w:bookmarkStart w:id="240" w:name="_Toc86954676"/>
      <w:bookmarkStart w:id="241" w:name="_Toc94308415"/>
      <w:bookmarkStart w:id="242" w:name="_Toc25198"/>
      <w:bookmarkStart w:id="243" w:name="_Toc9949"/>
      <w:bookmarkStart w:id="244" w:name="_Toc28839"/>
      <w:bookmarkStart w:id="245" w:name="_Toc14950"/>
      <w:bookmarkStart w:id="246" w:name="_Toc182711959"/>
      <w:bookmarkStart w:id="247" w:name="_Toc4982"/>
      <w:r>
        <w:rPr>
          <w:rFonts w:ascii="Times New Roman" w:hAnsi="Times New Roman" w:eastAsia="方正黑体简体" w:cs="Times New Roman"/>
          <w:bCs/>
          <w:color w:val="000000"/>
          <w:sz w:val="32"/>
          <w:szCs w:val="32"/>
        </w:rPr>
        <w:t>第一节 全面优化数字民生服务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A700864">
      <w:pPr>
        <w:spacing w:line="580" w:lineRule="exact"/>
        <w:ind w:firstLine="640" w:firstLineChars="200"/>
        <w:rPr>
          <w:rFonts w:ascii="Times New Roman" w:hAnsi="Times New Roman" w:eastAsia="黑体" w:cs="Times New Roman"/>
          <w:color w:val="000000"/>
          <w:kern w:val="0"/>
          <w:sz w:val="32"/>
          <w:szCs w:val="30"/>
          <w:lang w:val="zh-CN"/>
        </w:rPr>
      </w:pPr>
      <w:bookmarkStart w:id="248" w:name="_Toc233"/>
      <w:bookmarkStart w:id="249" w:name="_Toc27619"/>
      <w:bookmarkStart w:id="250" w:name="_Toc501631805"/>
      <w:bookmarkStart w:id="251" w:name="_Toc19699"/>
      <w:bookmarkStart w:id="252" w:name="_Toc19303"/>
      <w:bookmarkStart w:id="253" w:name="_Toc7710"/>
      <w:bookmarkStart w:id="254" w:name="_Toc3108"/>
      <w:bookmarkStart w:id="255" w:name="_Toc5350"/>
      <w:bookmarkStart w:id="256" w:name="_Toc81425763"/>
      <w:bookmarkStart w:id="257" w:name="_Toc1664822533"/>
      <w:bookmarkStart w:id="258" w:name="_Toc29309"/>
      <w:bookmarkStart w:id="259" w:name="_Toc17216"/>
      <w:bookmarkStart w:id="260" w:name="_Toc3844"/>
      <w:bookmarkStart w:id="261" w:name="_Toc1236357724"/>
      <w:bookmarkStart w:id="262" w:name="_Toc29227"/>
      <w:bookmarkStart w:id="263" w:name="_Toc8201"/>
      <w:bookmarkStart w:id="264" w:name="_Toc86954677"/>
      <w:bookmarkStart w:id="265" w:name="_Toc1832185926"/>
      <w:r>
        <w:rPr>
          <w:rFonts w:ascii="Times New Roman" w:hAnsi="Times New Roman" w:eastAsia="黑体" w:cs="Times New Roman"/>
          <w:color w:val="000000"/>
          <w:kern w:val="0"/>
          <w:sz w:val="32"/>
          <w:szCs w:val="30"/>
          <w:lang w:val="zh-CN"/>
        </w:rPr>
        <w:t>一、加快推进智慧教育建设</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94A5409">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围绕物联网、集成电路、区块链、人工智能、5G、大数据、虚拟现实等为代表的新一代信息技术，鼓励本地高校创办数字技术相关学院，增设相关学科。抓住5G商用契机，加快推动物联网、云计算、虚拟现实等技术在教育领域的规模化应用，支持互联网企业与在线教育机构深度合作，大力发展智能化、交互式在线教育模式，增强在线教育体验感。全面落实“教育信息化2.0”行动计划，深入推进“三通两平台”建设，推动信息技术和智能技术融入教育教学全过程，推动智慧校园建设，引进名校教育资源，构建一体化“互联网+教育”大数据平台。加强智能教学助手、人工智能（AI）教师等新技术的应用，推动教育模式变革，大力推进“互联网+”“智能+”教育教学改革，促进学科交叉融合，培养在线教育行业发展各类急需人才。建立市场化运作机制，创新各级资源和管理平台的运营模式，构建基于移动端的“智慧校园”生态圈，消除数字鸿沟。促进全民数字技能教育教学资源体系初步形成，信息弱势群体数字素养与技能明显提升；到2025年，全民数字技能教育培训广泛普及，让人民群众共享信息化发展成果。</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D3E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67D34038">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智慧教育工程</w:t>
            </w:r>
          </w:p>
        </w:tc>
      </w:tr>
      <w:tr w14:paraId="23A8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7FBF6F75">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积极推动泉州市在线教育一体化平台建设；加快构建涵盖教育资源、网络教研、教育管理等内容的全市统一的教育云平台。积极推动鲤城构建“成迹”平台，建设一个中心、两个应用，帮助家长关注儿童成长轨迹。加快推进洛江、南安及泉州开发区“智慧教育”项目建设。</w:t>
            </w:r>
          </w:p>
        </w:tc>
      </w:tr>
    </w:tbl>
    <w:p w14:paraId="06312595">
      <w:pPr>
        <w:spacing w:line="580" w:lineRule="exact"/>
        <w:ind w:firstLine="640" w:firstLineChars="200"/>
        <w:rPr>
          <w:rFonts w:ascii="Times New Roman" w:hAnsi="Times New Roman" w:eastAsia="黑体" w:cs="Times New Roman"/>
          <w:color w:val="000000"/>
          <w:kern w:val="0"/>
          <w:sz w:val="32"/>
          <w:szCs w:val="30"/>
          <w:lang w:val="zh-CN"/>
        </w:rPr>
      </w:pPr>
      <w:bookmarkStart w:id="266" w:name="_Toc86954678"/>
      <w:bookmarkStart w:id="267" w:name="_Toc81425764"/>
      <w:bookmarkStart w:id="268" w:name="_Toc2273"/>
      <w:bookmarkStart w:id="269" w:name="_Toc1800081487"/>
      <w:bookmarkStart w:id="270" w:name="_Toc24443"/>
      <w:bookmarkStart w:id="271" w:name="_Toc25376"/>
      <w:bookmarkStart w:id="272" w:name="_Toc32079"/>
      <w:bookmarkStart w:id="273" w:name="_Toc2207"/>
      <w:bookmarkStart w:id="274" w:name="_Toc1235821442"/>
      <w:bookmarkStart w:id="275" w:name="_Toc13736"/>
      <w:bookmarkStart w:id="276" w:name="_Toc27864"/>
      <w:bookmarkStart w:id="277" w:name="_Toc29555"/>
      <w:bookmarkStart w:id="278" w:name="_Toc2526"/>
      <w:bookmarkStart w:id="279" w:name="_Toc7650"/>
      <w:bookmarkStart w:id="280" w:name="_Toc833684833"/>
      <w:bookmarkStart w:id="281" w:name="_Toc27916"/>
      <w:bookmarkStart w:id="282" w:name="_Toc31234"/>
      <w:bookmarkStart w:id="283" w:name="_Toc386424840"/>
      <w:r>
        <w:rPr>
          <w:rFonts w:ascii="Times New Roman" w:hAnsi="Times New Roman" w:eastAsia="黑体" w:cs="Times New Roman"/>
          <w:color w:val="000000"/>
          <w:kern w:val="0"/>
          <w:sz w:val="32"/>
          <w:szCs w:val="30"/>
          <w:lang w:val="zh-CN"/>
        </w:rPr>
        <w:t>二、有序推进智慧医疗</w:t>
      </w:r>
      <w:bookmarkEnd w:id="266"/>
      <w:bookmarkEnd w:id="267"/>
      <w:bookmarkEnd w:id="268"/>
      <w:r>
        <w:rPr>
          <w:rFonts w:ascii="Times New Roman" w:hAnsi="Times New Roman" w:eastAsia="黑体" w:cs="Times New Roman"/>
          <w:color w:val="000000"/>
          <w:kern w:val="0"/>
          <w:sz w:val="32"/>
          <w:szCs w:val="30"/>
          <w:lang w:val="zh-CN"/>
        </w:rPr>
        <w:t>建设</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BF4135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提升“互联网+医疗健康”基础设施保障能力，推进卫生健康专网带宽提速，扩大远程视频专网接入范围。推进“健康泉州服务平台”建设，实现全市统一线上预约、个人健康诊疗记录网上查询等功能，逐步构建“一人一档”的全生命周期个人健康数据库。探索福建健康码“多码融合”应用在全市各级医疗机构落地，统筹电子身份证、电子健康卡、医保电子凭证、电子社保卡等技术标准，实现“一部手机全市就医”。推动医疗机构间信息共享，逐步实现同区域、同级医院间电子病历、检验检查结果、医学影像资料等便捷调阅共享和引用。推进网络安全等级保护，持续提升网络与信息安全保障能力。加快布局“5G+智慧医疗”，重点实现远程会诊、线上问诊、开电子处方、药品审核配送。依托互联网、可穿戴设备，积极开展对慢性病、免疫规划等在线服务和健康干预管理。开展智慧健康养老应用示范，满足多样化、个性化健康养老需求。运用“互联网+”打造智慧社区养老助残服务体系，以居家为基础提升养老服务领域智慧化水平。</w:t>
      </w:r>
    </w:p>
    <w:p w14:paraId="399C5077">
      <w:pPr>
        <w:spacing w:line="580" w:lineRule="exact"/>
        <w:ind w:firstLine="640" w:firstLineChars="200"/>
        <w:rPr>
          <w:rFonts w:ascii="Times New Roman" w:hAnsi="Times New Roman" w:eastAsia="黑体" w:cs="Times New Roman"/>
          <w:color w:val="000000"/>
          <w:kern w:val="0"/>
          <w:sz w:val="32"/>
          <w:szCs w:val="30"/>
          <w:lang w:val="zh-CN"/>
        </w:rPr>
      </w:pPr>
      <w:bookmarkStart w:id="284" w:name="_Toc1451873767"/>
      <w:bookmarkStart w:id="285" w:name="_Toc30656"/>
      <w:bookmarkStart w:id="286" w:name="_Toc21158"/>
      <w:bookmarkStart w:id="287" w:name="_Toc219"/>
      <w:bookmarkStart w:id="288" w:name="_Toc81425765"/>
      <w:bookmarkStart w:id="289" w:name="_Toc1640998111"/>
      <w:bookmarkStart w:id="290" w:name="_Toc86954679"/>
      <w:bookmarkStart w:id="291" w:name="_Toc250823313"/>
      <w:bookmarkStart w:id="292" w:name="_Toc1145123676"/>
      <w:bookmarkStart w:id="293" w:name="_Toc10861"/>
      <w:bookmarkStart w:id="294" w:name="_Toc11890"/>
      <w:bookmarkStart w:id="295" w:name="_Toc29566"/>
      <w:bookmarkStart w:id="296" w:name="_Toc23682"/>
      <w:bookmarkStart w:id="297" w:name="_Toc19316"/>
      <w:bookmarkStart w:id="298" w:name="_Toc26897"/>
      <w:bookmarkStart w:id="299" w:name="_Toc10767"/>
      <w:bookmarkStart w:id="300" w:name="_Toc28297"/>
      <w:bookmarkStart w:id="301" w:name="_Toc9166"/>
      <w:r>
        <w:rPr>
          <w:rFonts w:ascii="Times New Roman" w:hAnsi="Times New Roman" w:eastAsia="黑体" w:cs="Times New Roman"/>
          <w:color w:val="000000"/>
          <w:kern w:val="0"/>
          <w:sz w:val="32"/>
          <w:szCs w:val="30"/>
          <w:lang w:val="zh-CN"/>
        </w:rPr>
        <w:t>三、加快推进智慧交通建设</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4AF90D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打造智慧交通综合出行平台，有效整合高速、国省道干线、县乡道路三大路网以及民航、对台航运、公路客运、城市公交、出租车、网约车、共享单车等出行服务方式，接入城市路面、地理建筑、实时交通等出行相关信息，推进北斗网格码与智慧交通的融合应用，探索“一键下单、多元融合出行”的一体化智慧出行服务。建设“智慧停车”系统，提供全市停车地图、车场状态实时监控、停车大数据挖掘分析等服务。基于数字孪生技术，开展城市交通流量和信号仿真，促进道路通行能力最大化；应用边缘计算，实现道路边缘节点集成地图、交通信号、附近移动目标等信息系统，实现车路协同和特定区域的自动驾驶示范应用。汇聚交通基础设施、交通运输工具、城市管理相关数据，构建交通基础设施大数据资源中心；依托泉州市交通运输运行监测调度中心建设交通运输监测系统、实时分析系统、应急调度系统，实现交通运输运行实时监测感知和决策分析。</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E68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7AF7DF29">
            <w:pPr>
              <w:widowControl/>
              <w:numPr>
                <w:ilvl w:val="0"/>
                <w:numId w:val="1"/>
              </w:numPr>
              <w:spacing w:line="600" w:lineRule="exact"/>
              <w:jc w:val="center"/>
              <w:rPr>
                <w:rFonts w:ascii="Times New Roman" w:hAnsi="Times New Roman" w:eastAsia="仿宋_GB2312" w:cs="Times New Roman"/>
                <w:color w:val="000000"/>
                <w:kern w:val="0"/>
                <w:sz w:val="30"/>
                <w:szCs w:val="30"/>
              </w:rPr>
            </w:pPr>
            <w:bookmarkStart w:id="302" w:name="_Toc81425766"/>
            <w:bookmarkStart w:id="303" w:name="_Toc18636"/>
            <w:r>
              <w:rPr>
                <w:rFonts w:hint="eastAsia" w:ascii="Times New Roman" w:hAnsi="Times New Roman" w:eastAsia="楷体_GB2312" w:cs="Times New Roman"/>
                <w:b/>
                <w:color w:val="000000"/>
                <w:sz w:val="28"/>
                <w:szCs w:val="28"/>
              </w:rPr>
              <w:t>智慧交通工程</w:t>
            </w:r>
          </w:p>
        </w:tc>
      </w:tr>
      <w:tr w14:paraId="37EA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31C03CB6">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加快推进“泉州市道路运输车辆路面动态监管平台”建设，开展违法监测预警、移动执法监管、指挥调度等应用。积极推动泉州交通基础设施大数据资源中心建设，实现对全市交通数据的汇聚存储，为建设跨部门、跨层级、跨领域的智慧交通应用体系打下基础。积极推动“泉州市交通运输运行监测调度中心”建设，实现交通运输运行实时监测和决策分析。继续提升完善“泉城通平台”建设，加快推进“自行车网”建设，全面提升泉州电动自行车智能化管理水平，逐步构建电动自行车全链条智能管理一张网。积极推动泉州市城市智慧公交大脑建设，实现全智能公交调度和公交负荷分担。</w:t>
            </w:r>
          </w:p>
        </w:tc>
      </w:tr>
    </w:tbl>
    <w:p w14:paraId="736108FE">
      <w:pPr>
        <w:spacing w:line="580" w:lineRule="exact"/>
        <w:ind w:firstLine="640" w:firstLineChars="200"/>
        <w:rPr>
          <w:rFonts w:ascii="Times New Roman" w:hAnsi="Times New Roman" w:eastAsia="黑体" w:cs="Times New Roman"/>
          <w:color w:val="000000"/>
          <w:kern w:val="0"/>
          <w:sz w:val="32"/>
          <w:szCs w:val="30"/>
          <w:lang w:val="zh-CN"/>
        </w:rPr>
      </w:pPr>
      <w:bookmarkStart w:id="304" w:name="_Toc2438"/>
      <w:bookmarkStart w:id="305" w:name="_Toc21742"/>
      <w:bookmarkStart w:id="306" w:name="_Toc29110"/>
      <w:bookmarkStart w:id="307" w:name="_Toc86954680"/>
      <w:bookmarkStart w:id="308" w:name="_Toc446"/>
      <w:bookmarkStart w:id="309" w:name="_Toc3535"/>
      <w:bookmarkStart w:id="310" w:name="_Toc26065"/>
      <w:bookmarkStart w:id="311" w:name="_Toc2703"/>
      <w:bookmarkStart w:id="312" w:name="_Toc22216"/>
      <w:bookmarkStart w:id="313" w:name="_Toc2038973193"/>
      <w:bookmarkStart w:id="314" w:name="_Toc32298992"/>
      <w:bookmarkStart w:id="315" w:name="_Toc2011513355"/>
      <w:bookmarkStart w:id="316" w:name="_Toc5729"/>
      <w:bookmarkStart w:id="317" w:name="_Toc387465359"/>
      <w:bookmarkStart w:id="318" w:name="_Toc21012"/>
      <w:bookmarkStart w:id="319" w:name="_Toc14295"/>
      <w:r>
        <w:rPr>
          <w:rFonts w:ascii="Times New Roman" w:hAnsi="Times New Roman" w:eastAsia="黑体" w:cs="Times New Roman"/>
          <w:color w:val="000000"/>
          <w:kern w:val="0"/>
          <w:sz w:val="32"/>
          <w:szCs w:val="30"/>
          <w:lang w:val="zh-CN"/>
        </w:rPr>
        <w:t>四、加快推进智慧人社建设</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601154A">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人力资源大数据公共服务平台建设，健全“一窗、一网、一码”服务机制，建立人社数据采集、共享机制，促进人才发展环境全面优化。鼓励海内外顶尖人才来泉州开展数字经济领域的基础研究、应用研发、成果转化等创新创业活动。对数字技术“高精尖缺”人才，实行跟踪走访制，“一人一档”建立台账，“管家式”落实服务。着力培育一批适应数字产业化和产业数字化需要的“数字工匠”，支持培养一批互联网“极客”人才。构建智慧“大就业”平台，优化失业保险平台，实现电子档案标准化管理，促进档案信息资源的共享。持续推进社保卡应用和服务，推动参保人员持卡“参保、缴费、查询、领取待遇、生存认证”不出门应用，促进人社业务的精细化管理，促进公共服务的均等化、普惠性和可及性，打通服务群众“最后一公里”，增强群众对政府公共服务的获得感、认同度和满意度。</w:t>
      </w:r>
    </w:p>
    <w:p w14:paraId="15BA1407">
      <w:pPr>
        <w:spacing w:line="580" w:lineRule="exact"/>
        <w:ind w:firstLine="640" w:firstLineChars="200"/>
        <w:rPr>
          <w:rFonts w:ascii="Times New Roman" w:hAnsi="Times New Roman" w:eastAsia="黑体" w:cs="Times New Roman"/>
          <w:color w:val="000000"/>
          <w:kern w:val="0"/>
          <w:sz w:val="32"/>
          <w:szCs w:val="30"/>
          <w:lang w:val="zh-CN"/>
        </w:rPr>
      </w:pPr>
      <w:bookmarkStart w:id="320" w:name="_Toc883"/>
      <w:bookmarkStart w:id="321" w:name="_Toc144500872"/>
      <w:bookmarkStart w:id="322" w:name="_Toc20269"/>
      <w:bookmarkStart w:id="323" w:name="_Toc18563"/>
      <w:bookmarkStart w:id="324" w:name="_Toc1126"/>
      <w:bookmarkStart w:id="325" w:name="_Toc26134"/>
      <w:bookmarkStart w:id="326" w:name="_Toc1019143673"/>
      <w:bookmarkStart w:id="327" w:name="_Toc24340"/>
      <w:bookmarkStart w:id="328" w:name="_Toc9627"/>
      <w:bookmarkStart w:id="329" w:name="_Toc837525149"/>
      <w:bookmarkStart w:id="330" w:name="_Toc620450355"/>
      <w:bookmarkStart w:id="331" w:name="_Toc3583"/>
      <w:bookmarkStart w:id="332" w:name="_Toc86954681"/>
      <w:bookmarkStart w:id="333" w:name="_Toc1508"/>
      <w:bookmarkStart w:id="334" w:name="_Toc32104"/>
      <w:bookmarkStart w:id="335" w:name="_Toc27175"/>
      <w:bookmarkStart w:id="336" w:name="_Toc22374"/>
      <w:bookmarkStart w:id="337" w:name="_Toc81425767"/>
      <w:r>
        <w:rPr>
          <w:rFonts w:ascii="Times New Roman" w:hAnsi="Times New Roman" w:eastAsia="黑体" w:cs="Times New Roman"/>
          <w:color w:val="000000"/>
          <w:kern w:val="0"/>
          <w:sz w:val="32"/>
          <w:szCs w:val="30"/>
          <w:lang w:val="zh-CN"/>
        </w:rPr>
        <w:t>五、着力推动智慧水务建设</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303C230">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建设“水务大脑”，针对原水、制水、供水、排水、污水、节水等涉水全流程业务，建立统一融合和互联互通的中心化平台，助力城市用水向数字化、智慧化阶段转型，建设具有泉州特色的“智慧水务”。通过水质、水压、流量等在线监测设备实时感知城市原水、供排水系统的运行状态，并通过5G等无线网络实时传输，形成全面覆盖的城市水务物联网；建设“水电气热”四表合一抄收系统，实现联合档案管理、联合抄表、账单合并与发布、联合收费及清分结算等功能。</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2BB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1217E325">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智慧水务工程</w:t>
            </w:r>
          </w:p>
        </w:tc>
      </w:tr>
      <w:tr w14:paraId="7C68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4C085CE8">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积极推动“水务大脑”项目建设，建立统一运营管理中心、统一算法模型库、统一应用中心，为水务行业相关用户提供常用水务场景基础平台及水务类APP等。积极推动鲤城建设“水资源监控管理系统开发与应用”项目，推动泉州开发区“海丝埃睿迪智慧水务项目”建设，打造智慧水务数字化平台。推动石狮“智慧水务”建设，构建城市排水、防洪、水环境等业务一体化运行管理系统平台。</w:t>
            </w:r>
          </w:p>
        </w:tc>
      </w:tr>
    </w:tbl>
    <w:p w14:paraId="418AD847">
      <w:pPr>
        <w:spacing w:line="580" w:lineRule="exact"/>
        <w:ind w:firstLine="640" w:firstLineChars="200"/>
        <w:rPr>
          <w:rFonts w:ascii="Times New Roman" w:hAnsi="Times New Roman" w:eastAsia="黑体" w:cs="Times New Roman"/>
          <w:color w:val="000000"/>
          <w:kern w:val="0"/>
          <w:sz w:val="32"/>
          <w:szCs w:val="30"/>
          <w:lang w:val="zh-CN"/>
        </w:rPr>
      </w:pPr>
      <w:bookmarkStart w:id="338" w:name="_Toc18188"/>
      <w:bookmarkStart w:id="339" w:name="_Toc12855"/>
      <w:bookmarkStart w:id="340" w:name="_Toc25211"/>
      <w:bookmarkStart w:id="341" w:name="_Toc32344"/>
      <w:bookmarkStart w:id="342" w:name="_Toc26307"/>
      <w:bookmarkStart w:id="343" w:name="_Toc9735"/>
      <w:bookmarkStart w:id="344" w:name="_Toc10972"/>
      <w:bookmarkStart w:id="345" w:name="_Toc2123373607"/>
      <w:bookmarkStart w:id="346" w:name="_Toc10538"/>
      <w:bookmarkStart w:id="347" w:name="_Toc1831"/>
      <w:bookmarkStart w:id="348" w:name="_Toc965867861"/>
      <w:bookmarkStart w:id="349" w:name="_Toc364994553"/>
      <w:bookmarkStart w:id="350" w:name="_Toc7891"/>
      <w:bookmarkStart w:id="351" w:name="_Toc86954682"/>
      <w:bookmarkStart w:id="352" w:name="_Toc10425"/>
      <w:bookmarkStart w:id="353" w:name="_Toc388288145"/>
      <w:bookmarkStart w:id="354" w:name="_Toc81425768"/>
      <w:bookmarkStart w:id="355" w:name="_Toc25753"/>
      <w:r>
        <w:rPr>
          <w:rFonts w:ascii="Times New Roman" w:hAnsi="Times New Roman" w:eastAsia="黑体" w:cs="Times New Roman"/>
          <w:color w:val="000000"/>
          <w:kern w:val="0"/>
          <w:sz w:val="32"/>
          <w:szCs w:val="30"/>
          <w:lang w:val="zh-CN"/>
        </w:rPr>
        <w:t>六、加快推进智慧海洋建设</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B6FFB1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推进智慧海洋建设，助力“海上泉州”建设。打造海洋立体实时观测网，提升近岸港湾精细化海洋观测能力，强化海洋感知能力。推动“宽带入海”，打造陆海衔接的通信网络，完善海洋渔业安全应急通信网络。配合推动海洋大数据中心建设，进一步提高海洋环境监测、观测和预警报数据的采集、处理和管理水平。完善海洋综合防灾减灾体系，建设精细化、网格化、智能化海洋预报业务系统，提升海洋灾害预报预警服务、海上突发事件应急处置能力。</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4491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1F60D2C9">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智慧海洋提升工程</w:t>
            </w:r>
          </w:p>
        </w:tc>
      </w:tr>
      <w:tr w14:paraId="5EF7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5E320021">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布局智慧海洋基础设施：加快实施“光纤上岛”工程，实现人群聚集和重点开发海岛的有线宽带、4G/5G网络覆盖；拓展遥感、通信卫星在海洋渔业领域的应用，优化布局现有岸台基站；启动实施监测志愿船观测系统项目建设。加大渔船通导与安全装备升级改造力度，推广“插卡式AIS”应用。建设智慧海洋大数据中心（一期），整合各涉海部门和行业数据资源，推动各类海洋数据互联互通、融合共享。</w:t>
            </w:r>
          </w:p>
          <w:p w14:paraId="6EB60D8D">
            <w:pPr>
              <w:spacing w:line="600" w:lineRule="exact"/>
              <w:ind w:firstLine="560" w:firstLineChars="200"/>
              <w:contextualSpacing/>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建设智慧海洋基础应用：推进“海洋牧场”、智慧水产养殖，构建基于物联网的水产养殖生产和管理系统。升级改造渔船数字化捕捞装备；建设涵盖渔政执法、渔获物可追溯、渔船动态监控等一体化渔港综合管理系统。打造集人、船、港为一体的渔业智慧监管平台，培育发展海洋卫星应用产业，推进石狮飞通通讯等智慧海洋通讯项目。加强海洋生态灾害和环境风险防范，强化赤潮灾害防控与预警能力建设，完善海洋环境事故风险防范与应急体系建设。</w:t>
            </w:r>
          </w:p>
          <w:p w14:paraId="0DCAB825">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推进智慧渔港项目建设：推进石狮市祥芝渔港、晋江市东石镇白沙渔港等智慧渔港建设，启动渔港渔船一体智能化管理，构建“市场-航线-港口-港后服务”智慧生态体系，力争到2025年产值达500亿元。</w:t>
            </w:r>
          </w:p>
        </w:tc>
      </w:tr>
    </w:tbl>
    <w:p w14:paraId="19A87716">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356" w:name="_Toc19999"/>
      <w:bookmarkStart w:id="357" w:name="_Toc28602"/>
      <w:bookmarkStart w:id="358" w:name="_Toc4704"/>
      <w:bookmarkStart w:id="359" w:name="_Toc1013945815"/>
      <w:bookmarkStart w:id="360" w:name="_Toc86954683"/>
      <w:bookmarkStart w:id="361" w:name="_Toc173476384"/>
      <w:bookmarkStart w:id="362" w:name="_Toc22068"/>
      <w:bookmarkStart w:id="363" w:name="_Toc161697896"/>
      <w:bookmarkStart w:id="364" w:name="_Toc19976"/>
      <w:bookmarkStart w:id="365" w:name="_Toc5779"/>
      <w:bookmarkStart w:id="366" w:name="_Toc94308416"/>
      <w:bookmarkStart w:id="367" w:name="_Toc27060"/>
      <w:bookmarkStart w:id="368" w:name="_Toc1166976567"/>
      <w:bookmarkStart w:id="369" w:name="_Toc18046"/>
      <w:bookmarkStart w:id="370" w:name="_Toc31351"/>
      <w:bookmarkStart w:id="371" w:name="_Toc16341"/>
      <w:bookmarkStart w:id="372" w:name="_Toc30765"/>
      <w:r>
        <w:rPr>
          <w:rFonts w:ascii="Times New Roman" w:hAnsi="Times New Roman" w:eastAsia="方正黑体简体" w:cs="Times New Roman"/>
          <w:bCs/>
          <w:color w:val="000000"/>
          <w:sz w:val="32"/>
          <w:szCs w:val="32"/>
        </w:rPr>
        <w:t>第二节 全面推动智慧城市建设</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FC7D67F">
      <w:pPr>
        <w:spacing w:line="580" w:lineRule="exact"/>
        <w:ind w:firstLine="640" w:firstLineChars="200"/>
        <w:rPr>
          <w:rFonts w:ascii="Times New Roman" w:hAnsi="Times New Roman" w:eastAsia="黑体" w:cs="Times New Roman"/>
          <w:color w:val="000000"/>
          <w:kern w:val="0"/>
          <w:sz w:val="32"/>
          <w:szCs w:val="30"/>
          <w:lang w:val="zh-CN"/>
        </w:rPr>
      </w:pPr>
      <w:bookmarkStart w:id="373" w:name="_Toc763489416"/>
      <w:bookmarkStart w:id="374" w:name="_Toc15506"/>
      <w:bookmarkStart w:id="375" w:name="_Toc894492857"/>
      <w:bookmarkStart w:id="376" w:name="_Toc25975"/>
      <w:bookmarkStart w:id="377" w:name="_Toc104901448"/>
      <w:bookmarkStart w:id="378" w:name="_Toc29078"/>
      <w:bookmarkStart w:id="379" w:name="_Toc86954684"/>
      <w:bookmarkStart w:id="380" w:name="_Toc6719"/>
      <w:bookmarkStart w:id="381" w:name="_Toc1016070981"/>
      <w:bookmarkStart w:id="382" w:name="_Toc17187"/>
      <w:bookmarkStart w:id="383" w:name="_Toc81425769"/>
      <w:bookmarkStart w:id="384" w:name="_Toc14348"/>
      <w:bookmarkStart w:id="385" w:name="_Toc7849"/>
      <w:bookmarkStart w:id="386" w:name="_Toc4785"/>
      <w:bookmarkStart w:id="387" w:name="_Toc13713"/>
      <w:bookmarkStart w:id="388" w:name="_Toc9217"/>
      <w:bookmarkStart w:id="389" w:name="_Toc12315"/>
      <w:bookmarkStart w:id="390" w:name="_Toc20557"/>
      <w:r>
        <w:rPr>
          <w:rFonts w:ascii="Times New Roman" w:hAnsi="Times New Roman" w:eastAsia="黑体" w:cs="Times New Roman"/>
          <w:color w:val="000000"/>
          <w:kern w:val="0"/>
          <w:sz w:val="32"/>
          <w:szCs w:val="30"/>
          <w:lang w:val="zh-CN"/>
        </w:rPr>
        <w:t>一、全面提升城市基础设施感知能力</w:t>
      </w:r>
      <w:bookmarkEnd w:id="373"/>
      <w:bookmarkEnd w:id="374"/>
      <w:bookmarkEnd w:id="375"/>
      <w:bookmarkEnd w:id="376"/>
      <w:bookmarkEnd w:id="377"/>
      <w:bookmarkEnd w:id="378"/>
      <w:bookmarkEnd w:id="379"/>
      <w:bookmarkEnd w:id="380"/>
      <w:bookmarkEnd w:id="381"/>
      <w:bookmarkEnd w:id="382"/>
      <w:bookmarkEnd w:id="383"/>
      <w:bookmarkEnd w:id="384"/>
      <w:r>
        <w:rPr>
          <w:rFonts w:ascii="Times New Roman" w:hAnsi="Times New Roman" w:eastAsia="黑体" w:cs="Times New Roman"/>
          <w:color w:val="000000"/>
          <w:kern w:val="0"/>
          <w:sz w:val="32"/>
          <w:szCs w:val="30"/>
          <w:lang w:val="zh-CN"/>
        </w:rPr>
        <w:t>建设</w:t>
      </w:r>
      <w:bookmarkEnd w:id="385"/>
      <w:bookmarkEnd w:id="386"/>
      <w:bookmarkEnd w:id="387"/>
      <w:bookmarkEnd w:id="388"/>
      <w:bookmarkEnd w:id="389"/>
      <w:bookmarkEnd w:id="390"/>
    </w:p>
    <w:p w14:paraId="5F86E6B2">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部署城市感知基础设施，进一步增强城市NB-IoT接入支撑能力，加强二维码、RFID、智能传感器、智能摄像头等全域感知设施的建设及应用，推动传统隐蔽基础设施（给排水、燃气、电力、通信等地下市政管网）的数字化改造升级，推进智慧杆柱、智能化综合管廊等新型智能市政设施建设，加快物联网与互联网基础设施融合，大力发展融合固定、移动、有线、无线的多层次泛在物联网络，打造新型城市泛在感知网络。</w:t>
      </w:r>
    </w:p>
    <w:p w14:paraId="5FD72738">
      <w:pPr>
        <w:spacing w:line="580" w:lineRule="exact"/>
        <w:ind w:firstLine="640" w:firstLineChars="200"/>
        <w:rPr>
          <w:rFonts w:ascii="Times New Roman" w:hAnsi="Times New Roman" w:eastAsia="黑体" w:cs="Times New Roman"/>
          <w:color w:val="000000"/>
          <w:kern w:val="0"/>
          <w:sz w:val="32"/>
          <w:szCs w:val="30"/>
          <w:lang w:val="zh-CN"/>
        </w:rPr>
      </w:pPr>
      <w:bookmarkStart w:id="391" w:name="_Toc1317815709"/>
      <w:bookmarkStart w:id="392" w:name="_Toc6655"/>
      <w:bookmarkStart w:id="393" w:name="_Toc24718"/>
      <w:bookmarkStart w:id="394" w:name="_Toc20421"/>
      <w:bookmarkStart w:id="395" w:name="_Toc1006092265"/>
      <w:bookmarkStart w:id="396" w:name="_Toc3620"/>
      <w:bookmarkStart w:id="397" w:name="_Toc21567"/>
      <w:bookmarkStart w:id="398" w:name="_Toc1517840303"/>
      <w:bookmarkStart w:id="399" w:name="_Toc3871"/>
      <w:bookmarkStart w:id="400" w:name="_Toc21105"/>
      <w:bookmarkStart w:id="401" w:name="_Toc81425773"/>
      <w:bookmarkStart w:id="402" w:name="_Toc7916"/>
      <w:bookmarkStart w:id="403" w:name="_Toc149361117"/>
      <w:bookmarkStart w:id="404" w:name="_Toc10395"/>
      <w:bookmarkStart w:id="405" w:name="_Toc9256"/>
      <w:bookmarkStart w:id="406" w:name="_Toc20135"/>
      <w:bookmarkStart w:id="407" w:name="_Toc86954685"/>
      <w:bookmarkStart w:id="408" w:name="_Toc24815"/>
      <w:r>
        <w:rPr>
          <w:rFonts w:ascii="Times New Roman" w:hAnsi="Times New Roman" w:eastAsia="黑体" w:cs="Times New Roman"/>
          <w:color w:val="000000"/>
          <w:kern w:val="0"/>
          <w:sz w:val="32"/>
          <w:szCs w:val="30"/>
          <w:lang w:val="zh-CN"/>
        </w:rPr>
        <w:t>二、构建新型智慧城市运营指挥中枢平台</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374204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推进泉州“城市大脑”建设，设计区域产业图谱、政策主动识别、宏观经济分析、投融资等专业预测、分析、研判模型和算法，提升政府决策精确性，实现政府对于城市运行状态和潜在问题的“先知、先觉和先行”，实现城市“一脑统管”。适度超前，应用智能感知、SDN、云边协同计算等技术，基于全要素城市信息模型（CIM）建设“数字孪生城市”，开展城市画像、人口画像、虚拟服务、决策仿真等超级应用；构建北斗数码数据注册与解析根服务平台及其应用场景建设。依托城市发展时空轨迹推演未来的演进趋势，洞察城市发展规律，为城市管理者提供更科学的监测分析和预警决策能力。</w:t>
      </w:r>
    </w:p>
    <w:p w14:paraId="0FE01F90">
      <w:pPr>
        <w:spacing w:line="580" w:lineRule="exact"/>
        <w:ind w:firstLine="640" w:firstLineChars="200"/>
        <w:rPr>
          <w:rFonts w:ascii="Times New Roman" w:hAnsi="Times New Roman" w:eastAsia="黑体" w:cs="Times New Roman"/>
          <w:color w:val="000000"/>
          <w:kern w:val="0"/>
          <w:sz w:val="32"/>
          <w:szCs w:val="30"/>
          <w:lang w:val="zh-CN"/>
        </w:rPr>
      </w:pPr>
      <w:bookmarkStart w:id="409" w:name="_Toc28420"/>
      <w:bookmarkStart w:id="410" w:name="_Toc18097"/>
      <w:bookmarkStart w:id="411" w:name="_Toc31762"/>
      <w:bookmarkStart w:id="412" w:name="_Toc27981"/>
      <w:bookmarkStart w:id="413" w:name="_Toc7444"/>
      <w:bookmarkStart w:id="414" w:name="_Toc26952"/>
      <w:bookmarkStart w:id="415" w:name="_Toc8695"/>
      <w:bookmarkStart w:id="416" w:name="_Toc30737"/>
      <w:bookmarkStart w:id="417" w:name="_Toc1933500020"/>
      <w:bookmarkStart w:id="418" w:name="_Toc1122375220"/>
      <w:bookmarkStart w:id="419" w:name="_Toc2045087892"/>
      <w:bookmarkStart w:id="420" w:name="_Toc16426"/>
      <w:bookmarkStart w:id="421" w:name="_Toc86954686"/>
      <w:bookmarkStart w:id="422" w:name="_Toc28168"/>
      <w:bookmarkStart w:id="423" w:name="_Toc704786349"/>
      <w:bookmarkStart w:id="424" w:name="_Toc30724"/>
      <w:r>
        <w:rPr>
          <w:rFonts w:ascii="Times New Roman" w:hAnsi="Times New Roman" w:eastAsia="黑体" w:cs="Times New Roman"/>
          <w:color w:val="000000"/>
          <w:kern w:val="0"/>
          <w:sz w:val="32"/>
          <w:szCs w:val="30"/>
          <w:lang w:val="zh-CN"/>
        </w:rPr>
        <w:t>三、构建绿色和谐生态宜居的数字化社区</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CBACF1C">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推进互联网与社区治理和服务体系的深度融合，实现智慧城市更宜居。推进社区智能化改造，建设“智慧楼宇”“智慧社区”；推进信息化设施与建筑、交通等领域无障碍设施融合，在公共场所普及信息无障碍自助设备；加快社区信息化平台“五个一”建设，推动服务实体窗口与一体化行政审批系统无缝对接，实现智慧城市宜居且宜业。建立智能环卫应用管理平台，实现智能化废弃物/垃圾回收与处理，构建绿色环保、低碳生活的生态宜居数字化新环境、新社区。</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D4A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0E94D55B">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智慧城市提升工程</w:t>
            </w:r>
          </w:p>
        </w:tc>
      </w:tr>
      <w:tr w14:paraId="288B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69430377">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高位谋划城市大脑，构建“1个城市大脑+M个行业小脑+N个县（市、区）分脑”的城市大脑体系，建设新型智慧城市运营中枢平台。推动洛江智慧城区提升工程建设；进一步推进石狮智慧城市综合项目建设；推动开发区智能城市智慧化改造项目建设；加快推动南安、惠安、永春、德化智慧城市项目建设。适度超前建设“数字孪生城市”，打造数字空间“第二泉州”。</w:t>
            </w:r>
          </w:p>
        </w:tc>
      </w:tr>
    </w:tbl>
    <w:p w14:paraId="50E43727">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425" w:name="_Toc26096"/>
      <w:bookmarkStart w:id="426" w:name="_Toc81425774"/>
      <w:bookmarkStart w:id="427" w:name="_Toc10635"/>
      <w:bookmarkStart w:id="428" w:name="_Toc227118583"/>
      <w:bookmarkStart w:id="429" w:name="_Toc1386"/>
      <w:bookmarkStart w:id="430" w:name="_Toc4167"/>
      <w:bookmarkStart w:id="431" w:name="_Toc1818849099"/>
      <w:bookmarkStart w:id="432" w:name="_Toc726878323"/>
      <w:bookmarkStart w:id="433" w:name="_Toc86954687"/>
      <w:bookmarkStart w:id="434" w:name="_Toc15457"/>
      <w:bookmarkStart w:id="435" w:name="_Toc21940"/>
      <w:bookmarkStart w:id="436" w:name="_Toc984"/>
      <w:bookmarkStart w:id="437" w:name="_Toc30195"/>
      <w:bookmarkStart w:id="438" w:name="_Toc94308417"/>
      <w:bookmarkStart w:id="439" w:name="_Toc20645"/>
      <w:bookmarkStart w:id="440" w:name="_Toc916216254"/>
      <w:bookmarkStart w:id="441" w:name="_Toc10509"/>
      <w:bookmarkStart w:id="442" w:name="_Toc339"/>
      <w:bookmarkStart w:id="443" w:name="_Toc15515"/>
      <w:r>
        <w:rPr>
          <w:rFonts w:ascii="Times New Roman" w:hAnsi="Times New Roman" w:eastAsia="方正黑体简体" w:cs="Times New Roman"/>
          <w:bCs/>
          <w:color w:val="000000"/>
          <w:sz w:val="32"/>
          <w:szCs w:val="32"/>
        </w:rPr>
        <w:t>第三节 加快推动数字乡村发展</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39C60E9">
      <w:pPr>
        <w:spacing w:line="580" w:lineRule="exact"/>
        <w:ind w:firstLine="640" w:firstLineChars="200"/>
        <w:rPr>
          <w:rFonts w:ascii="Times New Roman" w:hAnsi="Times New Roman" w:eastAsia="黑体" w:cs="Times New Roman"/>
          <w:color w:val="000000"/>
          <w:kern w:val="0"/>
          <w:sz w:val="32"/>
          <w:szCs w:val="30"/>
          <w:lang w:val="zh-CN"/>
        </w:rPr>
      </w:pPr>
      <w:bookmarkStart w:id="444" w:name="_Toc9851"/>
      <w:bookmarkStart w:id="445" w:name="_Toc86954688"/>
      <w:bookmarkStart w:id="446" w:name="_Toc1988335443"/>
      <w:bookmarkStart w:id="447" w:name="_Toc387390696"/>
      <w:bookmarkStart w:id="448" w:name="_Toc3121"/>
      <w:bookmarkStart w:id="449" w:name="_Toc32176"/>
      <w:bookmarkStart w:id="450" w:name="_Toc1103645125"/>
      <w:bookmarkStart w:id="451" w:name="_Toc17764"/>
      <w:bookmarkStart w:id="452" w:name="_Toc1157789441"/>
      <w:bookmarkStart w:id="453" w:name="_Toc14343"/>
      <w:bookmarkStart w:id="454" w:name="_Toc1010"/>
      <w:bookmarkStart w:id="455" w:name="_Toc18940"/>
      <w:bookmarkStart w:id="456" w:name="_Toc8025"/>
      <w:bookmarkStart w:id="457" w:name="_Toc29914"/>
      <w:bookmarkStart w:id="458" w:name="_Toc20886"/>
      <w:bookmarkStart w:id="459" w:name="_Toc16394"/>
      <w:bookmarkStart w:id="460" w:name="_Toc81425775"/>
      <w:bookmarkStart w:id="461" w:name="_Toc29764"/>
      <w:r>
        <w:rPr>
          <w:rFonts w:ascii="Times New Roman" w:hAnsi="Times New Roman" w:eastAsia="黑体" w:cs="Times New Roman"/>
          <w:color w:val="000000"/>
          <w:kern w:val="0"/>
          <w:sz w:val="32"/>
          <w:szCs w:val="30"/>
          <w:lang w:val="zh-CN"/>
        </w:rPr>
        <w:t>一、提升乡村数字基础设施</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2D1318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大力实施“宽带乡村”工程、“农业云131”信息工程，发展乡村5G典型创新应用，重点打造涉农综合服务平台。加快完成农村电网、水利、公路、冷链物流、邮政快递等基础设施数字化升级改造，加快农村物流三级节点网络建设。建设农业农村基础数据资源体系和农业农村云平台，统筹山水林田湖草系统治理数据，建立乡村人居环境智能监测体系。</w:t>
      </w:r>
    </w:p>
    <w:p w14:paraId="33C14000">
      <w:pPr>
        <w:spacing w:line="580" w:lineRule="exact"/>
        <w:ind w:firstLine="640" w:firstLineChars="200"/>
        <w:rPr>
          <w:rFonts w:ascii="Times New Roman" w:hAnsi="Times New Roman" w:eastAsia="黑体" w:cs="Times New Roman"/>
          <w:color w:val="000000"/>
          <w:kern w:val="0"/>
          <w:sz w:val="32"/>
          <w:szCs w:val="30"/>
          <w:lang w:val="zh-CN"/>
        </w:rPr>
      </w:pPr>
      <w:bookmarkStart w:id="462" w:name="_Toc19445"/>
      <w:bookmarkStart w:id="463" w:name="_Toc1064"/>
      <w:bookmarkStart w:id="464" w:name="_Toc14684"/>
      <w:bookmarkStart w:id="465" w:name="_Toc20458"/>
      <w:bookmarkStart w:id="466" w:name="_Toc596630898"/>
      <w:bookmarkStart w:id="467" w:name="_Toc81425776"/>
      <w:bookmarkStart w:id="468" w:name="_Toc36488206"/>
      <w:bookmarkStart w:id="469" w:name="_Toc32614"/>
      <w:bookmarkStart w:id="470" w:name="_Toc11859"/>
      <w:bookmarkStart w:id="471" w:name="_Toc7000"/>
      <w:bookmarkStart w:id="472" w:name="_Toc86954689"/>
      <w:bookmarkStart w:id="473" w:name="_Toc22408"/>
      <w:bookmarkStart w:id="474" w:name="_Toc10054"/>
      <w:bookmarkStart w:id="475" w:name="_Toc1585666764"/>
      <w:bookmarkStart w:id="476" w:name="_Toc22083"/>
      <w:bookmarkStart w:id="477" w:name="_Toc363"/>
      <w:bookmarkStart w:id="478" w:name="_Toc204599520"/>
      <w:bookmarkStart w:id="479" w:name="_Toc23593"/>
      <w:r>
        <w:rPr>
          <w:rFonts w:ascii="Times New Roman" w:hAnsi="Times New Roman" w:eastAsia="黑体" w:cs="Times New Roman"/>
          <w:color w:val="000000"/>
          <w:kern w:val="0"/>
          <w:sz w:val="32"/>
          <w:szCs w:val="30"/>
          <w:lang w:val="zh-CN"/>
        </w:rPr>
        <w:t>二、推动乡村数字经济发展</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38AE50F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实施“互联网+”农产品出村进城工程，深入推进电子商务进农村。加快发展农业物联网应用和农村电商，帮助农民、农企“触网”，支持农产品上网销售，培育农产品电商品牌。鼓励县（市、区）长、乡（镇）长带货，让直播成为“新农活”。加快数字金融服务向边远山区、农村地区延伸，提升数字金融的服务能力和普惠水平。深入推动网络扶贫行动向纵深发展，因地制宜发展“互联网+”特色主导产业，持续巩固和提升网络扶贫成效。</w:t>
      </w:r>
    </w:p>
    <w:p w14:paraId="733FC2B7">
      <w:pPr>
        <w:spacing w:line="580" w:lineRule="exact"/>
        <w:ind w:firstLine="640" w:firstLineChars="200"/>
        <w:rPr>
          <w:rFonts w:ascii="Times New Roman" w:hAnsi="Times New Roman" w:eastAsia="黑体" w:cs="Times New Roman"/>
          <w:color w:val="000000"/>
          <w:kern w:val="0"/>
          <w:sz w:val="32"/>
          <w:szCs w:val="30"/>
          <w:lang w:val="zh-CN"/>
        </w:rPr>
      </w:pPr>
      <w:bookmarkStart w:id="480" w:name="_Toc81425777"/>
      <w:bookmarkStart w:id="481" w:name="_Toc23770"/>
      <w:bookmarkStart w:id="482" w:name="_Toc10190"/>
      <w:bookmarkStart w:id="483" w:name="_Toc17984"/>
      <w:bookmarkStart w:id="484" w:name="_Toc10180"/>
      <w:bookmarkStart w:id="485" w:name="_Toc1234761641"/>
      <w:bookmarkStart w:id="486" w:name="_Toc12255"/>
      <w:bookmarkStart w:id="487" w:name="_Toc172651658"/>
      <w:bookmarkStart w:id="488" w:name="_Toc86954690"/>
      <w:bookmarkStart w:id="489" w:name="_Toc17909"/>
      <w:bookmarkStart w:id="490" w:name="_Toc20114"/>
      <w:bookmarkStart w:id="491" w:name="_Toc249372690"/>
      <w:bookmarkStart w:id="492" w:name="_Toc30699"/>
      <w:bookmarkStart w:id="493" w:name="_Toc22440"/>
      <w:bookmarkStart w:id="494" w:name="_Toc5193"/>
      <w:bookmarkStart w:id="495" w:name="_Toc30458"/>
      <w:bookmarkStart w:id="496" w:name="_Toc2092730084"/>
      <w:bookmarkStart w:id="497" w:name="_Toc9537"/>
      <w:r>
        <w:rPr>
          <w:rFonts w:ascii="Times New Roman" w:hAnsi="Times New Roman" w:eastAsia="黑体" w:cs="Times New Roman"/>
          <w:color w:val="000000"/>
          <w:kern w:val="0"/>
          <w:sz w:val="32"/>
          <w:szCs w:val="30"/>
          <w:lang w:val="zh-CN"/>
        </w:rPr>
        <w:t>三、推进乡村数字化治理</w:t>
      </w:r>
      <w:bookmarkEnd w:id="480"/>
      <w:bookmarkEnd w:id="481"/>
      <w:r>
        <w:rPr>
          <w:rFonts w:ascii="Times New Roman" w:hAnsi="Times New Roman" w:eastAsia="黑体" w:cs="Times New Roman"/>
          <w:color w:val="000000"/>
          <w:kern w:val="0"/>
          <w:sz w:val="32"/>
          <w:szCs w:val="30"/>
          <w:lang w:val="zh-CN"/>
        </w:rPr>
        <w:t>服务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86307F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提升乡村治理信息化水平，利用卫星遥感技术、无人机、高清远程视频监控系统等新技术新应用，增强农村生态环境监管能力。推动“互联网+政务服务”向乡村覆盖，推进乡村管理服务数字化。大力发展“互联网+医疗健康”，加强乡镇卫生院、村卫生室数字化改造，积极发展远程医疗，促进优质医疗资源向农村延伸。发展“互联网+教育”，推动城市优质教育资源与乡村中小学对接。进一步提升“三农”信息化服务水平，着力缩小城乡“数字鸿沟”，为乡村振兴提供新动力。</w:t>
      </w:r>
    </w:p>
    <w:p w14:paraId="0C934713">
      <w:pPr>
        <w:spacing w:line="580" w:lineRule="exact"/>
        <w:ind w:firstLine="640" w:firstLineChars="200"/>
        <w:rPr>
          <w:rFonts w:ascii="Times New Roman" w:hAnsi="Times New Roman" w:eastAsia="黑体" w:cs="Times New Roman"/>
          <w:color w:val="000000"/>
          <w:kern w:val="0"/>
          <w:sz w:val="32"/>
          <w:szCs w:val="30"/>
          <w:lang w:val="zh-CN"/>
        </w:rPr>
      </w:pPr>
      <w:bookmarkStart w:id="498" w:name="_Toc97749761"/>
      <w:bookmarkStart w:id="499" w:name="_Toc11601"/>
      <w:bookmarkStart w:id="500" w:name="_Toc27983"/>
      <w:bookmarkStart w:id="501" w:name="_Toc28054"/>
      <w:bookmarkStart w:id="502" w:name="_Toc17610"/>
      <w:bookmarkStart w:id="503" w:name="_Toc22605"/>
      <w:bookmarkStart w:id="504" w:name="_Toc6954"/>
      <w:bookmarkStart w:id="505" w:name="_Toc12590"/>
      <w:bookmarkStart w:id="506" w:name="_Toc10543"/>
      <w:bookmarkStart w:id="507" w:name="_Toc81425778"/>
      <w:bookmarkStart w:id="508" w:name="_Toc15341"/>
      <w:bookmarkStart w:id="509" w:name="_Toc12412"/>
      <w:bookmarkStart w:id="510" w:name="_Toc8662"/>
      <w:bookmarkStart w:id="511" w:name="_Toc1998814959"/>
      <w:bookmarkStart w:id="512" w:name="_Toc86954691"/>
      <w:bookmarkStart w:id="513" w:name="_Toc11260"/>
      <w:bookmarkStart w:id="514" w:name="_Toc2142803715"/>
      <w:bookmarkStart w:id="515" w:name="_Toc2109526899"/>
      <w:r>
        <w:rPr>
          <w:rFonts w:ascii="Times New Roman" w:hAnsi="Times New Roman" w:eastAsia="黑体" w:cs="Times New Roman"/>
          <w:color w:val="000000"/>
          <w:kern w:val="0"/>
          <w:sz w:val="32"/>
          <w:szCs w:val="30"/>
          <w:lang w:val="zh-CN"/>
        </w:rPr>
        <w:t>四、繁荣发展数字乡村文化</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0FD0F6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全面推进县级融媒体中心建设，大力推进智慧广电乡村工程。加速推进乡村优秀文化资源数字化，建立历史文化名镇、名村和传统村落“数字文物资源库”“数字博物馆”，加强农村优秀传统文化的保护与传承。推进一批具有泉州特色的美丽乡村、特色小镇开展数字化留底工程，留住乡愁，留住记忆。</w:t>
      </w:r>
    </w:p>
    <w:p w14:paraId="1965B60E">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516" w:name="_Toc94308418"/>
      <w:bookmarkStart w:id="517" w:name="_Toc19533"/>
      <w:bookmarkStart w:id="518" w:name="_Toc26072"/>
      <w:bookmarkStart w:id="519" w:name="_Toc12444"/>
      <w:bookmarkStart w:id="520" w:name="_Toc7001"/>
      <w:bookmarkStart w:id="521" w:name="_Toc86954692"/>
      <w:bookmarkStart w:id="522" w:name="_Toc8491"/>
      <w:bookmarkStart w:id="523" w:name="_Toc1447658159"/>
      <w:bookmarkStart w:id="524" w:name="_Toc1896568769"/>
      <w:bookmarkStart w:id="525" w:name="_Toc81425779"/>
      <w:bookmarkStart w:id="526" w:name="_Toc367649033"/>
      <w:bookmarkStart w:id="527" w:name="_Toc26223"/>
      <w:bookmarkStart w:id="528" w:name="_Toc28156"/>
      <w:bookmarkStart w:id="529" w:name="_Toc6857"/>
      <w:bookmarkStart w:id="530" w:name="_Toc478356819"/>
      <w:bookmarkStart w:id="531" w:name="_Toc11761"/>
      <w:bookmarkStart w:id="532" w:name="_Toc5243"/>
      <w:bookmarkStart w:id="533" w:name="_Toc23140"/>
      <w:bookmarkStart w:id="534" w:name="_Toc6103"/>
      <w:r>
        <w:rPr>
          <w:rFonts w:ascii="Times New Roman" w:hAnsi="Times New Roman" w:eastAsia="方正黑体简体" w:cs="Times New Roman"/>
          <w:bCs/>
          <w:color w:val="000000"/>
          <w:sz w:val="32"/>
          <w:szCs w:val="32"/>
        </w:rPr>
        <w:t>第四节 深入推进数字丝路建设</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013375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发挥“海上丝绸之路”起点城市优势，突出海丝交流合作特色，聚焦数字经贸合作水平、数字文化交流、闽台数字经济融合发展，深入推进“数字丝路”建设。</w:t>
      </w:r>
    </w:p>
    <w:p w14:paraId="44798F66">
      <w:pPr>
        <w:spacing w:line="580" w:lineRule="exact"/>
        <w:ind w:firstLine="640" w:firstLineChars="200"/>
        <w:rPr>
          <w:rFonts w:ascii="Times New Roman" w:hAnsi="Times New Roman" w:eastAsia="黑体" w:cs="Times New Roman"/>
          <w:color w:val="000000"/>
          <w:kern w:val="0"/>
          <w:sz w:val="32"/>
          <w:szCs w:val="30"/>
          <w:lang w:val="zh-CN"/>
        </w:rPr>
      </w:pPr>
      <w:bookmarkStart w:id="535" w:name="_Toc2146912740"/>
      <w:bookmarkStart w:id="536" w:name="_Toc5190"/>
      <w:bookmarkStart w:id="537" w:name="_Toc2667"/>
      <w:bookmarkStart w:id="538" w:name="_Toc581558010"/>
      <w:bookmarkStart w:id="539" w:name="_Toc1431733073"/>
      <w:bookmarkStart w:id="540" w:name="_Toc86954693"/>
      <w:bookmarkStart w:id="541" w:name="_Toc1681"/>
      <w:bookmarkStart w:id="542" w:name="_Toc3516"/>
      <w:bookmarkStart w:id="543" w:name="_Toc10241"/>
      <w:bookmarkStart w:id="544" w:name="_Toc21564"/>
      <w:bookmarkStart w:id="545" w:name="_Toc31808"/>
      <w:bookmarkStart w:id="546" w:name="_Toc1839011870"/>
      <w:bookmarkStart w:id="547" w:name="_Toc81425780"/>
      <w:bookmarkStart w:id="548" w:name="_Toc293"/>
      <w:bookmarkStart w:id="549" w:name="_Toc21708"/>
      <w:bookmarkStart w:id="550" w:name="_Toc26962"/>
      <w:bookmarkStart w:id="551" w:name="_Toc32379"/>
      <w:bookmarkStart w:id="552" w:name="_Toc31854"/>
      <w:r>
        <w:rPr>
          <w:rFonts w:ascii="Times New Roman" w:hAnsi="Times New Roman" w:eastAsia="黑体" w:cs="Times New Roman"/>
          <w:color w:val="000000"/>
          <w:kern w:val="0"/>
          <w:sz w:val="32"/>
          <w:szCs w:val="30"/>
          <w:lang w:val="zh-CN"/>
        </w:rPr>
        <w:t>一</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Times New Roman" w:hAnsi="Times New Roman" w:eastAsia="黑体" w:cs="Times New Roman"/>
          <w:color w:val="000000"/>
          <w:kern w:val="0"/>
          <w:sz w:val="32"/>
          <w:szCs w:val="30"/>
          <w:lang w:val="zh-CN"/>
        </w:rPr>
        <w:t>、全面提升数字贸易合作水平</w:t>
      </w:r>
    </w:p>
    <w:p w14:paraId="61F8B21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以建设“数字丝路”经济合作试验区为契机，加强与“海丝”沿线国家和地区在信息化领域的交流合作，强化信息互联互通的枢纽功能，建设服务福建面向东南亚乃至全球的交通物流信息共享共通体系。支持数字经济龙头企业“走出去”，为“海丝”沿线国家和地区的数字化转型升级、数字产业发展提供新动能。发挥跨境电商优势，努力打造“丝路电商”核心区，利用RCEP协定正式生效难得的机遇，在各成员国家建立泉州产业带产品集散展销中心。建立海丝泛家居线上多功能平台，在东南亚、中东等地区建设线下体验馆。建设海上丝绸之路产业互联网创新合作平台，推进“丝路海运”信息化平台建设，搭建一批各具特色的国际经贸合作信息化平台，促进港口、航商、物流企业与口岸单位信息资源融合，为“丝路海运”联盟成员提供高质量商业数据服务。拓展丰富“亲清家园”平台涉台服务功能，打造台胞台企登陆第一数据港，以数据赋能台胞台企在大陆投资、创业、生活，打造台胞台企登陆“第一家园”。</w:t>
      </w:r>
    </w:p>
    <w:p w14:paraId="36165CBF">
      <w:pPr>
        <w:spacing w:line="580" w:lineRule="exact"/>
        <w:ind w:firstLine="640" w:firstLineChars="200"/>
        <w:rPr>
          <w:rFonts w:ascii="Times New Roman" w:hAnsi="Times New Roman" w:eastAsia="黑体" w:cs="Times New Roman"/>
          <w:color w:val="000000"/>
          <w:kern w:val="0"/>
          <w:sz w:val="32"/>
          <w:szCs w:val="30"/>
          <w:lang w:val="zh-CN"/>
        </w:rPr>
      </w:pPr>
      <w:bookmarkStart w:id="553" w:name="_Toc81425782"/>
      <w:bookmarkStart w:id="554" w:name="_Toc17505"/>
      <w:bookmarkStart w:id="555" w:name="_Toc279"/>
      <w:bookmarkStart w:id="556" w:name="_Toc25886"/>
      <w:bookmarkStart w:id="557" w:name="_Toc2296"/>
      <w:bookmarkStart w:id="558" w:name="_Toc1917331271"/>
      <w:bookmarkStart w:id="559" w:name="_Toc117493782"/>
      <w:bookmarkStart w:id="560" w:name="_Toc30399"/>
      <w:bookmarkStart w:id="561" w:name="_Toc694638153"/>
      <w:bookmarkStart w:id="562" w:name="_Toc86954694"/>
      <w:bookmarkStart w:id="563" w:name="_Toc16885"/>
      <w:bookmarkStart w:id="564" w:name="_Toc16492"/>
      <w:bookmarkStart w:id="565" w:name="_Toc19967"/>
      <w:bookmarkStart w:id="566" w:name="_Toc21642"/>
      <w:bookmarkStart w:id="567" w:name="_Toc20297"/>
      <w:bookmarkStart w:id="568" w:name="_Toc7902"/>
      <w:bookmarkStart w:id="569" w:name="_Toc889948577"/>
      <w:bookmarkStart w:id="570" w:name="_Toc1907"/>
      <w:r>
        <w:rPr>
          <w:rFonts w:ascii="Times New Roman" w:hAnsi="Times New Roman" w:eastAsia="黑体" w:cs="Times New Roman"/>
          <w:color w:val="000000"/>
          <w:kern w:val="0"/>
          <w:sz w:val="32"/>
          <w:szCs w:val="30"/>
          <w:lang w:val="zh-CN"/>
        </w:rPr>
        <w:t>二、全面推进海丝智慧旅游</w:t>
      </w:r>
      <w:bookmarkEnd w:id="553"/>
      <w:bookmarkEnd w:id="554"/>
      <w:r>
        <w:rPr>
          <w:rFonts w:ascii="Times New Roman" w:hAnsi="Times New Roman" w:eastAsia="黑体" w:cs="Times New Roman"/>
          <w:color w:val="000000"/>
          <w:kern w:val="0"/>
          <w:sz w:val="32"/>
          <w:szCs w:val="30"/>
          <w:lang w:val="zh-CN"/>
        </w:rPr>
        <w:t>建设</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49360931">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全面打造统一的泉州智慧旅游云服务综合平台，汇集“吃住行游购娱”要素，应用旅游大数据，增强旅游职能管理和宣传营销，完善导览与服务功能，拓展信用、监管和互动功能，提供一站式的文化和旅游公共信息服务。基于5G+AR/VR、技术打造沉浸式智慧旅游体验馆，让游客身临其境体验“东亚文化之都”的魅力。打造“一部手机游泉州”，全面提升旅游服务智能化，构建媒体、云服务、旅游OTA等一系列“海丝泉州”传播平台，打响“海丝泉州”品牌，建设世界“海丝文化”休闲旅游目的地。完善12315旅游投诉平台系统的建设，加快与全国旅游监管服务平台对接，实现旅游市场智慧化监管。</w:t>
      </w:r>
    </w:p>
    <w:p w14:paraId="7A537738">
      <w:pPr>
        <w:spacing w:line="580" w:lineRule="exact"/>
        <w:ind w:firstLine="640" w:firstLineChars="200"/>
        <w:rPr>
          <w:rFonts w:ascii="Times New Roman" w:hAnsi="Times New Roman" w:eastAsia="黑体" w:cs="Times New Roman"/>
          <w:color w:val="000000"/>
          <w:kern w:val="0"/>
          <w:sz w:val="32"/>
          <w:szCs w:val="30"/>
          <w:lang w:val="zh-CN"/>
        </w:rPr>
      </w:pPr>
      <w:bookmarkStart w:id="571" w:name="_Toc850092622"/>
      <w:bookmarkStart w:id="572" w:name="_Toc31460"/>
      <w:bookmarkStart w:id="573" w:name="_Toc23990"/>
      <w:bookmarkStart w:id="574" w:name="_Toc514530560"/>
      <w:bookmarkStart w:id="575" w:name="_Toc1865"/>
      <w:bookmarkStart w:id="576" w:name="_Toc1810968750"/>
      <w:bookmarkStart w:id="577" w:name="_Toc25479"/>
      <w:bookmarkStart w:id="578" w:name="_Toc3816"/>
      <w:bookmarkStart w:id="579" w:name="_Toc12472"/>
      <w:bookmarkStart w:id="580" w:name="_Toc12563"/>
      <w:bookmarkStart w:id="581" w:name="_Toc6876"/>
      <w:bookmarkStart w:id="582" w:name="_Toc86954695"/>
      <w:bookmarkStart w:id="583" w:name="_Toc26033"/>
      <w:bookmarkStart w:id="584" w:name="_Toc3855"/>
      <w:bookmarkStart w:id="585" w:name="_Toc81425783"/>
      <w:bookmarkStart w:id="586" w:name="_Toc598170702"/>
      <w:bookmarkStart w:id="587" w:name="_Toc7549"/>
      <w:bookmarkStart w:id="588" w:name="_Toc23861"/>
      <w:r>
        <w:rPr>
          <w:rFonts w:ascii="Times New Roman" w:hAnsi="Times New Roman" w:eastAsia="黑体" w:cs="Times New Roman"/>
          <w:color w:val="000000"/>
          <w:kern w:val="0"/>
          <w:sz w:val="32"/>
          <w:szCs w:val="30"/>
          <w:lang w:val="zh-CN"/>
        </w:rPr>
        <w:t>三、加快推进数字海丝文化建设</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B917B0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全力推进“泉州：宋元中国的世界海洋商贸中心”世界遗产数字化赋能工程，推动泉州文化场馆、非遗文化、文物古迹等资源数字化，支持5G、大数据、区块链等在文化产业领域的集成应用和创新，建设一批文化产业数字化应用场景，培育和塑造一批具有鲜明“海丝文化”“闽南文化”特色的原创IP。引导和支持5G+AR/VR、5G+4K/8K超高清等技术在文化领域应用，推动文化内容向沉浸式内容移植转化。深化数字文化产业国际合作，打造交流合作平台，向“海丝”沿线国家和地区提供数字化服务，合作开发数字文化产品。</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4D7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0FC6BAEE">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数字</w:t>
            </w:r>
            <w:r>
              <w:rPr>
                <w:rFonts w:ascii="Times New Roman" w:hAnsi="Times New Roman" w:eastAsia="楷体_GB2312" w:cs="Times New Roman"/>
                <w:b/>
                <w:color w:val="000000"/>
                <w:sz w:val="28"/>
                <w:szCs w:val="28"/>
              </w:rPr>
              <w:t>海丝</w:t>
            </w:r>
            <w:r>
              <w:rPr>
                <w:rFonts w:hint="eastAsia" w:ascii="Times New Roman" w:hAnsi="Times New Roman" w:eastAsia="楷体_GB2312" w:cs="Times New Roman"/>
                <w:b/>
                <w:color w:val="000000"/>
                <w:sz w:val="28"/>
                <w:szCs w:val="28"/>
              </w:rPr>
              <w:t>文化工程</w:t>
            </w:r>
          </w:p>
        </w:tc>
      </w:tr>
      <w:tr w14:paraId="016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08B2B8FF">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创新实施文化惠民工程，推动公共文化数字化建设。（1）整合现有文化平台资源，植入在线文创设计、直播拍卖等新业态，打造文化产业大平台。加快推进鲤城“城市超级IP数字文创生态平台”建设，推进游戏、动漫、虚拟现实、影像处理、城市超级IP数字文创等业务向“海丝”沿线国家和地区拓展。（2）推动“文化+”产业跨界融合，</w:t>
            </w:r>
            <w:bookmarkStart w:id="589" w:name="_Hlk63713582"/>
            <w:r>
              <w:rPr>
                <w:rFonts w:ascii="Times New Roman" w:hAnsi="Times New Roman" w:eastAsia="仿宋_GB2312" w:cs="Times New Roman"/>
                <w:color w:val="000000"/>
                <w:sz w:val="28"/>
                <w:szCs w:val="28"/>
              </w:rPr>
              <w:t>推动福建广电网络数据中心建设，</w:t>
            </w:r>
            <w:bookmarkEnd w:id="589"/>
            <w:r>
              <w:rPr>
                <w:rFonts w:ascii="Times New Roman" w:hAnsi="Times New Roman" w:eastAsia="仿宋_GB2312" w:cs="Times New Roman"/>
                <w:color w:val="000000"/>
                <w:sz w:val="28"/>
                <w:szCs w:val="28"/>
              </w:rPr>
              <w:t>服务融媒体中心和海峡云节点；</w:t>
            </w:r>
            <w:bookmarkStart w:id="590" w:name="_Hlk63713598"/>
            <w:r>
              <w:rPr>
                <w:rFonts w:ascii="Times New Roman" w:hAnsi="Times New Roman" w:eastAsia="仿宋_GB2312" w:cs="Times New Roman"/>
                <w:color w:val="000000"/>
                <w:sz w:val="28"/>
                <w:szCs w:val="28"/>
              </w:rPr>
              <w:t>推动安溪建设“中国电影资料馆安溪数字资源中心”“中影星光（安溪）电影小镇</w:t>
            </w:r>
            <w:bookmarkEnd w:id="590"/>
            <w:r>
              <w:rPr>
                <w:rFonts w:ascii="Times New Roman" w:hAnsi="Times New Roman" w:eastAsia="仿宋_GB2312" w:cs="Times New Roman"/>
                <w:color w:val="000000"/>
                <w:sz w:val="28"/>
                <w:szCs w:val="28"/>
              </w:rPr>
              <w:t>”。（3）加快南洋华裔族群寻根谒祖综合服务平台（二期）建设，打造世界华侨华人族谱馆、寻根文化中心、海丝国家华裔文化交流中心等。</w:t>
            </w:r>
          </w:p>
        </w:tc>
      </w:tr>
    </w:tbl>
    <w:p w14:paraId="2D6563C3">
      <w:pPr>
        <w:keepNext/>
        <w:keepLines/>
        <w:pageBreakBefore/>
        <w:spacing w:before="340" w:after="240" w:line="596" w:lineRule="exact"/>
        <w:jc w:val="center"/>
        <w:outlineLvl w:val="0"/>
        <w:rPr>
          <w:rFonts w:ascii="Times New Roman" w:hAnsi="Times New Roman" w:eastAsia="方正小标宋简体" w:cs="Times New Roman"/>
          <w:color w:val="000000"/>
          <w:kern w:val="44"/>
          <w:sz w:val="36"/>
          <w:szCs w:val="36"/>
        </w:rPr>
      </w:pPr>
      <w:bookmarkStart w:id="591" w:name="_Toc27103"/>
      <w:bookmarkStart w:id="592" w:name="_Toc13004"/>
      <w:bookmarkStart w:id="593" w:name="_Toc12213"/>
      <w:bookmarkStart w:id="594" w:name="_Toc94308419"/>
      <w:bookmarkStart w:id="595" w:name="_Toc8212"/>
      <w:bookmarkStart w:id="596" w:name="_Toc16459"/>
      <w:bookmarkStart w:id="597" w:name="_Toc1178480754"/>
      <w:bookmarkStart w:id="598" w:name="_Toc19610"/>
      <w:bookmarkStart w:id="599" w:name="_Toc86954696"/>
      <w:bookmarkStart w:id="600" w:name="_Toc22917"/>
      <w:bookmarkStart w:id="601" w:name="_Toc21407"/>
      <w:bookmarkStart w:id="602" w:name="_Toc7018"/>
      <w:bookmarkStart w:id="603" w:name="_Toc81425784"/>
      <w:bookmarkStart w:id="604" w:name="_Toc1842302288"/>
      <w:bookmarkStart w:id="605" w:name="_Toc2095321423"/>
      <w:bookmarkStart w:id="606" w:name="_Toc1414564183"/>
      <w:bookmarkStart w:id="607" w:name="_Toc2690"/>
      <w:bookmarkStart w:id="608" w:name="_Toc5517"/>
      <w:bookmarkStart w:id="609" w:name="_Toc1162"/>
      <w:r>
        <w:rPr>
          <w:rFonts w:ascii="Times New Roman" w:hAnsi="Times New Roman" w:eastAsia="方正小标宋简体" w:cs="Times New Roman"/>
          <w:color w:val="000000"/>
          <w:kern w:val="44"/>
          <w:sz w:val="36"/>
          <w:szCs w:val="36"/>
        </w:rPr>
        <w:t>第六章 加快数据资源价值化，激发数据要素新活力</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4F77D020">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坚持“全市一盘棋”统筹数据要素配置，完善政务数据汇聚与治理体系，推进公共数据资源有序开放，积极探索公共数据资源开发利用，着力构建“统一、开放、安全、高效”的数据要素市场体系。</w:t>
      </w:r>
      <w:bookmarkStart w:id="610" w:name="_Toc15918"/>
      <w:bookmarkStart w:id="611" w:name="_Toc23453"/>
      <w:bookmarkStart w:id="612" w:name="_Toc18260"/>
      <w:bookmarkStart w:id="613" w:name="_Toc32640"/>
      <w:bookmarkStart w:id="614" w:name="_Toc984766208"/>
      <w:bookmarkStart w:id="615" w:name="_Toc524302838"/>
      <w:bookmarkStart w:id="616" w:name="_Toc8907"/>
      <w:bookmarkStart w:id="617" w:name="_Toc30925"/>
      <w:bookmarkStart w:id="618" w:name="_Toc1526558619"/>
      <w:bookmarkStart w:id="619" w:name="_Toc81425785"/>
      <w:bookmarkStart w:id="620" w:name="_Toc27729"/>
      <w:bookmarkStart w:id="621" w:name="_Toc903272958"/>
      <w:bookmarkStart w:id="622" w:name="_Toc24203"/>
      <w:bookmarkStart w:id="623" w:name="_Toc12229"/>
      <w:bookmarkStart w:id="624" w:name="_Toc16422"/>
      <w:bookmarkStart w:id="625" w:name="_Toc15177"/>
      <w:bookmarkStart w:id="626" w:name="_Toc26503"/>
      <w:bookmarkStart w:id="627" w:name="_Toc86954697"/>
      <w:r>
        <w:rPr>
          <w:rFonts w:ascii="Times New Roman" w:hAnsi="Times New Roman" w:eastAsia="仿宋_GB2312" w:cs="Times New Roman"/>
          <w:color w:val="000000"/>
          <w:sz w:val="32"/>
          <w:szCs w:val="28"/>
        </w:rPr>
        <w:t>坚持应用牵引，发挥我市丰富应用场景优势，充分释放数据要素价值，激活数据要素潜能，推动数据技术产品、应用范式、商业模式和体制机制协同创新。</w:t>
      </w:r>
    </w:p>
    <w:p w14:paraId="351B74B5">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628" w:name="_Toc94308420"/>
      <w:r>
        <w:rPr>
          <w:rFonts w:ascii="Times New Roman" w:hAnsi="Times New Roman" w:eastAsia="方正黑体简体" w:cs="Times New Roman"/>
          <w:bCs/>
          <w:color w:val="000000"/>
          <w:sz w:val="32"/>
          <w:szCs w:val="32"/>
        </w:rPr>
        <w:t>第一节 完善公共数据汇聚治理体系</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7C5C09B6">
      <w:pPr>
        <w:spacing w:line="580" w:lineRule="exact"/>
        <w:ind w:firstLine="640" w:firstLineChars="200"/>
        <w:rPr>
          <w:rFonts w:ascii="Times New Roman" w:hAnsi="Times New Roman" w:eastAsia="黑体" w:cs="Times New Roman"/>
          <w:color w:val="000000"/>
          <w:kern w:val="0"/>
          <w:sz w:val="32"/>
          <w:szCs w:val="30"/>
          <w:lang w:val="zh-CN"/>
        </w:rPr>
      </w:pPr>
      <w:bookmarkStart w:id="629" w:name="_Toc31477"/>
      <w:bookmarkStart w:id="630" w:name="_Toc32588"/>
      <w:bookmarkStart w:id="631" w:name="_Toc31962"/>
      <w:bookmarkStart w:id="632" w:name="_Toc1096061594"/>
      <w:bookmarkStart w:id="633" w:name="_Toc23183"/>
      <w:bookmarkStart w:id="634" w:name="_Toc8277"/>
      <w:bookmarkStart w:id="635" w:name="_Toc853676791"/>
      <w:bookmarkStart w:id="636" w:name="_Toc29475"/>
      <w:bookmarkStart w:id="637" w:name="_Toc86954698"/>
      <w:bookmarkStart w:id="638" w:name="_Toc1093402361"/>
      <w:bookmarkStart w:id="639" w:name="_Toc25384"/>
      <w:bookmarkStart w:id="640" w:name="_Toc303758277"/>
      <w:bookmarkStart w:id="641" w:name="_Toc28873"/>
      <w:bookmarkStart w:id="642" w:name="_Toc31626"/>
      <w:bookmarkStart w:id="643" w:name="_Toc28954"/>
      <w:bookmarkStart w:id="644" w:name="_Toc865"/>
      <w:bookmarkStart w:id="645" w:name="_Toc5476"/>
      <w:bookmarkStart w:id="646" w:name="_Toc81425786"/>
      <w:r>
        <w:rPr>
          <w:rFonts w:ascii="Times New Roman" w:hAnsi="Times New Roman" w:eastAsia="黑体" w:cs="Times New Roman"/>
          <w:color w:val="000000"/>
          <w:kern w:val="0"/>
          <w:sz w:val="32"/>
          <w:szCs w:val="30"/>
          <w:lang w:val="zh-CN"/>
        </w:rPr>
        <w:t>一、推动公共数据高质量汇聚</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4CAC542">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按照“先易后难、应登尽登、应汇尽汇、完整准确”的原则，全量汇聚全市非涉密政务数据。加大学校、医院、邮政、电信、供水、供电、供气、公共交通等公益事业单位和公用企业数据汇聚力度，确保数据实时全量汇聚和数据质量。继续推进与省“一照一码”审批信息共享平台、相关省直垂管自建系统的深入对接和数据回流，并推动数据向基层服务部门回流，形成数据上下流通的循环体系。</w:t>
      </w:r>
    </w:p>
    <w:p w14:paraId="72FE2597">
      <w:pPr>
        <w:spacing w:line="580" w:lineRule="exact"/>
        <w:ind w:firstLine="640" w:firstLineChars="200"/>
        <w:rPr>
          <w:rFonts w:ascii="Times New Roman" w:hAnsi="Times New Roman" w:eastAsia="黑体" w:cs="Times New Roman"/>
          <w:color w:val="000000"/>
          <w:kern w:val="0"/>
          <w:sz w:val="32"/>
          <w:szCs w:val="30"/>
          <w:lang w:val="zh-CN"/>
        </w:rPr>
      </w:pPr>
      <w:bookmarkStart w:id="647" w:name="_Toc1933188476"/>
      <w:bookmarkStart w:id="648" w:name="_Toc586"/>
      <w:bookmarkStart w:id="649" w:name="_Toc549411676"/>
      <w:bookmarkStart w:id="650" w:name="_Toc11863"/>
      <w:bookmarkStart w:id="651" w:name="_Toc17868"/>
      <w:bookmarkStart w:id="652" w:name="_Toc18390"/>
      <w:bookmarkStart w:id="653" w:name="_Toc348263573"/>
      <w:bookmarkStart w:id="654" w:name="_Toc26692"/>
      <w:bookmarkStart w:id="655" w:name="_Toc1934517605"/>
      <w:bookmarkStart w:id="656" w:name="_Toc18770"/>
      <w:bookmarkStart w:id="657" w:name="_Toc15264"/>
      <w:bookmarkStart w:id="658" w:name="_Toc28182"/>
      <w:bookmarkStart w:id="659" w:name="_Toc18009"/>
      <w:bookmarkStart w:id="660" w:name="_Toc12801"/>
      <w:bookmarkStart w:id="661" w:name="_Toc2229"/>
      <w:bookmarkStart w:id="662" w:name="_Toc87003428"/>
      <w:bookmarkStart w:id="663" w:name="_Toc86954699"/>
      <w:r>
        <w:rPr>
          <w:rFonts w:ascii="Times New Roman" w:hAnsi="Times New Roman" w:eastAsia="黑体" w:cs="Times New Roman"/>
          <w:color w:val="000000"/>
          <w:kern w:val="0"/>
          <w:sz w:val="32"/>
          <w:szCs w:val="30"/>
          <w:lang w:val="zh-CN"/>
        </w:rPr>
        <w:t>二、完善政务数据治理体系</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67C0AD1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强政务数据治理，构建包括机构与制度、标准与流程、平台与系统等方面的政务大数据治理体系。加强数据质量管控，健全问题数据全流程网上处理纠错机制，规范数据治理工作流程，确保政务数据标准一致、准确、完整和可追溯，有效提升数据供给质量、可用性和易用性。加快形成权威高效的市、县两级政务数据共享协调机制，构建深度应用、上下联动的协同治理机制。</w:t>
      </w:r>
    </w:p>
    <w:p w14:paraId="0482A2AD">
      <w:pPr>
        <w:spacing w:line="580" w:lineRule="exact"/>
        <w:ind w:firstLine="640" w:firstLineChars="200"/>
        <w:rPr>
          <w:rFonts w:ascii="Times New Roman" w:hAnsi="Times New Roman" w:eastAsia="黑体" w:cs="Times New Roman"/>
          <w:color w:val="000000"/>
          <w:kern w:val="0"/>
          <w:sz w:val="32"/>
          <w:szCs w:val="30"/>
          <w:lang w:val="zh-CN"/>
        </w:rPr>
      </w:pPr>
      <w:bookmarkStart w:id="664" w:name="_Toc9206"/>
      <w:bookmarkStart w:id="665" w:name="_Toc7593"/>
      <w:bookmarkStart w:id="666" w:name="_Toc1439372749"/>
      <w:bookmarkStart w:id="667" w:name="_Toc1200034979"/>
      <w:bookmarkStart w:id="668" w:name="_Toc87003429"/>
      <w:bookmarkStart w:id="669" w:name="_Toc24798"/>
      <w:bookmarkStart w:id="670" w:name="_Toc11132"/>
      <w:bookmarkStart w:id="671" w:name="_Toc1362963387"/>
      <w:bookmarkStart w:id="672" w:name="_Toc21186"/>
      <w:bookmarkStart w:id="673" w:name="_Toc21681"/>
      <w:bookmarkStart w:id="674" w:name="_Toc7061"/>
      <w:bookmarkStart w:id="675" w:name="_Toc11594"/>
      <w:bookmarkStart w:id="676" w:name="_Toc1397"/>
      <w:bookmarkStart w:id="677" w:name="_Toc20941"/>
      <w:bookmarkStart w:id="678" w:name="_Toc31635"/>
      <w:bookmarkStart w:id="679" w:name="_Toc1239429329"/>
      <w:r>
        <w:rPr>
          <w:rFonts w:ascii="Times New Roman" w:hAnsi="Times New Roman" w:eastAsia="黑体" w:cs="Times New Roman"/>
          <w:color w:val="000000"/>
          <w:kern w:val="0"/>
          <w:sz w:val="32"/>
          <w:szCs w:val="30"/>
          <w:lang w:val="zh-CN"/>
        </w:rPr>
        <w:t>三、开展数据要素标准化建设</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3177D83">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积极开展数据要素领域标准化专项研究工作，建立包括数据基础术语标准、数据交换共享标准、数据安全隐私标准、数据行业应用标准等在内的标准化体系。分阶段、分领域推进数据要素标准化试点，提高数据质量和规范性，丰富数据产品。支持行业协会、商会、企业和高校院所研究制定数据采集、处理、应用、质量管理等标准规范。鼓励行业协会、产业联盟等组织充分发挥自身优势，结合各个行业的发展特性，加快建立垂直行业的数据资产标准体系，指导协助行业内的相关企业开展数据资产化工作，助力数据资产化高效有序推进。</w:t>
      </w:r>
    </w:p>
    <w:tbl>
      <w:tblPr>
        <w:tblStyle w:val="24"/>
        <w:tblpPr w:leftFromText="180" w:rightFromText="180" w:vertAnchor="text" w:horzAnchor="page" w:tblpX="1916" w:tblpY="217"/>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737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642" w:type="dxa"/>
          </w:tcPr>
          <w:p w14:paraId="48040085">
            <w:pPr>
              <w:widowControl/>
              <w:numPr>
                <w:ilvl w:val="0"/>
                <w:numId w:val="1"/>
              </w:numPr>
              <w:spacing w:line="600" w:lineRule="exact"/>
              <w:jc w:val="center"/>
              <w:rPr>
                <w:rFonts w:ascii="Times New Roman" w:hAnsi="Times New Roman" w:eastAsia="仿宋_GB2312" w:cs="Times New Roman"/>
                <w:color w:val="000000"/>
                <w:kern w:val="0"/>
                <w:sz w:val="30"/>
                <w:szCs w:val="30"/>
              </w:rPr>
            </w:pPr>
            <w:bookmarkStart w:id="680" w:name="_Toc54798256"/>
            <w:r>
              <w:rPr>
                <w:rFonts w:hint="eastAsia" w:ascii="Times New Roman" w:hAnsi="Times New Roman" w:eastAsia="楷体_GB2312" w:cs="Times New Roman"/>
                <w:b/>
                <w:color w:val="000000"/>
                <w:sz w:val="28"/>
                <w:szCs w:val="28"/>
              </w:rPr>
              <w:t>公共数据资源汇聚工程</w:t>
            </w:r>
          </w:p>
        </w:tc>
      </w:tr>
      <w:tr w14:paraId="6139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tcPr>
          <w:p w14:paraId="49C8E521">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加速市政务数据汇聚与共享应用平台（二期）建设，推动市直部门、县（市、区）数据应汇尽汇，积极接入公益事业单位数据、公共企业数据和社会数据，整合一照一码，丰富电子证照库，集成省级平台相关服务资源。推进市级与省级数据共享交换平台级联工作，打通与省级平台和各部门业务系统接口，打造跨层级、跨部门“用户通、系统通、目录通、数据通、证照通、接口通、业务通”大通道，争取国家级、省级系统的泉州属地办件信息及业务数据及时回流共享。构建政务数据汇聚共享平台、开发平台、开放平台及大数据交易中心，形成市级“三平台一中心”体系。</w:t>
            </w:r>
          </w:p>
        </w:tc>
      </w:tr>
      <w:bookmarkEnd w:id="645"/>
      <w:bookmarkEnd w:id="646"/>
      <w:bookmarkEnd w:id="663"/>
      <w:bookmarkEnd w:id="680"/>
    </w:tbl>
    <w:p w14:paraId="66EEA7B9">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681" w:name="_Toc1818"/>
      <w:bookmarkStart w:id="682" w:name="_Toc86954707"/>
      <w:bookmarkStart w:id="683" w:name="_Toc81425789"/>
      <w:bookmarkStart w:id="684" w:name="_Toc5255"/>
      <w:bookmarkStart w:id="685" w:name="_Toc31240"/>
      <w:bookmarkStart w:id="686" w:name="_Toc31367"/>
      <w:bookmarkStart w:id="687" w:name="_Toc10964"/>
      <w:bookmarkStart w:id="688" w:name="_Toc17763"/>
      <w:bookmarkStart w:id="689" w:name="_Toc1281363293"/>
      <w:bookmarkStart w:id="690" w:name="_Toc94308421"/>
      <w:bookmarkStart w:id="691" w:name="_Toc22332"/>
      <w:bookmarkStart w:id="692" w:name="_Toc608783501"/>
      <w:bookmarkStart w:id="693" w:name="_Toc3897"/>
      <w:bookmarkStart w:id="694" w:name="_Toc1874504168"/>
      <w:bookmarkStart w:id="695" w:name="_Toc1623748189"/>
      <w:bookmarkStart w:id="696" w:name="_Toc25087"/>
      <w:bookmarkStart w:id="697" w:name="_Toc5538"/>
      <w:bookmarkStart w:id="698" w:name="_Toc19167"/>
      <w:bookmarkStart w:id="699" w:name="_Toc1193"/>
      <w:r>
        <w:rPr>
          <w:rFonts w:ascii="Times New Roman" w:hAnsi="Times New Roman" w:eastAsia="方正黑体简体" w:cs="Times New Roman"/>
          <w:bCs/>
          <w:color w:val="000000"/>
          <w:sz w:val="32"/>
          <w:szCs w:val="32"/>
        </w:rPr>
        <w:t>第二节 加速数据资源</w:t>
      </w:r>
      <w:bookmarkEnd w:id="681"/>
      <w:bookmarkEnd w:id="682"/>
      <w:bookmarkEnd w:id="683"/>
      <w:r>
        <w:rPr>
          <w:rFonts w:ascii="Times New Roman" w:hAnsi="Times New Roman" w:eastAsia="方正黑体简体" w:cs="Times New Roman"/>
          <w:bCs/>
          <w:color w:val="000000"/>
          <w:sz w:val="32"/>
          <w:szCs w:val="32"/>
        </w:rPr>
        <w:t>开发利用</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22C4F9DD">
      <w:pPr>
        <w:spacing w:line="580" w:lineRule="exact"/>
        <w:ind w:firstLine="640" w:firstLineChars="200"/>
        <w:rPr>
          <w:rFonts w:ascii="Times New Roman" w:hAnsi="Times New Roman" w:eastAsia="黑体" w:cs="Times New Roman"/>
          <w:color w:val="000000"/>
          <w:kern w:val="0"/>
          <w:sz w:val="32"/>
          <w:szCs w:val="30"/>
          <w:lang w:val="zh-CN"/>
        </w:rPr>
      </w:pPr>
      <w:bookmarkStart w:id="700" w:name="_Toc81425790"/>
      <w:bookmarkStart w:id="701" w:name="_Toc1189"/>
      <w:bookmarkStart w:id="702" w:name="_Toc787080860"/>
      <w:bookmarkStart w:id="703" w:name="_Toc1529252074"/>
      <w:bookmarkStart w:id="704" w:name="_Toc803225285"/>
      <w:bookmarkStart w:id="705" w:name="_Toc86954708"/>
      <w:bookmarkStart w:id="706" w:name="_Toc1615076531"/>
      <w:bookmarkStart w:id="707" w:name="_Toc16959"/>
      <w:bookmarkStart w:id="708" w:name="_Toc29096"/>
      <w:bookmarkStart w:id="709" w:name="_Toc13592"/>
      <w:bookmarkStart w:id="710" w:name="_Toc29388"/>
      <w:bookmarkStart w:id="711" w:name="_Toc7912"/>
      <w:bookmarkStart w:id="712" w:name="_Toc28234"/>
      <w:bookmarkStart w:id="713" w:name="_Toc10374"/>
      <w:bookmarkStart w:id="714" w:name="_Toc30376"/>
      <w:bookmarkStart w:id="715" w:name="_Toc11990"/>
      <w:bookmarkStart w:id="716" w:name="_Toc6564"/>
      <w:bookmarkStart w:id="717" w:name="_Toc22859"/>
      <w:r>
        <w:rPr>
          <w:rFonts w:ascii="Times New Roman" w:hAnsi="Times New Roman" w:eastAsia="黑体" w:cs="Times New Roman"/>
          <w:color w:val="000000"/>
          <w:kern w:val="0"/>
          <w:sz w:val="32"/>
          <w:szCs w:val="30"/>
          <w:lang w:val="zh-CN"/>
        </w:rPr>
        <w:t>一、深入推进公共数据资源</w:t>
      </w:r>
      <w:bookmarkEnd w:id="700"/>
      <w:bookmarkEnd w:id="701"/>
      <w:r>
        <w:rPr>
          <w:rFonts w:ascii="Times New Roman" w:hAnsi="Times New Roman" w:eastAsia="黑体" w:cs="Times New Roman"/>
          <w:color w:val="000000"/>
          <w:kern w:val="0"/>
          <w:sz w:val="32"/>
          <w:szCs w:val="30"/>
          <w:lang w:val="zh-CN"/>
        </w:rPr>
        <w:t>共享</w:t>
      </w:r>
      <w:bookmarkEnd w:id="702"/>
      <w:bookmarkEnd w:id="703"/>
      <w:bookmarkEnd w:id="704"/>
      <w:bookmarkEnd w:id="705"/>
      <w:bookmarkEnd w:id="706"/>
      <w:r>
        <w:rPr>
          <w:rFonts w:ascii="Times New Roman" w:hAnsi="Times New Roman" w:eastAsia="黑体" w:cs="Times New Roman"/>
          <w:color w:val="000000"/>
          <w:kern w:val="0"/>
          <w:sz w:val="32"/>
          <w:szCs w:val="30"/>
          <w:lang w:val="zh-CN"/>
        </w:rPr>
        <w:t>开放</w:t>
      </w:r>
      <w:bookmarkEnd w:id="707"/>
      <w:bookmarkEnd w:id="708"/>
      <w:bookmarkEnd w:id="709"/>
      <w:bookmarkEnd w:id="710"/>
      <w:bookmarkEnd w:id="711"/>
      <w:bookmarkEnd w:id="712"/>
      <w:bookmarkEnd w:id="713"/>
      <w:bookmarkEnd w:id="714"/>
      <w:bookmarkEnd w:id="715"/>
      <w:bookmarkEnd w:id="716"/>
      <w:bookmarkEnd w:id="717"/>
    </w:p>
    <w:p w14:paraId="30C76A85">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突出解决信息孤岛、数据壁垒等问题，聚焦教育、就业、医保社保、卫生健康、便民服务等民生领域的堵点难点问题，拓展数据便民利企服务，推进普惠金融、疫情防控等主题库建设，建成一批场景化大数据应用，开发更多的业务系统查询接口，为企业、群众办理“一件事”典型应用场景提供实时数据共享服务。</w:t>
      </w:r>
    </w:p>
    <w:p w14:paraId="4ADDE08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进一步完善数据开放标准规范，构建公共数据资源开放评估机制，建立政务数据开放目录和数据共享责任清单，构建公共数据分类分级开放和动态更新机制，健全公共数据定向开放、授权开放管理制度，推动公共数据依法有序开放。</w:t>
      </w:r>
    </w:p>
    <w:p w14:paraId="41A9EB4F">
      <w:pPr>
        <w:spacing w:line="580" w:lineRule="exact"/>
        <w:ind w:firstLine="640" w:firstLineChars="200"/>
        <w:rPr>
          <w:rFonts w:ascii="Times New Roman" w:hAnsi="Times New Roman" w:eastAsia="黑体" w:cs="Times New Roman"/>
          <w:color w:val="000000"/>
          <w:kern w:val="0"/>
          <w:sz w:val="32"/>
          <w:szCs w:val="30"/>
          <w:lang w:val="zh-CN"/>
        </w:rPr>
      </w:pPr>
      <w:bookmarkStart w:id="718" w:name="_Toc86954709"/>
      <w:bookmarkStart w:id="719" w:name="_Toc22193"/>
      <w:bookmarkStart w:id="720" w:name="_Toc81425791"/>
      <w:bookmarkStart w:id="721" w:name="_Toc28708"/>
      <w:bookmarkStart w:id="722" w:name="_Toc19579"/>
      <w:bookmarkStart w:id="723" w:name="_Toc31501"/>
      <w:bookmarkStart w:id="724" w:name="_Toc18637"/>
      <w:bookmarkStart w:id="725" w:name="_Toc4033"/>
      <w:bookmarkStart w:id="726" w:name="_Toc1390113999"/>
      <w:bookmarkStart w:id="727" w:name="_Toc17224"/>
      <w:bookmarkStart w:id="728" w:name="_Toc24958"/>
      <w:bookmarkStart w:id="729" w:name="_Toc1580"/>
      <w:bookmarkStart w:id="730" w:name="_Toc15893"/>
      <w:bookmarkStart w:id="731" w:name="_Toc31772"/>
      <w:bookmarkStart w:id="732" w:name="_Toc1347896381"/>
      <w:bookmarkStart w:id="733" w:name="_Toc1010991713"/>
      <w:bookmarkStart w:id="734" w:name="_Toc1615981191"/>
      <w:bookmarkStart w:id="735" w:name="_Toc3438"/>
      <w:r>
        <w:rPr>
          <w:rFonts w:ascii="Times New Roman" w:hAnsi="Times New Roman" w:eastAsia="黑体" w:cs="Times New Roman"/>
          <w:color w:val="000000"/>
          <w:kern w:val="0"/>
          <w:sz w:val="32"/>
          <w:szCs w:val="30"/>
          <w:lang w:val="zh-CN"/>
        </w:rPr>
        <w:t>二、积极探索公共数据资源开发</w:t>
      </w:r>
      <w:bookmarkEnd w:id="718"/>
      <w:bookmarkEnd w:id="719"/>
      <w:bookmarkEnd w:id="720"/>
      <w:r>
        <w:rPr>
          <w:rFonts w:ascii="Times New Roman" w:hAnsi="Times New Roman" w:eastAsia="黑体" w:cs="Times New Roman"/>
          <w:color w:val="000000"/>
          <w:kern w:val="0"/>
          <w:sz w:val="32"/>
          <w:szCs w:val="30"/>
          <w:lang w:val="zh-CN"/>
        </w:rPr>
        <w:t>模式</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54C59C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引导市场主体探索公共数据资源开发利用，鼓励掌握数据的自然人、法人和非法人组织与政府开展合作，提高社会数据开发利用水平。利用区块链等技术建立可信政务数据应用开发新模式，启动政务数据可信开发服务平台建设。探索依托市属全资国有大数据公司进行数据一级开发和运营。引导高校、科研机构和市场主体开展公共数据分析挖掘、数据可视化、数据安全与隐私保护等技术研究，鼓励第三方深化对公共数据的挖掘利用。</w:t>
      </w:r>
      <w:bookmarkStart w:id="736" w:name="_Toc24396"/>
      <w:bookmarkStart w:id="737" w:name="_Toc28165"/>
      <w:bookmarkStart w:id="738" w:name="_Toc448404512"/>
      <w:bookmarkStart w:id="739" w:name="_Toc21063"/>
      <w:bookmarkStart w:id="740" w:name="_Toc34753882"/>
      <w:bookmarkStart w:id="741" w:name="_Toc20182"/>
      <w:bookmarkStart w:id="742" w:name="_Toc1254"/>
      <w:bookmarkStart w:id="743" w:name="_Toc30416"/>
      <w:bookmarkStart w:id="744" w:name="_Toc24241"/>
      <w:bookmarkStart w:id="745" w:name="_Toc86954710"/>
      <w:bookmarkStart w:id="746" w:name="_Toc16978"/>
      <w:bookmarkStart w:id="747" w:name="_Toc12201"/>
      <w:bookmarkStart w:id="748" w:name="_Toc1181404719"/>
      <w:bookmarkStart w:id="749" w:name="_Toc23799"/>
      <w:bookmarkStart w:id="750" w:name="_Toc19739"/>
      <w:bookmarkStart w:id="751" w:name="_Toc32077"/>
      <w:bookmarkStart w:id="752" w:name="_Toc1421226836"/>
      <w:bookmarkStart w:id="753" w:name="_Toc81425792"/>
    </w:p>
    <w:p w14:paraId="6E936F1C">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三、培育丰富数据开放开发应用场景</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22B10B6C">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支持构建农业、工业、交通运输、教育、公共安全、城市管理、公共资源交易等领域规范化数据开发利用的场景。深化数据开放开发在社会治理、公共服务、教育医疗等领域的应用，推动公共数据融合应用产业链、资金链和政策链的精准对接。着力推进数据与产业深度融合，建立政产学研用合作机制，吸引一批具有前瞻互联网思维和大数据开发创新能力强的优秀企业参与，打造一批商业模式佳、实战效果好的大数据场景化应用。探索通过数据采购、授权服务、委托课题、合作共建等数据融合可行模式，分阶段、分领域推进数据要素标准化试点，提高数据质量和规范性，丰富数据开放开发应用场景，推动数据要素全面深度应用。</w:t>
      </w:r>
      <w:bookmarkStart w:id="754" w:name="_Toc86954711"/>
      <w:bookmarkStart w:id="755" w:name="_Toc10019"/>
      <w:bookmarkStart w:id="756" w:name="_Toc23071"/>
      <w:bookmarkStart w:id="757" w:name="_Toc1501593772"/>
      <w:bookmarkStart w:id="758" w:name="_Toc27043"/>
      <w:bookmarkStart w:id="759" w:name="_Toc14449"/>
      <w:bookmarkStart w:id="760" w:name="_Toc31040"/>
      <w:bookmarkStart w:id="761" w:name="_Toc29126"/>
      <w:bookmarkStart w:id="762" w:name="_Toc688408075"/>
      <w:bookmarkStart w:id="763" w:name="_Toc9553"/>
      <w:bookmarkStart w:id="764" w:name="_Toc28039"/>
      <w:bookmarkStart w:id="765" w:name="_Toc1890917399"/>
      <w:bookmarkStart w:id="766" w:name="_Toc2794"/>
      <w:bookmarkStart w:id="767" w:name="_Toc163774255"/>
      <w:bookmarkStart w:id="768" w:name="_Toc16132"/>
      <w:bookmarkStart w:id="769" w:name="_Toc4948"/>
    </w:p>
    <w:p w14:paraId="0959A075">
      <w:pPr>
        <w:spacing w:line="580" w:lineRule="exact"/>
        <w:ind w:firstLine="640" w:firstLineChars="200"/>
        <w:rPr>
          <w:rFonts w:ascii="Times New Roman" w:hAnsi="Times New Roman" w:eastAsia="黑体" w:cs="Times New Roman"/>
          <w:color w:val="000000"/>
          <w:kern w:val="0"/>
          <w:sz w:val="32"/>
          <w:szCs w:val="30"/>
          <w:lang w:val="zh-CN"/>
        </w:rPr>
      </w:pPr>
      <w:r>
        <w:rPr>
          <w:rFonts w:ascii="Times New Roman" w:hAnsi="Times New Roman" w:eastAsia="黑体" w:cs="Times New Roman"/>
          <w:color w:val="000000"/>
          <w:kern w:val="0"/>
          <w:sz w:val="32"/>
          <w:szCs w:val="30"/>
          <w:lang w:val="zh-CN"/>
        </w:rPr>
        <w:t>四、大力推动大数据产业</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Pr>
          <w:rFonts w:ascii="Times New Roman" w:hAnsi="Times New Roman" w:eastAsia="黑体" w:cs="Times New Roman"/>
          <w:color w:val="000000"/>
          <w:kern w:val="0"/>
          <w:sz w:val="32"/>
          <w:szCs w:val="30"/>
          <w:lang w:val="zh-CN"/>
        </w:rPr>
        <w:t>可持续发展</w:t>
      </w:r>
    </w:p>
    <w:p w14:paraId="327427A9">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高标准建设大数据存储基地和应用中心，积极引入专业化大数据企业来泉布局，重点支持数据资源型企业将数据资源中心落地泉州。支持发展大数据交易市场，把大数据产品与服务纳入政府购买服务范围，培育大数据咨询、策划机构，建立大数据创新服务平台和大数据创新创业孵化基地，支持开展大数据创业，推动大数据产业可持续发展。加快引进和培育一批大数据技术企业，推动政务、产业、民生等各类大数据的汇聚清洗、分类整理、脱敏脱密等工作，加快数据资源有序开放和增值开发。</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433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642" w:type="dxa"/>
          </w:tcPr>
          <w:p w14:paraId="65F1F946">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ascii="Times New Roman" w:hAnsi="Times New Roman" w:eastAsia="楷体_GB2312" w:cs="Times New Roman"/>
                <w:b/>
                <w:color w:val="000000"/>
                <w:sz w:val="28"/>
                <w:szCs w:val="28"/>
              </w:rPr>
              <w:t>发展</w:t>
            </w:r>
            <w:r>
              <w:rPr>
                <w:rFonts w:hint="eastAsia" w:ascii="Times New Roman" w:hAnsi="Times New Roman" w:eastAsia="楷体_GB2312" w:cs="Times New Roman"/>
                <w:b/>
                <w:color w:val="000000"/>
                <w:sz w:val="28"/>
                <w:szCs w:val="28"/>
              </w:rPr>
              <w:t>大数据</w:t>
            </w:r>
            <w:r>
              <w:rPr>
                <w:rFonts w:ascii="Times New Roman" w:hAnsi="Times New Roman" w:eastAsia="楷体_GB2312" w:cs="Times New Roman"/>
                <w:b/>
                <w:color w:val="000000"/>
                <w:sz w:val="28"/>
                <w:szCs w:val="28"/>
              </w:rPr>
              <w:t>产业工程</w:t>
            </w:r>
          </w:p>
        </w:tc>
      </w:tr>
      <w:tr w14:paraId="672F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14:paraId="5AD8E565">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以数字福建（安溪）产业园为载体，打造闽西南协同区大数据产业集群区，汇聚空天大数据、影视大数据产业链，大力发展时空大数据产业，加快推进“新华大数据”平台、“大唐海上风电大数据中心”建设。加快推进丰泽“匹克数据中台”、晋江“工业产业大数据平台”建设、南安“石材大数据平台”、石狮“智能制造大数据云平台”等项目建设；推进“无线泉州‘大数据’一期工程”建设，通过对用户线上线下行为深度洞察，构建全面、精准、多维的用户画像；策划泉州市产业大脑综合服务项目，依托大数据画像技术，描绘全市产业景观、产景地图、产业图谱，并对重点产业园区进行画像。</w:t>
            </w:r>
          </w:p>
        </w:tc>
      </w:tr>
    </w:tbl>
    <w:p w14:paraId="351FD926">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770" w:name="_Toc86954712"/>
      <w:bookmarkEnd w:id="770"/>
      <w:bookmarkStart w:id="771" w:name="_Toc661576299"/>
      <w:bookmarkStart w:id="772" w:name="_Toc22975"/>
      <w:bookmarkStart w:id="773" w:name="_Toc18462"/>
      <w:bookmarkStart w:id="774" w:name="_Toc17798"/>
      <w:bookmarkStart w:id="775" w:name="_Toc17799"/>
      <w:bookmarkStart w:id="776" w:name="_Toc24282"/>
      <w:bookmarkStart w:id="777" w:name="_Toc81425793"/>
      <w:bookmarkStart w:id="778" w:name="_Toc26621"/>
      <w:bookmarkStart w:id="779" w:name="_Toc86954713"/>
      <w:bookmarkStart w:id="780" w:name="_Toc94308422"/>
      <w:bookmarkStart w:id="781" w:name="_Toc21180"/>
      <w:bookmarkStart w:id="782" w:name="_Toc31600"/>
      <w:bookmarkStart w:id="783" w:name="_Toc23262"/>
      <w:bookmarkStart w:id="784" w:name="_Toc16804"/>
      <w:bookmarkStart w:id="785" w:name="_Toc146374212"/>
      <w:bookmarkStart w:id="786" w:name="_Toc962910623"/>
      <w:bookmarkStart w:id="787" w:name="_Toc32661"/>
      <w:bookmarkStart w:id="788" w:name="_Toc1748020517"/>
      <w:bookmarkStart w:id="789" w:name="_Toc31766"/>
      <w:r>
        <w:rPr>
          <w:rFonts w:ascii="Times New Roman" w:hAnsi="Times New Roman" w:eastAsia="方正黑体简体" w:cs="Times New Roman"/>
          <w:bCs/>
          <w:color w:val="000000"/>
          <w:sz w:val="32"/>
          <w:szCs w:val="32"/>
        </w:rPr>
        <w:t>第三节 营造良好数据要素流通市场环境</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0F0E8D9">
      <w:pPr>
        <w:spacing w:line="580" w:lineRule="exact"/>
        <w:ind w:firstLine="640" w:firstLineChars="200"/>
        <w:rPr>
          <w:rFonts w:ascii="Times New Roman" w:hAnsi="Times New Roman" w:eastAsia="黑体" w:cs="Times New Roman"/>
          <w:color w:val="000000"/>
          <w:kern w:val="0"/>
          <w:sz w:val="32"/>
          <w:szCs w:val="30"/>
          <w:lang w:val="zh-CN"/>
        </w:rPr>
      </w:pPr>
      <w:bookmarkStart w:id="790" w:name="_Toc2383"/>
      <w:bookmarkStart w:id="791" w:name="_Toc19600"/>
      <w:bookmarkStart w:id="792" w:name="_Toc18660"/>
      <w:bookmarkStart w:id="793" w:name="_Toc29585"/>
      <w:bookmarkStart w:id="794" w:name="_Toc1403893690"/>
      <w:bookmarkStart w:id="795" w:name="_Toc81425794"/>
      <w:bookmarkStart w:id="796" w:name="_Toc23346"/>
      <w:bookmarkStart w:id="797" w:name="_Toc638"/>
      <w:bookmarkStart w:id="798" w:name="_Toc1603938795"/>
      <w:bookmarkStart w:id="799" w:name="_Toc2878"/>
      <w:bookmarkStart w:id="800" w:name="_Toc5154"/>
      <w:bookmarkStart w:id="801" w:name="_Toc86954714"/>
      <w:bookmarkStart w:id="802" w:name="_Toc834957166"/>
      <w:bookmarkStart w:id="803" w:name="_Toc287531071"/>
      <w:bookmarkStart w:id="804" w:name="_Toc2462"/>
      <w:bookmarkStart w:id="805" w:name="_Toc14173"/>
      <w:bookmarkStart w:id="806" w:name="_Toc10403"/>
      <w:bookmarkStart w:id="807" w:name="_Toc4454"/>
      <w:r>
        <w:rPr>
          <w:rFonts w:ascii="Times New Roman" w:hAnsi="Times New Roman" w:eastAsia="黑体" w:cs="Times New Roman"/>
          <w:color w:val="000000"/>
          <w:kern w:val="0"/>
          <w:sz w:val="32"/>
          <w:szCs w:val="30"/>
          <w:lang w:val="zh-CN"/>
        </w:rPr>
        <w:t>一、完善数据要素交易流通体系</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2DAB48A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构建数据确权基本框架，完善数据权益、交易流通、跨境传输和安全保护等基础性制度规范。建立全市数据统一登记确权体系，分级分类对原始数据、脱敏化数据、模型化数据和标准化数据的权属界定和流转进行动态管理。研究开发数据资产价值评估模型，健全市场化的数据定价机制，为数据交易提供价值评估和价格依据。构建形成涵盖数据资源全产业链的安全监管体系，加强数据安全监测、加密传输、访问控制、数据脱敏等，加强跨境数据流动监测和业务协同监管。</w:t>
      </w:r>
    </w:p>
    <w:p w14:paraId="57901F69">
      <w:pPr>
        <w:spacing w:line="580" w:lineRule="exact"/>
        <w:ind w:firstLine="640" w:firstLineChars="200"/>
        <w:rPr>
          <w:rFonts w:ascii="Times New Roman" w:hAnsi="Times New Roman" w:eastAsia="黑体" w:cs="Times New Roman"/>
          <w:color w:val="000000"/>
          <w:kern w:val="0"/>
          <w:sz w:val="32"/>
          <w:szCs w:val="30"/>
          <w:lang w:val="zh-CN"/>
        </w:rPr>
      </w:pPr>
      <w:bookmarkStart w:id="808" w:name="_Toc1186296050"/>
      <w:bookmarkStart w:id="809" w:name="_Toc20539"/>
      <w:bookmarkStart w:id="810" w:name="_Toc1396"/>
      <w:bookmarkStart w:id="811" w:name="_Toc30468"/>
      <w:bookmarkStart w:id="812" w:name="_Toc1400131980"/>
      <w:bookmarkStart w:id="813" w:name="_Toc143"/>
      <w:bookmarkStart w:id="814" w:name="_Toc25663"/>
      <w:bookmarkStart w:id="815" w:name="_Toc1408256284"/>
      <w:bookmarkStart w:id="816" w:name="_Toc15454"/>
      <w:bookmarkStart w:id="817" w:name="_Toc29489"/>
      <w:bookmarkStart w:id="818" w:name="_Toc30785"/>
      <w:bookmarkStart w:id="819" w:name="_Toc81425795"/>
      <w:bookmarkStart w:id="820" w:name="_Toc21498"/>
      <w:bookmarkStart w:id="821" w:name="_Toc5044"/>
      <w:bookmarkStart w:id="822" w:name="_Toc12622"/>
      <w:bookmarkStart w:id="823" w:name="_Toc5683"/>
      <w:bookmarkStart w:id="824" w:name="_Toc1190039880"/>
      <w:bookmarkStart w:id="825" w:name="_Toc86954715"/>
      <w:r>
        <w:rPr>
          <w:rFonts w:ascii="Times New Roman" w:hAnsi="Times New Roman" w:eastAsia="黑体" w:cs="Times New Roman"/>
          <w:color w:val="000000"/>
          <w:kern w:val="0"/>
          <w:sz w:val="32"/>
          <w:szCs w:val="30"/>
          <w:lang w:val="zh-CN"/>
        </w:rPr>
        <w:t>二、营造良好数据流通市场环境</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4632BCFB">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推进大数据交易中心建设，规范数据交易行为，建立安全可信、管理可控、可追溯的数据交易环境。推动建设包括数据交易撮合、交易监管、资产定价、争议仲裁在内的全流程数据要素流动平台，支持开展数据资产管理、数据交易、结算交付等业务。营造包容、审慎、容错的环境，在产业发展、社会治理、民生服务等领域形成一批数据交易试点示范典型案例。以实际数据需求为导向，完善数据市场流通环境，精准对接市场需求，充分发挥市场配置资源的决定性作用，破除制约数字生产力释放的体制机制障碍，营造健康可持续的数据市场环境。</w:t>
      </w:r>
    </w:p>
    <w:p w14:paraId="4C330E40">
      <w:pPr>
        <w:spacing w:line="580" w:lineRule="exact"/>
        <w:ind w:firstLine="640" w:firstLineChars="200"/>
        <w:rPr>
          <w:rFonts w:ascii="Times New Roman" w:hAnsi="Times New Roman" w:eastAsia="黑体" w:cs="Times New Roman"/>
          <w:color w:val="000000"/>
          <w:kern w:val="0"/>
          <w:sz w:val="32"/>
          <w:szCs w:val="30"/>
          <w:lang w:val="zh-CN"/>
        </w:rPr>
      </w:pPr>
      <w:bookmarkStart w:id="826" w:name="_Toc3463"/>
      <w:r>
        <w:rPr>
          <w:rFonts w:ascii="Times New Roman" w:hAnsi="Times New Roman" w:eastAsia="黑体" w:cs="Times New Roman"/>
          <w:color w:val="000000"/>
          <w:kern w:val="0"/>
          <w:sz w:val="32"/>
          <w:szCs w:val="30"/>
          <w:lang w:val="zh-CN"/>
        </w:rPr>
        <w:t>三、健全数据要素市场监管体系</w:t>
      </w:r>
      <w:bookmarkEnd w:id="826"/>
    </w:p>
    <w:p w14:paraId="0681DB03">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探索制定在数据交易流通、数据安全保护等方面的地方性法规和标准规范。引导培育大数据交易市场，依法合规开展数据交易，建立健全数据产权交易和行业自律机制。健全数据交易监管机制，明确数据交易监管主体，研究制定数据交易各环节的监管制度、互通规则和违规惩罚措施。建立数据交易跨部门协同监管机制，开展数据要素市场监管执法，打击数据垄断、数据欺诈和数据不正当竞争行为，规范各类市场主体行为。整合区块链等新一代信息技术，搭建全社会数据授权存证、数据</w:t>
      </w:r>
      <w:r>
        <w:rPr>
          <w:rFonts w:hint="eastAsia" w:ascii="Times New Roman" w:hAnsi="Times New Roman" w:eastAsia="仿宋_GB2312" w:cs="Times New Roman"/>
          <w:color w:val="000000"/>
          <w:sz w:val="32"/>
          <w:szCs w:val="28"/>
        </w:rPr>
        <w:t>溯源</w:t>
      </w:r>
      <w:r>
        <w:rPr>
          <w:rFonts w:ascii="Times New Roman" w:hAnsi="Times New Roman" w:eastAsia="仿宋_GB2312" w:cs="Times New Roman"/>
          <w:color w:val="000000"/>
          <w:sz w:val="32"/>
          <w:szCs w:val="28"/>
        </w:rPr>
        <w:t>和数据完整性检测平台。</w:t>
      </w:r>
    </w:p>
    <w:p w14:paraId="7381148E">
      <w:pPr>
        <w:keepNext/>
        <w:keepLines/>
        <w:pageBreakBefore/>
        <w:spacing w:before="340" w:after="240" w:line="596" w:lineRule="exact"/>
        <w:jc w:val="center"/>
        <w:outlineLvl w:val="0"/>
        <w:rPr>
          <w:rFonts w:ascii="Times New Roman" w:hAnsi="Times New Roman" w:eastAsia="方正小标宋简体" w:cs="Times New Roman"/>
          <w:color w:val="000000"/>
          <w:kern w:val="44"/>
          <w:sz w:val="36"/>
          <w:szCs w:val="36"/>
        </w:rPr>
      </w:pPr>
      <w:bookmarkStart w:id="827" w:name="_Toc24055"/>
      <w:bookmarkStart w:id="828" w:name="_Toc94308423"/>
      <w:r>
        <w:rPr>
          <w:rFonts w:ascii="Times New Roman" w:hAnsi="Times New Roman" w:eastAsia="方正小标宋简体" w:cs="Times New Roman"/>
          <w:color w:val="000000"/>
          <w:kern w:val="44"/>
          <w:sz w:val="36"/>
          <w:szCs w:val="36"/>
        </w:rPr>
        <w:t>第七章 加速基础设施新型化，牢筑网络信息安全线</w:t>
      </w:r>
      <w:bookmarkEnd w:id="827"/>
      <w:bookmarkEnd w:id="828"/>
    </w:p>
    <w:p w14:paraId="07139D3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建设高速泛在、天地一体、智能敏捷、绿色低碳、安全可控的智能化综合性数字信息基础设施，加快构建“双千兆城市”。高质量建设数据中心，构建先进智能新算力基础设施。积极推动传统基础设施升级，超前部署新型融合基础设施。聚焦工业互联网安全，提升网络安全态势感知能力。</w:t>
      </w:r>
      <w:bookmarkStart w:id="829" w:name="_Toc22552"/>
      <w:bookmarkStart w:id="830" w:name="_Toc21880"/>
      <w:bookmarkStart w:id="831" w:name="_Toc2138"/>
      <w:bookmarkStart w:id="832" w:name="_Toc86954719"/>
      <w:bookmarkStart w:id="833" w:name="_Toc1545119229"/>
      <w:bookmarkStart w:id="834" w:name="_Toc2002646010"/>
      <w:bookmarkStart w:id="835" w:name="_Toc13"/>
      <w:bookmarkStart w:id="836" w:name="_Toc486636958"/>
      <w:bookmarkStart w:id="837" w:name="_Toc5866"/>
      <w:bookmarkStart w:id="838" w:name="_Toc22844"/>
      <w:bookmarkStart w:id="839" w:name="_Toc2067144812"/>
      <w:bookmarkStart w:id="840" w:name="_Toc29751"/>
      <w:bookmarkStart w:id="841" w:name="_Toc21658"/>
      <w:bookmarkStart w:id="842" w:name="_Toc7557"/>
      <w:bookmarkStart w:id="843" w:name="_Toc31187"/>
      <w:bookmarkStart w:id="844" w:name="_Toc27532"/>
    </w:p>
    <w:p w14:paraId="10319240">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845" w:name="_Toc94308424"/>
      <w:r>
        <w:rPr>
          <w:rFonts w:ascii="Times New Roman" w:hAnsi="Times New Roman" w:eastAsia="方正黑体简体" w:cs="Times New Roman"/>
          <w:bCs/>
          <w:color w:val="000000"/>
          <w:sz w:val="32"/>
          <w:szCs w:val="32"/>
        </w:rPr>
        <w:t>第一节 超前布局新型基础设施</w:t>
      </w:r>
      <w:bookmarkEnd w:id="829"/>
      <w:bookmarkEnd w:id="845"/>
    </w:p>
    <w:p w14:paraId="712A5D79">
      <w:pPr>
        <w:spacing w:line="580" w:lineRule="exact"/>
        <w:ind w:firstLine="640" w:firstLineChars="200"/>
        <w:rPr>
          <w:rFonts w:ascii="Times New Roman" w:hAnsi="Times New Roman" w:eastAsia="黑体" w:cs="Times New Roman"/>
          <w:color w:val="000000"/>
          <w:kern w:val="0"/>
          <w:sz w:val="32"/>
          <w:szCs w:val="30"/>
          <w:lang w:val="zh-CN"/>
        </w:rPr>
      </w:pPr>
      <w:bookmarkStart w:id="846" w:name="_Toc30486"/>
      <w:r>
        <w:rPr>
          <w:rFonts w:ascii="Times New Roman" w:hAnsi="Times New Roman" w:eastAsia="黑体" w:cs="Times New Roman"/>
          <w:color w:val="000000"/>
          <w:kern w:val="0"/>
          <w:sz w:val="32"/>
          <w:szCs w:val="30"/>
          <w:lang w:val="zh-CN"/>
        </w:rPr>
        <w:t>一、统筹推进信息基础设施建设</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6"/>
    </w:p>
    <w:p w14:paraId="2639123A">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高标准建设5G+宽带“双千兆”网络。</w:t>
      </w:r>
      <w:r>
        <w:rPr>
          <w:rFonts w:ascii="Times New Roman" w:hAnsi="Times New Roman" w:eastAsia="仿宋_GB2312" w:cs="Times New Roman"/>
          <w:color w:val="000000"/>
          <w:sz w:val="32"/>
          <w:szCs w:val="28"/>
        </w:rPr>
        <w:t>加速实施新时代“数字泉州·宽带工程”行动计划，积极推进高水平全光网络建设，使泉州成为首批“双千兆城市”，到2025年累计建设5G基站超4万个，5G用户普及率达到70%，年均提高11个百分点，基本实现5G网络全市范围普遍覆盖。实施“千兆入户、万兆入楼”的光纤覆盖计划，千兆宽带家庭普及率年均提高4个百分点，到2025年达20%，互联网出口带宽达到24T，年均增长24.5%以上。</w:t>
      </w:r>
    </w:p>
    <w:p w14:paraId="2D99978A">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加快布局工业互联网集群。</w:t>
      </w:r>
      <w:r>
        <w:rPr>
          <w:rFonts w:ascii="Times New Roman" w:hAnsi="Times New Roman" w:eastAsia="仿宋_GB2312" w:cs="Times New Roman"/>
          <w:color w:val="000000"/>
          <w:sz w:val="32"/>
          <w:szCs w:val="28"/>
        </w:rPr>
        <w:t>着力推进工业互联网网络建设IP化、扁平化、柔性化技术改造与优化，推进工业企业内外网改造，加快面向重点产业、重点环节的工业互联网平台建设，建成适用于工业互联网的高可靠、广覆盖、大带宽、可定制的具备IPv6支持能力企业外网基础设施。加快推进工业互联网标识解析综合型二级节点建设，推动工业企业依托现有互联网域名系统及物联网标识系统进行升级改造，推动工业互联网提供商积极探索构建工业互联网标识解析体系，建设公共标识解析服务平台及产品信息数据库。到2025年IPv6活跃用户数达2000万户，二级节点标识注册数一期建设达2000万个，工业互联网领域进入全国领先行列。</w:t>
      </w:r>
    </w:p>
    <w:p w14:paraId="6B52D4C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加快打造空天地一体、泛在感知网络。</w:t>
      </w:r>
      <w:r>
        <w:rPr>
          <w:rFonts w:ascii="Times New Roman" w:hAnsi="Times New Roman" w:eastAsia="仿宋_GB2312" w:cs="Times New Roman"/>
          <w:color w:val="000000"/>
          <w:sz w:val="32"/>
          <w:szCs w:val="28"/>
        </w:rPr>
        <w:t>加快推进“感知泉州”建设，优化升级广电网络，大力推动“三网”融合。构建无线城域网，提升城市无线宽带接入能力和覆盖范围。加快NB-IoT/eMTC移动物联网部署，推进物联网络深度全域覆盖，加快推进城市物联网感知平台建设，到2025年底，建成NB-IoT基站数2万个，物联网终端用户数达1750万个，打造千亿级物联网产业集聚区。继续推进“151”卫星应用创新示范工程建设，加速数字福建（安溪）产业园全球商业遥感卫星地面接收站网建设，推动卫星互联网基础设施建设，推进太空云节点及北斗网格时空框架基础设施建设，加速打造一套融合遥感卫星、高低空无人机以及地面系统空天地一体化、泛在感知的新型网络。</w:t>
      </w:r>
    </w:p>
    <w:p w14:paraId="7A4591F7">
      <w:pPr>
        <w:spacing w:line="580" w:lineRule="exact"/>
        <w:ind w:firstLine="640" w:firstLineChars="200"/>
        <w:rPr>
          <w:rFonts w:ascii="Times New Roman" w:hAnsi="Times New Roman" w:eastAsia="黑体" w:cs="Times New Roman"/>
          <w:color w:val="000000"/>
          <w:kern w:val="0"/>
          <w:sz w:val="32"/>
          <w:szCs w:val="30"/>
          <w:lang w:val="zh-CN"/>
        </w:rPr>
      </w:pPr>
      <w:bookmarkStart w:id="847" w:name="_Toc9395"/>
      <w:bookmarkStart w:id="848" w:name="_Toc19657"/>
      <w:bookmarkStart w:id="849" w:name="_Toc17133"/>
      <w:bookmarkStart w:id="850" w:name="_Toc26175"/>
      <w:bookmarkStart w:id="851" w:name="_Toc197591747"/>
      <w:bookmarkStart w:id="852" w:name="_Toc22013"/>
      <w:bookmarkStart w:id="853" w:name="_Toc12554"/>
      <w:bookmarkStart w:id="854" w:name="_Toc933"/>
      <w:bookmarkStart w:id="855" w:name="_Toc1285696299"/>
      <w:bookmarkStart w:id="856" w:name="_Toc86954720"/>
      <w:bookmarkStart w:id="857" w:name="_Toc2228"/>
      <w:bookmarkStart w:id="858" w:name="_Toc31638"/>
      <w:bookmarkStart w:id="859" w:name="_Toc514244343"/>
      <w:bookmarkStart w:id="860" w:name="_Toc1874196776"/>
      <w:bookmarkStart w:id="861" w:name="_Toc184"/>
      <w:bookmarkStart w:id="862" w:name="_Toc15903"/>
      <w:r>
        <w:rPr>
          <w:rFonts w:ascii="Times New Roman" w:hAnsi="Times New Roman" w:eastAsia="黑体" w:cs="Times New Roman"/>
          <w:color w:val="000000"/>
          <w:kern w:val="0"/>
          <w:sz w:val="32"/>
          <w:szCs w:val="30"/>
          <w:lang w:val="zh-CN"/>
        </w:rPr>
        <w:t>二、加快推进融合基础设施建设</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40D52085">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积极推动传统基础设施升级。</w:t>
      </w:r>
      <w:r>
        <w:rPr>
          <w:rFonts w:ascii="Times New Roman" w:hAnsi="Times New Roman" w:eastAsia="仿宋_GB2312" w:cs="Times New Roman"/>
          <w:color w:val="000000"/>
          <w:sz w:val="32"/>
          <w:szCs w:val="28"/>
        </w:rPr>
        <w:t>深度应用互联网、人工智能等技术，加快推进传统基础设施数字化、智能化改造。深入开展市政基础设施普查，实施在城市交通、道路、桥梁、灯杆、井盖、地下管线、供排水、供电、燃气等基础设施互联化、智能化改造；推动“多杆合一、一杆多用”建设标准落地，全面推进铁塔、路灯、监控杆、交通指示等各类资源的共享。推动“城市天眼”项目建设，通过“基站杆塔+高空监控+智能分析+自动预警”模式，集约高效支撑城市管理工作智能化、自动化。</w:t>
      </w:r>
    </w:p>
    <w:p w14:paraId="5BFC3FE8">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超前部署新型融合基础设施。</w:t>
      </w:r>
      <w:r>
        <w:rPr>
          <w:rFonts w:ascii="Times New Roman" w:hAnsi="Times New Roman" w:eastAsia="仿宋_GB2312" w:cs="Times New Roman"/>
          <w:color w:val="000000"/>
          <w:sz w:val="32"/>
          <w:szCs w:val="28"/>
        </w:rPr>
        <w:t>提前谋划智慧能源基础设施建设，超前部署5G+特高压变电站等新型能源基础设施建设。提升市级充电基础设施数字化水平，统筹规划县（市、区）智慧充电桩及充电桩运行平台建设，实现与市级智慧充电桩运行平台分区对接，建设覆盖全市主城区的一体化“互联网+”智能充电设施。加快推进智能交通基础设施建设，加快建设可以支持高级别自动驾驶运行（L4级别以上）的高可靠、低时延网络及路侧智能感知设备等智能交通基础设施。推进数字福建（安溪）产业园等优势地区“5G+车联网”建设。</w:t>
      </w:r>
    </w:p>
    <w:p w14:paraId="62270F9F">
      <w:pPr>
        <w:spacing w:line="580" w:lineRule="exact"/>
        <w:ind w:firstLine="640" w:firstLineChars="200"/>
        <w:rPr>
          <w:rFonts w:ascii="Times New Roman" w:hAnsi="Times New Roman" w:eastAsia="黑体" w:cs="Times New Roman"/>
          <w:color w:val="000000"/>
          <w:kern w:val="0"/>
          <w:sz w:val="32"/>
          <w:szCs w:val="30"/>
          <w:lang w:val="zh-CN"/>
        </w:rPr>
      </w:pPr>
      <w:bookmarkStart w:id="863" w:name="_Toc238087962"/>
      <w:bookmarkStart w:id="864" w:name="_Toc19058"/>
      <w:bookmarkStart w:id="865" w:name="_Toc1268"/>
      <w:bookmarkStart w:id="866" w:name="_Toc6098"/>
      <w:bookmarkStart w:id="867" w:name="_Toc32652"/>
      <w:bookmarkStart w:id="868" w:name="_Toc23043"/>
      <w:bookmarkStart w:id="869" w:name="_Toc1750981623"/>
      <w:bookmarkStart w:id="870" w:name="_Toc24676"/>
      <w:bookmarkStart w:id="871" w:name="_Toc17210"/>
      <w:bookmarkStart w:id="872" w:name="_Toc1453319421"/>
      <w:bookmarkStart w:id="873" w:name="_Toc5103"/>
      <w:bookmarkStart w:id="874" w:name="_Toc11065"/>
      <w:bookmarkStart w:id="875" w:name="_Toc12835"/>
      <w:bookmarkStart w:id="876" w:name="_Toc138748158"/>
      <w:bookmarkStart w:id="877" w:name="_Toc24835"/>
      <w:bookmarkStart w:id="878" w:name="_Toc210"/>
      <w:bookmarkStart w:id="879" w:name="_Toc81425802"/>
      <w:bookmarkStart w:id="880" w:name="_Toc86954722"/>
      <w:r>
        <w:rPr>
          <w:rFonts w:ascii="Times New Roman" w:hAnsi="Times New Roman" w:eastAsia="黑体" w:cs="Times New Roman"/>
          <w:color w:val="000000"/>
          <w:kern w:val="0"/>
          <w:sz w:val="32"/>
          <w:szCs w:val="30"/>
          <w:lang w:val="zh-CN"/>
        </w:rPr>
        <w:t>三、加快布局创新基础设施建设</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1B8E5DB5">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培育壮大一批科创平台、创新中心。</w:t>
      </w:r>
      <w:r>
        <w:rPr>
          <w:rFonts w:ascii="Times New Roman" w:hAnsi="Times New Roman" w:eastAsia="仿宋_GB2312" w:cs="Times New Roman"/>
          <w:color w:val="000000"/>
          <w:sz w:val="32"/>
          <w:szCs w:val="28"/>
        </w:rPr>
        <w:t>支持中科院海西研究院泉州装备所、国科大智能制造学院、福大科教园、天津大学泉州集成电路及人工智能研究院、华中科大智能制造研究院、哈工大工程技术研究院等重大创新平台发挥协同创新引领作用。高标准建设清源创新实验室争创国家级创新平台。推进重大科技基础设施建设，以引进中科院国家授时中心为支撑，高标准建设高精度地基授时系统泉州站（大科学装置）。推动北京大学智能计算（泉州）研究院与北京大学北斗数码（泉州）创新实验室建设。加快中国（泉州）知识产权保护中心落地建设，建成全省首个“国家级知识产权保护中心”。全市每年新增高新技术企业近500家，到2025年达3500家；提高每万人口发明专利拥有量，到2025年达20件以上。</w:t>
      </w:r>
    </w:p>
    <w:p w14:paraId="4615A784">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
          <w:color w:val="000000"/>
          <w:sz w:val="32"/>
          <w:szCs w:val="28"/>
        </w:rPr>
        <w:t>构建先进智能算力基础设施。</w:t>
      </w:r>
      <w:r>
        <w:rPr>
          <w:rFonts w:ascii="Times New Roman" w:hAnsi="Times New Roman" w:eastAsia="仿宋_GB2312" w:cs="Times New Roman"/>
          <w:color w:val="000000"/>
          <w:sz w:val="32"/>
          <w:szCs w:val="28"/>
        </w:rPr>
        <w:t>高起点、高标准、高质量建设数据中心，持续推动数字福建（安溪）产业园、电信天翼云平台、移动云平台、联通云计算产业园等一批商用云平台建设，积极参与闽西南协同区数据中心和存算资源协同布局，建设成为闽西南协同发展区最主要数据中心和数字福建大数据中心的核心骨干节点。统筹推进边缘计算资源池节点规划布局，加快泉州本地先进计算中心和公用密码池等具备共享算力服务功能的数字基础设施建设。进一步增强泉州市政务云、医疗云、工业云等行业专属云、5GMEC边缘计算云、CDN边缘加速云等边缘云节点服务能力。争取数据中心总算力年均增长30.5%以上，到2025年达到1.8EFLOPS（百亿亿次级计算），全市形成布局合理、技术先进、智能敏捷、绿色低碳、算力规模与数字经济增长相适应的新型数据中心发展格局。</w:t>
      </w:r>
    </w:p>
    <w:tbl>
      <w:tblPr>
        <w:tblStyle w:val="24"/>
        <w:tblpPr w:leftFromText="180" w:rightFromText="180" w:vertAnchor="text" w:horzAnchor="page" w:tblpX="1984"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14:paraId="3747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642" w:type="dxa"/>
          </w:tcPr>
          <w:p w14:paraId="03BC57DE">
            <w:pPr>
              <w:widowControl/>
              <w:numPr>
                <w:ilvl w:val="0"/>
                <w:numId w:val="1"/>
              </w:numPr>
              <w:spacing w:line="600" w:lineRule="exact"/>
              <w:jc w:val="center"/>
              <w:rPr>
                <w:rFonts w:ascii="Times New Roman" w:hAnsi="Times New Roman" w:eastAsia="仿宋_GB2312" w:cs="Times New Roman"/>
                <w:color w:val="000000"/>
                <w:kern w:val="0"/>
                <w:sz w:val="30"/>
                <w:szCs w:val="30"/>
              </w:rPr>
            </w:pPr>
            <w:r>
              <w:rPr>
                <w:rFonts w:hint="eastAsia" w:ascii="Times New Roman" w:hAnsi="Times New Roman" w:eastAsia="楷体_GB2312" w:cs="Times New Roman"/>
                <w:b/>
                <w:color w:val="000000"/>
                <w:sz w:val="28"/>
                <w:szCs w:val="28"/>
              </w:rPr>
              <w:t>算力基础设施建设工程</w:t>
            </w:r>
          </w:p>
        </w:tc>
      </w:tr>
      <w:tr w14:paraId="16FE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tcPr>
          <w:p w14:paraId="50C8C503">
            <w:pPr>
              <w:spacing w:line="600" w:lineRule="exact"/>
              <w:ind w:firstLine="560" w:firstLineChars="200"/>
              <w:contextualSpacing/>
              <w:rPr>
                <w:rFonts w:ascii="Times New Roman" w:hAnsi="Times New Roman" w:eastAsia="华文仿宋" w:cs="Times New Roman"/>
                <w:color w:val="000000"/>
                <w:sz w:val="28"/>
                <w:szCs w:val="28"/>
              </w:rPr>
            </w:pPr>
            <w:r>
              <w:rPr>
                <w:rFonts w:ascii="Times New Roman" w:hAnsi="Times New Roman" w:eastAsia="仿宋_GB2312" w:cs="Times New Roman"/>
                <w:color w:val="000000"/>
                <w:sz w:val="28"/>
                <w:szCs w:val="28"/>
              </w:rPr>
              <w:t>积极推动“中国电信泉州分公司数据中心”建设，扩容中国电信集团云战略全国“2+31+X”的重要云计算节点，建成后将能提供5万核vCPU算力资源及5000T存储资源；积极推动安溪“中国移动数据中心”建设，丰泽“中国移动泉州分公司城东数据中心”建设，扩容计算能力3000vCPU。积极推动安溪“中国联通数据中心”建设，布局新“沃云”骨干云池+MEC边缘云，提升云网一体能力，至2025年算力达到14万核vCPU。至2025年，三大运营商计划投资超3.6亿元开展边缘计算资源池节点建设，建设市、县、端三级边缘计算节点，建设市县城区、重点乡镇、重点园区等重点区域5G+边缘计算分节点，边缘节点达到100+。积极推动数字福建（安溪）产业园与中信科、大唐、汉唐智华等合作建设、运营产业园，开展数据中心扩容建设，力争2025年数据中心达到2万个机柜规模。构建“光谷云（安溪）渲染牧场”；积极推动泉州先进计算中心项目建设，建设超10万台服务器的大规模超算中心。</w:t>
            </w:r>
          </w:p>
        </w:tc>
      </w:tr>
    </w:tbl>
    <w:p w14:paraId="60979A8A">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881" w:name="_Toc1650020677"/>
      <w:bookmarkStart w:id="882" w:name="_Toc13080"/>
      <w:bookmarkStart w:id="883" w:name="_Toc11331"/>
      <w:bookmarkStart w:id="884" w:name="_Toc94308425"/>
      <w:bookmarkStart w:id="885" w:name="_Toc22487"/>
      <w:bookmarkStart w:id="886" w:name="_Toc22314"/>
      <w:bookmarkStart w:id="887" w:name="_Toc28061"/>
      <w:bookmarkStart w:id="888" w:name="_Toc1250126375"/>
      <w:bookmarkStart w:id="889" w:name="_Toc3544"/>
      <w:bookmarkStart w:id="890" w:name="_Toc13357"/>
      <w:bookmarkStart w:id="891" w:name="_Toc814154022"/>
      <w:bookmarkStart w:id="892" w:name="_Toc9002"/>
      <w:bookmarkStart w:id="893" w:name="_Toc28028"/>
      <w:bookmarkStart w:id="894" w:name="_Toc27488"/>
      <w:bookmarkStart w:id="895" w:name="_Toc871233344"/>
      <w:bookmarkStart w:id="896" w:name="_Toc17601"/>
      <w:r>
        <w:rPr>
          <w:rFonts w:ascii="Times New Roman" w:hAnsi="Times New Roman" w:eastAsia="方正黑体简体" w:cs="Times New Roman"/>
          <w:bCs/>
          <w:color w:val="000000"/>
          <w:sz w:val="32"/>
          <w:szCs w:val="32"/>
        </w:rPr>
        <w:t>第二节 完善信息安全基础设施</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76C6909">
      <w:pPr>
        <w:spacing w:line="580" w:lineRule="exact"/>
        <w:ind w:firstLine="640" w:firstLineChars="200"/>
        <w:rPr>
          <w:rFonts w:ascii="Times New Roman" w:hAnsi="Times New Roman" w:eastAsia="黑体" w:cs="Times New Roman"/>
          <w:color w:val="000000"/>
          <w:kern w:val="0"/>
          <w:sz w:val="32"/>
          <w:szCs w:val="30"/>
          <w:lang w:val="zh-CN"/>
        </w:rPr>
      </w:pPr>
      <w:bookmarkStart w:id="897" w:name="_Toc20659"/>
      <w:bookmarkStart w:id="898" w:name="_Toc15293"/>
      <w:bookmarkStart w:id="899" w:name="_Toc1203684013"/>
      <w:bookmarkStart w:id="900" w:name="_Toc16946"/>
      <w:bookmarkStart w:id="901" w:name="_Toc13809"/>
      <w:bookmarkStart w:id="902" w:name="_Toc456028360"/>
      <w:bookmarkStart w:id="903" w:name="_Toc343"/>
      <w:bookmarkStart w:id="904" w:name="_Toc16967"/>
      <w:bookmarkStart w:id="905" w:name="_Toc663605460"/>
      <w:bookmarkStart w:id="906" w:name="_Toc8924"/>
      <w:bookmarkStart w:id="907" w:name="_Toc26974"/>
      <w:bookmarkStart w:id="908" w:name="_Toc17857"/>
      <w:bookmarkStart w:id="909" w:name="_Toc4285"/>
      <w:bookmarkStart w:id="910" w:name="_Toc27425"/>
      <w:bookmarkStart w:id="911" w:name="_Toc86954723"/>
      <w:bookmarkStart w:id="912" w:name="_Toc1244553431"/>
      <w:bookmarkStart w:id="913" w:name="_Toc27798"/>
      <w:bookmarkStart w:id="914" w:name="_Toc81425803"/>
      <w:r>
        <w:rPr>
          <w:rFonts w:ascii="Times New Roman" w:hAnsi="Times New Roman" w:eastAsia="黑体" w:cs="Times New Roman"/>
          <w:color w:val="000000"/>
          <w:kern w:val="0"/>
          <w:sz w:val="32"/>
          <w:szCs w:val="30"/>
          <w:lang w:val="zh-CN"/>
        </w:rPr>
        <w:t>一、构建自主可控信息安全防线</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7ABCC98D">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全面实施安全可信、自主可控的网络信息安全战略举措，加快推进信创工程，推进重要政务信息系统国密改造，实现数字政府建设中的国产化替换。加快信创政务云建设，落实市级政务数据中心、市汇聚共享平台的安全等级保护及风险评估工作，加强对迁移、接入的信息系统、政务数据的安全保障。基于自主可控核心技术，不断完善政务云平台密码应用、大数据安全、中间件、云灾备等能力，确保上云信息系统安全稳定运行。执行网络安全审查制度，及早发现、并避免采购产品和服务给关键信息基础设施运行带来风险和危害，保障关键信息基础设施供应链安全，维护国家安全。围绕发展可信计算技术、筑牢网络安全防线，保障信息系统安全的重要阵地和最后一道防线。</w:t>
      </w:r>
    </w:p>
    <w:p w14:paraId="14C21625">
      <w:pPr>
        <w:spacing w:line="580" w:lineRule="exact"/>
        <w:ind w:firstLine="640" w:firstLineChars="200"/>
        <w:rPr>
          <w:rFonts w:ascii="Times New Roman" w:hAnsi="Times New Roman" w:eastAsia="黑体" w:cs="Times New Roman"/>
          <w:color w:val="000000"/>
          <w:kern w:val="0"/>
          <w:sz w:val="32"/>
          <w:szCs w:val="30"/>
          <w:lang w:val="zh-CN"/>
        </w:rPr>
      </w:pPr>
      <w:bookmarkStart w:id="915" w:name="_Toc21536"/>
      <w:bookmarkStart w:id="916" w:name="_Toc1239335793"/>
      <w:bookmarkStart w:id="917" w:name="_Toc16874"/>
      <w:bookmarkStart w:id="918" w:name="_Toc9565"/>
      <w:bookmarkStart w:id="919" w:name="_Toc135692206"/>
      <w:bookmarkStart w:id="920" w:name="_Toc86954724"/>
      <w:bookmarkStart w:id="921" w:name="_Toc6415"/>
      <w:bookmarkStart w:id="922" w:name="_Toc30786"/>
      <w:bookmarkStart w:id="923" w:name="_Toc54798279"/>
      <w:bookmarkStart w:id="924" w:name="_Toc5196"/>
      <w:bookmarkStart w:id="925" w:name="_Toc8829"/>
      <w:bookmarkStart w:id="926" w:name="_Toc20683"/>
      <w:bookmarkStart w:id="927" w:name="_Toc25239"/>
      <w:bookmarkStart w:id="928" w:name="_Toc30187"/>
      <w:bookmarkStart w:id="929" w:name="_Toc16319"/>
      <w:bookmarkStart w:id="930" w:name="_Toc843534508"/>
      <w:bookmarkStart w:id="931" w:name="_Toc725873195"/>
      <w:bookmarkStart w:id="932" w:name="_Toc81425804"/>
      <w:bookmarkStart w:id="933" w:name="_Toc12566"/>
      <w:r>
        <w:rPr>
          <w:rFonts w:ascii="Times New Roman" w:hAnsi="Times New Roman" w:eastAsia="黑体" w:cs="Times New Roman"/>
          <w:color w:val="000000"/>
          <w:kern w:val="0"/>
          <w:sz w:val="32"/>
          <w:szCs w:val="30"/>
          <w:lang w:val="zh-CN"/>
        </w:rPr>
        <w:t>二、强化网络数据资源安全保护</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051C056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推动数据安全监管体系建设，完善适用于政务大数据环境下的数据分类分级安全保护制度，加强对政务数据、企业商业秘密和个人数据的保护。强化数据防窃密、防篡改、防泄露、数据脱敏、数据审计、数据备份、加密认证、流动追溯等方面安全部署，实施工业互联网和政务云平台等重要业务系统国密改造工作。严格执行网站备案审核，加大对工业互联网、数据中心等关键信息基础设施等级保护定级备案，强化平台和工业应用程序（APP）安全，到2025年，基本建立起较为完备可靠、安全可信的工业互联网安全保障体系。</w:t>
      </w:r>
    </w:p>
    <w:p w14:paraId="0FBCB05C">
      <w:pPr>
        <w:spacing w:line="580" w:lineRule="exact"/>
        <w:ind w:firstLine="640" w:firstLineChars="200"/>
        <w:rPr>
          <w:rFonts w:ascii="Times New Roman" w:hAnsi="Times New Roman" w:eastAsia="黑体" w:cs="Times New Roman"/>
          <w:color w:val="000000"/>
          <w:kern w:val="0"/>
          <w:sz w:val="32"/>
          <w:szCs w:val="30"/>
          <w:lang w:val="zh-CN"/>
        </w:rPr>
      </w:pPr>
      <w:bookmarkStart w:id="934" w:name="_Toc32389"/>
      <w:bookmarkStart w:id="935" w:name="_Toc28370"/>
      <w:bookmarkStart w:id="936" w:name="_Toc25432"/>
      <w:bookmarkStart w:id="937" w:name="_Toc18343"/>
      <w:bookmarkStart w:id="938" w:name="_Toc54798281"/>
      <w:bookmarkStart w:id="939" w:name="_Toc81425805"/>
      <w:bookmarkStart w:id="940" w:name="_Toc6289"/>
      <w:bookmarkStart w:id="941" w:name="_Toc14098"/>
      <w:bookmarkStart w:id="942" w:name="_Toc5014"/>
      <w:bookmarkStart w:id="943" w:name="_Toc29894"/>
      <w:bookmarkStart w:id="944" w:name="_Toc1730370276"/>
      <w:bookmarkStart w:id="945" w:name="_Toc10057"/>
      <w:bookmarkStart w:id="946" w:name="_Toc368"/>
      <w:bookmarkStart w:id="947" w:name="_Toc18958"/>
      <w:bookmarkStart w:id="948" w:name="_Toc86954725"/>
      <w:bookmarkStart w:id="949" w:name="_Toc921491826"/>
      <w:bookmarkStart w:id="950" w:name="_Toc8667"/>
      <w:bookmarkStart w:id="951" w:name="_Toc229415352"/>
      <w:bookmarkStart w:id="952" w:name="_Toc1098351927"/>
      <w:r>
        <w:rPr>
          <w:rFonts w:ascii="Times New Roman" w:hAnsi="Times New Roman" w:eastAsia="黑体" w:cs="Times New Roman"/>
          <w:color w:val="000000"/>
          <w:kern w:val="0"/>
          <w:sz w:val="32"/>
          <w:szCs w:val="30"/>
          <w:lang w:val="zh-CN"/>
        </w:rPr>
        <w:t>三、提升网络安全态势感知能力</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3858E0DE">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建设覆盖全市的网络安全监测预警平台，提高网络信息重大风险识别能力，建立健全网络信息安全事件的预警、研判和应急处置机制。增强网络安全态势分析与预测能力，对硬件设施、服务应用等进行全面感知。建设集风险报告、情报共享、研判处置为一体的市级网络安全管理中心，加快建设情报信息多级协同处置系统、网络信息风险预警感知系统、网络综合治理联动巡查系统等，准确掌握网络安全风险发生的规律、动向、趋势，及时发现和修补技术漏洞等安全隐患。建立网络安全信息共享机制，依托互联网、大数据等技术，实现网络安全信息数据动态采集和有效存储，探索构建省市、县联动的网络安全信息共享机制。</w:t>
      </w:r>
    </w:p>
    <w:p w14:paraId="4D21862B">
      <w:pPr>
        <w:keepNext/>
        <w:keepLines/>
        <w:pageBreakBefore/>
        <w:spacing w:before="340" w:after="240" w:line="596" w:lineRule="exact"/>
        <w:jc w:val="center"/>
        <w:outlineLvl w:val="0"/>
        <w:rPr>
          <w:rFonts w:ascii="Times New Roman" w:hAnsi="Times New Roman" w:eastAsia="方正小标宋简体" w:cs="Times New Roman"/>
          <w:color w:val="000000"/>
          <w:kern w:val="44"/>
          <w:sz w:val="36"/>
          <w:szCs w:val="36"/>
        </w:rPr>
      </w:pPr>
      <w:bookmarkStart w:id="953" w:name="_Toc1129"/>
      <w:bookmarkStart w:id="954" w:name="_Toc13650"/>
      <w:bookmarkStart w:id="955" w:name="_Toc6964"/>
      <w:bookmarkStart w:id="956" w:name="_Toc86954726"/>
      <w:bookmarkStart w:id="957" w:name="_Toc94308426"/>
      <w:bookmarkStart w:id="958" w:name="_Toc23432"/>
      <w:bookmarkStart w:id="959" w:name="_Toc1596"/>
      <w:bookmarkStart w:id="960" w:name="_Toc8743"/>
      <w:bookmarkStart w:id="961" w:name="_Toc843419056"/>
      <w:bookmarkStart w:id="962" w:name="_Toc1821394901"/>
      <w:bookmarkStart w:id="963" w:name="_Toc11356"/>
      <w:bookmarkStart w:id="964" w:name="_Toc81425806"/>
      <w:bookmarkStart w:id="965" w:name="_Toc1085405226"/>
      <w:bookmarkStart w:id="966" w:name="_Toc17801"/>
      <w:bookmarkStart w:id="967" w:name="_Toc5279"/>
      <w:bookmarkStart w:id="968" w:name="_Toc29231"/>
      <w:bookmarkStart w:id="969" w:name="_Toc860"/>
      <w:bookmarkStart w:id="970" w:name="_Toc25287"/>
      <w:bookmarkStart w:id="971" w:name="_Toc159845490"/>
      <w:r>
        <w:rPr>
          <w:rFonts w:ascii="Times New Roman" w:hAnsi="Times New Roman" w:eastAsia="方正小标宋简体" w:cs="Times New Roman"/>
          <w:color w:val="000000"/>
          <w:kern w:val="44"/>
          <w:sz w:val="36"/>
          <w:szCs w:val="36"/>
        </w:rPr>
        <w:t>第八章 保障措施</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14CFCBFA">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972" w:name="_Toc94308427"/>
      <w:bookmarkStart w:id="973" w:name="_Toc18289"/>
      <w:bookmarkStart w:id="974" w:name="_Toc32685"/>
      <w:bookmarkStart w:id="975" w:name="_Toc7485"/>
      <w:bookmarkStart w:id="976" w:name="_Toc14275"/>
      <w:bookmarkStart w:id="977" w:name="_Toc1770"/>
      <w:bookmarkStart w:id="978" w:name="_Toc10992"/>
      <w:bookmarkStart w:id="979" w:name="_Toc172180412"/>
      <w:bookmarkStart w:id="980" w:name="_Toc14544"/>
      <w:bookmarkStart w:id="981" w:name="_Toc73548502"/>
      <w:bookmarkStart w:id="982" w:name="_Toc22673"/>
      <w:bookmarkStart w:id="983" w:name="_Toc1152"/>
      <w:bookmarkStart w:id="984" w:name="_Toc17054"/>
      <w:bookmarkStart w:id="985" w:name="_Toc930472715"/>
      <w:bookmarkStart w:id="986" w:name="_Toc8577"/>
      <w:bookmarkStart w:id="987" w:name="_Toc281717624"/>
      <w:bookmarkStart w:id="988" w:name="_Toc86954727"/>
      <w:bookmarkStart w:id="989" w:name="_Toc1835966691"/>
      <w:bookmarkStart w:id="990" w:name="_Toc81425807"/>
      <w:bookmarkStart w:id="991" w:name="_Toc26675"/>
      <w:r>
        <w:rPr>
          <w:rFonts w:ascii="Times New Roman" w:hAnsi="Times New Roman" w:eastAsia="方正黑体简体" w:cs="Times New Roman"/>
          <w:bCs/>
          <w:color w:val="000000"/>
          <w:sz w:val="32"/>
          <w:szCs w:val="32"/>
        </w:rPr>
        <w:t>第一节 加强组织领导，健全统筹协调机制</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0778FE17">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在市委、市政府的统一领导下，建立健全适应新时代、新发展、新方位的信息化体制机制。加强市数字泉州建设领导小组统一领导，全面统筹推进数字泉州建设。信息化建设项目由数字泉州建设领导小组统一规划、统筹管理、统一审批、整合共享，相关部门分工负责，形成信息化建设统筹协调、相互配合、相互支持、合力推进的新局面。各级各部门要加强领导，将信息化建设列入重要议事日程和考核内容，确定分管领导和责任人员，明确目标任务，精心组织实施，确保认识到位、责任到位、措施到位、投入到位。形成县（市、区）信息化统一规划、统一标准、统一运维和数据、资金、人员、技术集中管理的新局面。市数字办要发挥统筹作用，协调各地各部门建立纵向衔接、横向协同、共建共享机制；指导各地各部门落实数字泉州各项建设任务和政策措施，并组织对任务落实情况进行督导检查。充分发挥数字泉州专家委员会等智库作用，完善决策咨询制度，强化规划编制、政策研究、项目评估等智力支持。</w:t>
      </w:r>
    </w:p>
    <w:p w14:paraId="7BE64917">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992" w:name="_Toc10663"/>
      <w:bookmarkStart w:id="993" w:name="_Toc3081"/>
      <w:bookmarkStart w:id="994" w:name="_Toc86954728"/>
      <w:bookmarkStart w:id="995" w:name="_Toc73548503"/>
      <w:bookmarkStart w:id="996" w:name="_Toc16088"/>
      <w:bookmarkStart w:id="997" w:name="_Toc15086"/>
      <w:bookmarkStart w:id="998" w:name="_Toc13445"/>
      <w:bookmarkStart w:id="999" w:name="_Toc7161"/>
      <w:bookmarkStart w:id="1000" w:name="_Toc94308428"/>
      <w:bookmarkStart w:id="1001" w:name="_Toc54798284"/>
      <w:bookmarkStart w:id="1002" w:name="_Toc478788043"/>
      <w:bookmarkStart w:id="1003" w:name="_Toc6713"/>
      <w:bookmarkStart w:id="1004" w:name="_Toc8239"/>
      <w:bookmarkStart w:id="1005" w:name="_Toc866738262"/>
      <w:bookmarkStart w:id="1006" w:name="_Toc81425808"/>
      <w:bookmarkStart w:id="1007" w:name="_Toc7636"/>
      <w:bookmarkStart w:id="1008" w:name="_Toc1903021935"/>
      <w:bookmarkStart w:id="1009" w:name="_Toc16960"/>
      <w:bookmarkStart w:id="1010" w:name="_Toc185629920"/>
      <w:bookmarkStart w:id="1011" w:name="_Toc14795"/>
      <w:bookmarkStart w:id="1012" w:name="_Toc7214"/>
      <w:r>
        <w:rPr>
          <w:rFonts w:ascii="Times New Roman" w:hAnsi="Times New Roman" w:eastAsia="方正黑体简体" w:cs="Times New Roman"/>
          <w:bCs/>
          <w:color w:val="000000"/>
          <w:sz w:val="32"/>
          <w:szCs w:val="32"/>
        </w:rPr>
        <w:t>第二节 注重培养培训，加强人才队伍建设</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6741066F">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深化人才发展体制机制改革，全面落实人才“港湾计划”，拓宽引进海内外信息化领域人才的“绿色通道”。加快推进泉州数字研究院建设，重点培养数字经济等数字技术人才；提高各级领导干部数字经济思维能力和专业素质，提高全民全社会数字素养和技能，夯实我市数字经济发展社会基础。整合高校、科研院所等人才资源，组建数字化专家咨询团队，提升数字经济核心竞争力。引进、培养、集聚一批数字经济顶尖人才，数字战略管理人才，物联网、集成电路、大数据、人工智能、区块链等数字研发设计人才，数字营销和运营人才。将数字经济人才列入泉州紧缺急需人才引进指导目录，创新人才建设与引进机制，构建人才柔性流动机制，打造人才聚集新高地。</w:t>
      </w:r>
    </w:p>
    <w:p w14:paraId="1BF8C2AF">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1013" w:name="_Toc29962"/>
      <w:bookmarkStart w:id="1014" w:name="_Toc985"/>
      <w:bookmarkStart w:id="1015" w:name="_Toc16006"/>
      <w:bookmarkStart w:id="1016" w:name="_Toc81425809"/>
      <w:bookmarkStart w:id="1017" w:name="_Toc20435"/>
      <w:bookmarkStart w:id="1018" w:name="_Toc1672726213"/>
      <w:bookmarkStart w:id="1019" w:name="_Toc94308429"/>
      <w:bookmarkStart w:id="1020" w:name="_Toc121888741"/>
      <w:bookmarkStart w:id="1021" w:name="_Toc23879"/>
      <w:bookmarkStart w:id="1022" w:name="_Toc12771"/>
      <w:bookmarkStart w:id="1023" w:name="_Toc54798285"/>
      <w:bookmarkStart w:id="1024" w:name="_Toc73548504"/>
      <w:bookmarkStart w:id="1025" w:name="_Toc2359"/>
      <w:bookmarkStart w:id="1026" w:name="_Toc272"/>
      <w:bookmarkStart w:id="1027" w:name="_Toc25809"/>
      <w:bookmarkStart w:id="1028" w:name="_Toc12949"/>
      <w:bookmarkStart w:id="1029" w:name="_Toc26916"/>
      <w:bookmarkStart w:id="1030" w:name="_Toc838739123"/>
      <w:bookmarkStart w:id="1031" w:name="_Toc1183154987"/>
      <w:bookmarkStart w:id="1032" w:name="_Toc1997"/>
      <w:bookmarkStart w:id="1033" w:name="_Toc86954729"/>
      <w:r>
        <w:rPr>
          <w:rFonts w:ascii="Times New Roman" w:hAnsi="Times New Roman" w:eastAsia="方正黑体简体" w:cs="Times New Roman"/>
          <w:bCs/>
          <w:color w:val="000000"/>
          <w:sz w:val="32"/>
          <w:szCs w:val="32"/>
        </w:rPr>
        <w:t>第三节 强化监督管理，建立考核评估制度</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7B0ABDA6">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建立健全考核机制，将各级各部门数字泉州建设相关工作推进情况纳入市政府目标管理绩效考核范畴，以应用效果和人民满意度为评价主线，坚持客观、公正、科学、规范原则，对数字泉州建设、应用、运维、管理等方面进行综合、全面考察与评价，并建立有效激励机制。强化监督管理，推行“智慧监督”，将纪检监察监督、效能检查监督、审批服务监督、行业部门监督、社会公众监督与“大数据”监督深度融合，明确任务分工，对市、县两级有关部门的落实情况进行跟踪分析和督促检查，为进一步深化“互联网+政务服务”和“放管服”改革提供有力支撑和保障。</w:t>
      </w:r>
    </w:p>
    <w:p w14:paraId="1A545769">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1034" w:name="_Toc28916"/>
      <w:bookmarkStart w:id="1035" w:name="_Toc755"/>
      <w:bookmarkStart w:id="1036" w:name="_Toc94308430"/>
      <w:bookmarkStart w:id="1037" w:name="_Toc1619838571"/>
      <w:bookmarkStart w:id="1038" w:name="_Toc17849"/>
      <w:bookmarkStart w:id="1039" w:name="_Toc22907"/>
      <w:bookmarkStart w:id="1040" w:name="_Toc54798286"/>
      <w:bookmarkStart w:id="1041" w:name="_Toc12430"/>
      <w:bookmarkStart w:id="1042" w:name="_Toc86954730"/>
      <w:bookmarkStart w:id="1043" w:name="_Toc11687"/>
      <w:bookmarkStart w:id="1044" w:name="_Toc81425810"/>
      <w:bookmarkStart w:id="1045" w:name="_Toc73548505"/>
      <w:bookmarkStart w:id="1046" w:name="_Toc28968"/>
      <w:bookmarkStart w:id="1047" w:name="_Toc1298121749"/>
      <w:bookmarkStart w:id="1048" w:name="_Toc27832"/>
      <w:bookmarkStart w:id="1049" w:name="_Toc30636"/>
      <w:bookmarkStart w:id="1050" w:name="_Toc25573"/>
      <w:bookmarkStart w:id="1051" w:name="_Toc166839862"/>
      <w:bookmarkStart w:id="1052" w:name="_Toc1639"/>
      <w:bookmarkStart w:id="1053" w:name="_Toc30802745"/>
      <w:bookmarkStart w:id="1054" w:name="_Toc8363"/>
      <w:r>
        <w:rPr>
          <w:rFonts w:ascii="Times New Roman" w:hAnsi="Times New Roman" w:eastAsia="方正黑体简体" w:cs="Times New Roman"/>
          <w:bCs/>
          <w:color w:val="000000"/>
          <w:sz w:val="32"/>
          <w:szCs w:val="32"/>
        </w:rPr>
        <w:t>第四节 拓宽投入渠道，统筹资金使用管理</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3243EE1F">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强财政资金支持，统筹整合全市信息化建设、电子政务等财政资金，建立健全信息化资金使用管理制度，集中支持新基建、数字政府、数字经济等领域重点项目建设。积极争取国家和福建省战略性新兴产业、网络安全、信息化设施建设等方面的专项资金支持，引导相关资金向数字泉州建设倾斜。拓宽多渠道资金投入，逐步建立以政府资金为引导、社会资金为主体、其他投入为补充的多元化投资机制。发挥政府产业引导基金作用，深化与大型央企、龙头企业和头部基金管理机构等合作，鼓励和撬动社会资本参与数字产业项目引进、公共数据服务平台建设、数字信息专业人才引育等领域投资，同时发挥市、县两级政府性融资担保公司增信分险作用，建立健全政银企风险共担机制，鼓励和引导金融机构加大对数字产业项目的信贷支持，助力数字泉州建设。推进信息资产作为生产要素投资入股，质押融资。鼓励金融机构开发信息科技融资担保、知识产权质押融资、信用保险保单融资增信等产品和服务，引导社会资本参与泉州优势产业数字化投资建设。</w:t>
      </w:r>
    </w:p>
    <w:p w14:paraId="2C349FBF">
      <w:pPr>
        <w:keepNext/>
        <w:keepLines/>
        <w:spacing w:before="260" w:after="260" w:line="596" w:lineRule="exact"/>
        <w:jc w:val="center"/>
        <w:outlineLvl w:val="1"/>
        <w:rPr>
          <w:rFonts w:ascii="Times New Roman" w:hAnsi="Times New Roman" w:eastAsia="方正黑体简体" w:cs="Times New Roman"/>
          <w:bCs/>
          <w:color w:val="000000"/>
          <w:sz w:val="32"/>
          <w:szCs w:val="32"/>
        </w:rPr>
      </w:pPr>
      <w:bookmarkStart w:id="1055" w:name="_Toc866167354"/>
      <w:bookmarkStart w:id="1056" w:name="_Toc94308431"/>
      <w:bookmarkStart w:id="1057" w:name="_Toc27092"/>
      <w:bookmarkStart w:id="1058" w:name="_Toc13179"/>
      <w:bookmarkStart w:id="1059" w:name="_Toc86954731"/>
      <w:bookmarkStart w:id="1060" w:name="_Toc21730"/>
      <w:bookmarkStart w:id="1061" w:name="_Toc12283"/>
      <w:bookmarkStart w:id="1062" w:name="_Toc16357"/>
      <w:bookmarkStart w:id="1063" w:name="_Toc1187271360"/>
      <w:bookmarkStart w:id="1064" w:name="_Toc767187931"/>
      <w:bookmarkStart w:id="1065" w:name="_Toc7246"/>
      <w:bookmarkStart w:id="1066" w:name="_Toc12861"/>
      <w:bookmarkStart w:id="1067" w:name="_Toc170316265"/>
      <w:bookmarkStart w:id="1068" w:name="_Toc81425811"/>
      <w:bookmarkStart w:id="1069" w:name="_Toc73548506"/>
      <w:bookmarkStart w:id="1070" w:name="_Toc30413"/>
      <w:bookmarkStart w:id="1071" w:name="_Toc2771"/>
      <w:bookmarkStart w:id="1072" w:name="_Toc12542"/>
      <w:bookmarkStart w:id="1073" w:name="_Toc5151"/>
      <w:bookmarkStart w:id="1074" w:name="_Toc1313"/>
      <w:r>
        <w:rPr>
          <w:rFonts w:ascii="Times New Roman" w:hAnsi="Times New Roman" w:eastAsia="方正黑体简体" w:cs="Times New Roman"/>
          <w:bCs/>
          <w:color w:val="000000"/>
          <w:sz w:val="32"/>
          <w:szCs w:val="32"/>
        </w:rPr>
        <w:t>第五节 构建标准体系，开展运营团队建设</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A4A863F">
      <w:pPr>
        <w:spacing w:line="58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加快构建数字泉州标准体系，重点推进数据、平台、安全、应用等领域标准建设。加强对已发布的标准规范及时进行宣传、解读，并定期开展标准实施情况监督和实施效果评估，推动标准规范全面贯彻落实。充分发挥国有信息技术企业在全市信息化建设中的作用，做大做强市属国有大数据企业，建立市级政务数据一级开发团队和数字研究院，促进形成政府、高校、企业协作共赢的产学研深度融合的政务数据开发利用新模式，推动数据成为关键要素，支撑实体经济高质量发展。</w:t>
      </w:r>
    </w:p>
    <w:bookmarkEnd w:id="2"/>
    <w:p w14:paraId="2DB58F98">
      <w:pPr>
        <w:spacing w:line="580" w:lineRule="exact"/>
        <w:ind w:left="1918" w:leftChars="304" w:hanging="1280" w:hangingChars="400"/>
        <w:rPr>
          <w:rFonts w:ascii="Times New Roman" w:hAnsi="Times New Roman" w:eastAsia="仿宋_GB2312" w:cs="Times New Roman"/>
          <w:bCs/>
          <w:color w:val="000000"/>
          <w:sz w:val="32"/>
          <w:szCs w:val="28"/>
        </w:rPr>
      </w:pPr>
    </w:p>
    <w:p w14:paraId="4B06BD9C">
      <w:pPr>
        <w:spacing w:line="580" w:lineRule="exact"/>
        <w:ind w:left="1918" w:leftChars="304" w:hanging="1280" w:hangingChars="400"/>
        <w:rPr>
          <w:rFonts w:ascii="Times New Roman" w:hAnsi="Times New Roman" w:eastAsia="仿宋_GB2312" w:cs="Times New Roman"/>
          <w:bCs/>
          <w:color w:val="000000"/>
          <w:sz w:val="32"/>
          <w:szCs w:val="28"/>
        </w:rPr>
      </w:pPr>
      <w:r>
        <w:rPr>
          <w:rFonts w:ascii="Times New Roman" w:hAnsi="Times New Roman" w:eastAsia="仿宋_GB2312" w:cs="Times New Roman"/>
          <w:bCs/>
          <w:color w:val="000000"/>
          <w:sz w:val="32"/>
          <w:szCs w:val="28"/>
        </w:rPr>
        <w:t>附件：“十四五”数字泉州建设重点项目表</w:t>
      </w:r>
    </w:p>
    <w:p w14:paraId="399DBAC0">
      <w:pPr>
        <w:spacing w:line="580" w:lineRule="exact"/>
        <w:ind w:left="1918" w:leftChars="304" w:hanging="1280" w:hangingChars="400"/>
        <w:rPr>
          <w:rFonts w:ascii="Times New Roman" w:hAnsi="Times New Roman" w:eastAsia="仿宋_GB2312" w:cs="Times New Roman"/>
          <w:bCs/>
          <w:color w:val="000000"/>
          <w:sz w:val="32"/>
          <w:szCs w:val="28"/>
        </w:rPr>
      </w:pPr>
    </w:p>
    <w:p w14:paraId="53FA8DE4">
      <w:pPr>
        <w:pageBreakBefore/>
        <w:spacing w:line="580" w:lineRule="exact"/>
        <w:ind w:left="1918" w:leftChars="304" w:hanging="1280" w:hangingChars="400"/>
        <w:rPr>
          <w:rFonts w:ascii="Times New Roman" w:hAnsi="Times New Roman" w:eastAsia="仿宋_GB2312" w:cs="Times New Roman"/>
          <w:bCs/>
          <w:color w:val="000000"/>
          <w:sz w:val="32"/>
          <w:szCs w:val="28"/>
        </w:rPr>
        <w:sectPr>
          <w:headerReference r:id="rId11" w:type="default"/>
          <w:footerReference r:id="rId12" w:type="even"/>
          <w:pgSz w:w="11906" w:h="16838"/>
          <w:pgMar w:top="1418" w:right="1474" w:bottom="1418" w:left="1588" w:header="851" w:footer="992" w:gutter="0"/>
          <w:cols w:space="720" w:num="1"/>
          <w:docGrid w:type="linesAndChars" w:linePitch="312" w:charSpace="0"/>
        </w:sectPr>
      </w:pPr>
    </w:p>
    <w:p w14:paraId="73895A85">
      <w:pPr>
        <w:keepNext/>
        <w:keepLines/>
        <w:spacing w:line="576" w:lineRule="auto"/>
        <w:jc w:val="left"/>
        <w:outlineLvl w:val="0"/>
        <w:rPr>
          <w:rFonts w:ascii="Times New Roman" w:hAnsi="Times New Roman" w:eastAsia="黑体" w:cs="Times New Roman"/>
          <w:color w:val="000000"/>
          <w:kern w:val="44"/>
          <w:sz w:val="32"/>
          <w:szCs w:val="32"/>
        </w:rPr>
      </w:pPr>
      <w:bookmarkStart w:id="1075" w:name="_Toc94308432"/>
      <w:r>
        <w:rPr>
          <w:rFonts w:ascii="Times New Roman" w:hAnsi="Times New Roman" w:eastAsia="黑体" w:cs="Times New Roman"/>
          <w:color w:val="000000"/>
          <w:kern w:val="44"/>
          <w:sz w:val="32"/>
          <w:szCs w:val="32"/>
        </w:rPr>
        <w:t>附件</w:t>
      </w:r>
      <w:bookmarkEnd w:id="1075"/>
    </w:p>
    <w:p w14:paraId="3756882B">
      <w:pPr>
        <w:keepNext/>
        <w:keepLines/>
        <w:spacing w:line="576" w:lineRule="auto"/>
        <w:jc w:val="center"/>
        <w:outlineLvl w:val="0"/>
        <w:rPr>
          <w:rFonts w:ascii="Times New Roman" w:hAnsi="Times New Roman" w:eastAsia="方正小标宋简体" w:cs="Times New Roman"/>
          <w:color w:val="000000"/>
          <w:kern w:val="44"/>
          <w:sz w:val="36"/>
          <w:szCs w:val="36"/>
        </w:rPr>
      </w:pPr>
      <w:bookmarkStart w:id="1076" w:name="_Toc94308433"/>
      <w:r>
        <w:rPr>
          <w:rFonts w:ascii="Times New Roman" w:hAnsi="Times New Roman" w:eastAsia="方正小标宋简体" w:cs="Times New Roman"/>
          <w:color w:val="000000"/>
          <w:kern w:val="44"/>
          <w:sz w:val="36"/>
          <w:szCs w:val="36"/>
        </w:rPr>
        <w:t>“十四五”数字泉州建设重点项目表</w:t>
      </w:r>
      <w:bookmarkEnd w:id="1076"/>
    </w:p>
    <w:tbl>
      <w:tblPr>
        <w:tblStyle w:val="24"/>
        <w:tblW w:w="14314" w:type="dxa"/>
        <w:tblInd w:w="221" w:type="dxa"/>
        <w:tblLayout w:type="autofit"/>
        <w:tblCellMar>
          <w:top w:w="0" w:type="dxa"/>
          <w:left w:w="108" w:type="dxa"/>
          <w:bottom w:w="0" w:type="dxa"/>
          <w:right w:w="108" w:type="dxa"/>
        </w:tblCellMar>
      </w:tblPr>
      <w:tblGrid>
        <w:gridCol w:w="566"/>
        <w:gridCol w:w="1981"/>
        <w:gridCol w:w="945"/>
        <w:gridCol w:w="6233"/>
        <w:gridCol w:w="1342"/>
        <w:gridCol w:w="1866"/>
        <w:gridCol w:w="1145"/>
        <w:gridCol w:w="236"/>
      </w:tblGrid>
      <w:tr w14:paraId="4CC29E45">
        <w:tblPrEx>
          <w:tblCellMar>
            <w:top w:w="0" w:type="dxa"/>
            <w:left w:w="108" w:type="dxa"/>
            <w:bottom w:w="0" w:type="dxa"/>
            <w:right w:w="108" w:type="dxa"/>
          </w:tblCellMar>
        </w:tblPrEx>
        <w:trPr>
          <w:gridAfter w:val="1"/>
          <w:wAfter w:w="236" w:type="dxa"/>
          <w:trHeight w:val="312" w:hRule="atLeast"/>
          <w:tblHeader/>
        </w:trPr>
        <w:tc>
          <w:tcPr>
            <w:tcW w:w="566" w:type="dxa"/>
            <w:vMerge w:val="restart"/>
            <w:tcBorders>
              <w:top w:val="single" w:color="auto" w:sz="4" w:space="0"/>
              <w:left w:val="single" w:color="auto" w:sz="4" w:space="0"/>
              <w:bottom w:val="single" w:color="auto" w:sz="4" w:space="0"/>
              <w:right w:val="single" w:color="auto" w:sz="4" w:space="0"/>
            </w:tcBorders>
            <w:vAlign w:val="center"/>
          </w:tcPr>
          <w:p w14:paraId="4BA186C5">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序</w:t>
            </w:r>
            <w:r>
              <w:rPr>
                <w:rFonts w:ascii="Times New Roman" w:hAnsi="Times New Roman" w:eastAsia="仿宋_GB2312" w:cs="Times New Roman"/>
                <w:b/>
                <w:bCs/>
                <w:color w:val="000000"/>
                <w:kern w:val="0"/>
                <w:sz w:val="24"/>
                <w:szCs w:val="24"/>
              </w:rPr>
              <w:br w:type="textWrapping"/>
            </w:r>
            <w:r>
              <w:rPr>
                <w:rFonts w:ascii="Times New Roman" w:hAnsi="Times New Roman" w:eastAsia="仿宋_GB2312" w:cs="Times New Roman"/>
                <w:b/>
                <w:bCs/>
                <w:color w:val="000000"/>
                <w:kern w:val="0"/>
                <w:sz w:val="24"/>
                <w:szCs w:val="24"/>
              </w:rPr>
              <w:t>号</w:t>
            </w:r>
          </w:p>
        </w:tc>
        <w:tc>
          <w:tcPr>
            <w:tcW w:w="1981" w:type="dxa"/>
            <w:vMerge w:val="restart"/>
            <w:tcBorders>
              <w:top w:val="single" w:color="auto" w:sz="4" w:space="0"/>
              <w:left w:val="single" w:color="auto" w:sz="4" w:space="0"/>
              <w:bottom w:val="single" w:color="auto" w:sz="4" w:space="0"/>
              <w:right w:val="single" w:color="auto" w:sz="4" w:space="0"/>
            </w:tcBorders>
            <w:vAlign w:val="center"/>
          </w:tcPr>
          <w:p w14:paraId="09F8FF6F">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项目名称</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14:paraId="2C59DD97">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建设</w:t>
            </w:r>
            <w:r>
              <w:rPr>
                <w:rFonts w:ascii="Times New Roman" w:hAnsi="Times New Roman" w:eastAsia="仿宋_GB2312" w:cs="Times New Roman"/>
                <w:b/>
                <w:bCs/>
                <w:color w:val="000000"/>
                <w:kern w:val="0"/>
                <w:sz w:val="24"/>
                <w:szCs w:val="24"/>
              </w:rPr>
              <w:br w:type="textWrapping"/>
            </w:r>
            <w:r>
              <w:rPr>
                <w:rFonts w:ascii="Times New Roman" w:hAnsi="Times New Roman" w:eastAsia="仿宋_GB2312" w:cs="Times New Roman"/>
                <w:b/>
                <w:bCs/>
                <w:color w:val="000000"/>
                <w:kern w:val="0"/>
                <w:sz w:val="24"/>
                <w:szCs w:val="24"/>
              </w:rPr>
              <w:t>地点</w:t>
            </w:r>
          </w:p>
        </w:tc>
        <w:tc>
          <w:tcPr>
            <w:tcW w:w="6233" w:type="dxa"/>
            <w:vMerge w:val="restart"/>
            <w:tcBorders>
              <w:top w:val="single" w:color="auto" w:sz="4" w:space="0"/>
              <w:left w:val="single" w:color="auto" w:sz="4" w:space="0"/>
              <w:bottom w:val="single" w:color="auto" w:sz="4" w:space="0"/>
              <w:right w:val="single" w:color="auto" w:sz="4" w:space="0"/>
            </w:tcBorders>
            <w:vAlign w:val="center"/>
          </w:tcPr>
          <w:p w14:paraId="58AC3176">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主要建设内容</w:t>
            </w:r>
          </w:p>
        </w:tc>
        <w:tc>
          <w:tcPr>
            <w:tcW w:w="1342" w:type="dxa"/>
            <w:vMerge w:val="restart"/>
            <w:tcBorders>
              <w:top w:val="single" w:color="auto" w:sz="4" w:space="0"/>
              <w:left w:val="single" w:color="auto" w:sz="4" w:space="0"/>
              <w:bottom w:val="single" w:color="auto" w:sz="4" w:space="0"/>
              <w:right w:val="single" w:color="auto" w:sz="4" w:space="0"/>
            </w:tcBorders>
            <w:vAlign w:val="center"/>
          </w:tcPr>
          <w:p w14:paraId="62FC1228">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总投资</w:t>
            </w:r>
            <w:r>
              <w:rPr>
                <w:rFonts w:ascii="Times New Roman" w:hAnsi="Times New Roman" w:eastAsia="仿宋_GB2312" w:cs="Times New Roman"/>
                <w:b/>
                <w:bCs/>
                <w:color w:val="000000"/>
                <w:kern w:val="0"/>
                <w:sz w:val="24"/>
                <w:szCs w:val="24"/>
              </w:rPr>
              <w:br w:type="textWrapping"/>
            </w:r>
            <w:r>
              <w:rPr>
                <w:rFonts w:ascii="Times New Roman" w:hAnsi="Times New Roman" w:eastAsia="仿宋_GB2312" w:cs="Times New Roman"/>
                <w:b/>
                <w:bCs/>
                <w:color w:val="000000"/>
                <w:kern w:val="0"/>
                <w:sz w:val="20"/>
                <w:szCs w:val="20"/>
              </w:rPr>
              <w:t>（亿元）</w:t>
            </w:r>
          </w:p>
        </w:tc>
        <w:tc>
          <w:tcPr>
            <w:tcW w:w="1866" w:type="dxa"/>
            <w:vMerge w:val="restart"/>
            <w:tcBorders>
              <w:top w:val="single" w:color="auto" w:sz="4" w:space="0"/>
              <w:left w:val="single" w:color="auto" w:sz="4" w:space="0"/>
              <w:bottom w:val="single" w:color="auto" w:sz="4" w:space="0"/>
              <w:right w:val="single" w:color="auto" w:sz="4" w:space="0"/>
            </w:tcBorders>
            <w:vAlign w:val="center"/>
          </w:tcPr>
          <w:p w14:paraId="0B04DAFF">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项目建设</w:t>
            </w:r>
            <w:r>
              <w:rPr>
                <w:rFonts w:ascii="Times New Roman" w:hAnsi="Times New Roman" w:eastAsia="仿宋_GB2312" w:cs="Times New Roman"/>
                <w:b/>
                <w:bCs/>
                <w:color w:val="000000"/>
                <w:kern w:val="0"/>
                <w:sz w:val="24"/>
                <w:szCs w:val="24"/>
              </w:rPr>
              <w:br w:type="textWrapping"/>
            </w:r>
            <w:r>
              <w:rPr>
                <w:rFonts w:ascii="Times New Roman" w:hAnsi="Times New Roman" w:eastAsia="仿宋_GB2312" w:cs="Times New Roman"/>
                <w:b/>
                <w:bCs/>
                <w:color w:val="000000"/>
                <w:kern w:val="0"/>
                <w:sz w:val="24"/>
                <w:szCs w:val="24"/>
              </w:rPr>
              <w:t>年限</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14:paraId="4D98AFAC">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牵头负责部门</w:t>
            </w:r>
          </w:p>
        </w:tc>
      </w:tr>
      <w:tr w14:paraId="4DFA64F0">
        <w:tblPrEx>
          <w:tblCellMar>
            <w:top w:w="0" w:type="dxa"/>
            <w:left w:w="108" w:type="dxa"/>
            <w:bottom w:w="0" w:type="dxa"/>
            <w:right w:w="108" w:type="dxa"/>
          </w:tblCellMar>
        </w:tblPrEx>
        <w:trPr>
          <w:trHeight w:val="288" w:hRule="atLeast"/>
          <w:tblHeader/>
        </w:trPr>
        <w:tc>
          <w:tcPr>
            <w:tcW w:w="566" w:type="dxa"/>
            <w:vMerge w:val="continue"/>
            <w:tcBorders>
              <w:top w:val="single" w:color="auto" w:sz="4" w:space="0"/>
              <w:left w:val="single" w:color="auto" w:sz="4" w:space="0"/>
              <w:bottom w:val="single" w:color="auto" w:sz="4" w:space="0"/>
              <w:right w:val="single" w:color="auto" w:sz="4" w:space="0"/>
            </w:tcBorders>
            <w:vAlign w:val="center"/>
          </w:tcPr>
          <w:p w14:paraId="60C5E6F7">
            <w:pPr>
              <w:widowControl/>
              <w:jc w:val="left"/>
              <w:rPr>
                <w:rFonts w:ascii="Times New Roman" w:hAnsi="Times New Roman" w:eastAsia="仿宋_GB2312" w:cs="Times New Roman"/>
                <w:b/>
                <w:bCs/>
                <w:color w:val="000000"/>
                <w:kern w:val="0"/>
                <w:sz w:val="24"/>
                <w:szCs w:val="24"/>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26AE2429">
            <w:pPr>
              <w:widowControl/>
              <w:jc w:val="left"/>
              <w:rPr>
                <w:rFonts w:ascii="Times New Roman" w:hAnsi="Times New Roman" w:eastAsia="仿宋_GB2312" w:cs="Times New Roman"/>
                <w:b/>
                <w:bCs/>
                <w:color w:val="000000"/>
                <w:kern w:val="0"/>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14:paraId="712CF4C3">
            <w:pPr>
              <w:widowControl/>
              <w:jc w:val="left"/>
              <w:rPr>
                <w:rFonts w:ascii="Times New Roman" w:hAnsi="Times New Roman" w:eastAsia="仿宋_GB2312" w:cs="Times New Roman"/>
                <w:b/>
                <w:bCs/>
                <w:color w:val="000000"/>
                <w:kern w:val="0"/>
                <w:sz w:val="24"/>
                <w:szCs w:val="24"/>
              </w:rPr>
            </w:pPr>
          </w:p>
        </w:tc>
        <w:tc>
          <w:tcPr>
            <w:tcW w:w="6233" w:type="dxa"/>
            <w:vMerge w:val="continue"/>
            <w:tcBorders>
              <w:top w:val="single" w:color="auto" w:sz="4" w:space="0"/>
              <w:left w:val="single" w:color="auto" w:sz="4" w:space="0"/>
              <w:bottom w:val="single" w:color="auto" w:sz="4" w:space="0"/>
              <w:right w:val="single" w:color="auto" w:sz="4" w:space="0"/>
            </w:tcBorders>
            <w:vAlign w:val="center"/>
          </w:tcPr>
          <w:p w14:paraId="204B7A09">
            <w:pPr>
              <w:widowControl/>
              <w:jc w:val="left"/>
              <w:rPr>
                <w:rFonts w:ascii="Times New Roman" w:hAnsi="Times New Roman" w:eastAsia="仿宋_GB2312" w:cs="Times New Roman"/>
                <w:b/>
                <w:bCs/>
                <w:color w:val="000000"/>
                <w:kern w:val="0"/>
                <w:sz w:val="24"/>
                <w:szCs w:val="24"/>
              </w:rPr>
            </w:pPr>
          </w:p>
        </w:tc>
        <w:tc>
          <w:tcPr>
            <w:tcW w:w="1342" w:type="dxa"/>
            <w:vMerge w:val="continue"/>
            <w:tcBorders>
              <w:top w:val="single" w:color="auto" w:sz="4" w:space="0"/>
              <w:left w:val="single" w:color="auto" w:sz="4" w:space="0"/>
              <w:bottom w:val="single" w:color="auto" w:sz="4" w:space="0"/>
              <w:right w:val="single" w:color="auto" w:sz="4" w:space="0"/>
            </w:tcBorders>
            <w:vAlign w:val="center"/>
          </w:tcPr>
          <w:p w14:paraId="2DF9638C">
            <w:pPr>
              <w:widowControl/>
              <w:jc w:val="left"/>
              <w:rPr>
                <w:rFonts w:ascii="Times New Roman" w:hAnsi="Times New Roman" w:eastAsia="仿宋_GB2312" w:cs="Times New Roman"/>
                <w:b/>
                <w:bCs/>
                <w:color w:val="000000"/>
                <w:kern w:val="0"/>
                <w:sz w:val="24"/>
                <w:szCs w:val="24"/>
              </w:rPr>
            </w:pPr>
          </w:p>
        </w:tc>
        <w:tc>
          <w:tcPr>
            <w:tcW w:w="1866" w:type="dxa"/>
            <w:vMerge w:val="continue"/>
            <w:tcBorders>
              <w:top w:val="single" w:color="auto" w:sz="4" w:space="0"/>
              <w:left w:val="single" w:color="auto" w:sz="4" w:space="0"/>
              <w:bottom w:val="single" w:color="auto" w:sz="4" w:space="0"/>
              <w:right w:val="single" w:color="auto" w:sz="4" w:space="0"/>
            </w:tcBorders>
            <w:vAlign w:val="center"/>
          </w:tcPr>
          <w:p w14:paraId="36AFA44E">
            <w:pPr>
              <w:widowControl/>
              <w:jc w:val="left"/>
              <w:rPr>
                <w:rFonts w:ascii="Times New Roman" w:hAnsi="Times New Roman" w:eastAsia="仿宋_GB2312" w:cs="Times New Roman"/>
                <w:b/>
                <w:bCs/>
                <w:color w:val="000000"/>
                <w:kern w:val="0"/>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046922D0">
            <w:pPr>
              <w:widowControl/>
              <w:jc w:val="left"/>
              <w:rPr>
                <w:rFonts w:ascii="Times New Roman" w:hAnsi="Times New Roman" w:eastAsia="仿宋_GB2312" w:cs="Times New Roman"/>
                <w:b/>
                <w:bCs/>
                <w:color w:val="000000"/>
                <w:kern w:val="0"/>
                <w:sz w:val="24"/>
                <w:szCs w:val="24"/>
              </w:rPr>
            </w:pPr>
          </w:p>
        </w:tc>
        <w:tc>
          <w:tcPr>
            <w:tcW w:w="236" w:type="dxa"/>
            <w:tcBorders>
              <w:top w:val="nil"/>
              <w:left w:val="nil"/>
              <w:bottom w:val="nil"/>
              <w:right w:val="nil"/>
            </w:tcBorders>
            <w:noWrap/>
            <w:vAlign w:val="center"/>
          </w:tcPr>
          <w:p w14:paraId="4624C1F1">
            <w:pPr>
              <w:widowControl/>
              <w:jc w:val="center"/>
              <w:rPr>
                <w:rFonts w:ascii="Times New Roman" w:hAnsi="Times New Roman" w:eastAsia="仿宋_GB2312" w:cs="Times New Roman"/>
                <w:b/>
                <w:bCs/>
                <w:color w:val="000000"/>
                <w:kern w:val="0"/>
                <w:sz w:val="24"/>
                <w:szCs w:val="24"/>
              </w:rPr>
            </w:pPr>
          </w:p>
        </w:tc>
      </w:tr>
      <w:tr w14:paraId="6EC3ED9B">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308B85B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w:t>
            </w:r>
          </w:p>
        </w:tc>
        <w:tc>
          <w:tcPr>
            <w:tcW w:w="1981" w:type="dxa"/>
            <w:tcBorders>
              <w:top w:val="nil"/>
              <w:left w:val="nil"/>
              <w:bottom w:val="single" w:color="auto" w:sz="4" w:space="0"/>
              <w:right w:val="single" w:color="auto" w:sz="4" w:space="0"/>
            </w:tcBorders>
            <w:vAlign w:val="center"/>
          </w:tcPr>
          <w:p w14:paraId="11786CBE">
            <w:pPr>
              <w:widowControl/>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sz w:val="22"/>
              </w:rPr>
              <w:t>边缘计算资源池节点建设</w:t>
            </w:r>
          </w:p>
        </w:tc>
        <w:tc>
          <w:tcPr>
            <w:tcW w:w="945" w:type="dxa"/>
            <w:tcBorders>
              <w:top w:val="nil"/>
              <w:left w:val="nil"/>
              <w:bottom w:val="single" w:color="auto" w:sz="4" w:space="0"/>
              <w:right w:val="single" w:color="auto" w:sz="4" w:space="0"/>
            </w:tcBorders>
            <w:vAlign w:val="center"/>
          </w:tcPr>
          <w:p w14:paraId="29747B86">
            <w:pPr>
              <w:widowControl/>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1FC451F3">
            <w:pPr>
              <w:widowControl/>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sz w:val="22"/>
              </w:rPr>
              <w:t>三大运营商计划建设市、县、端三级边缘计算节点，包含共享资源池节点和本地化部署节点，服务工业企业5G应用，提升泉州工业企业制造能力，助力泉州工业制造产业转型，规划建设县城区、重点乡镇、重点园区等重点区域5G+边缘计算分节点。</w:t>
            </w:r>
          </w:p>
        </w:tc>
        <w:tc>
          <w:tcPr>
            <w:tcW w:w="1342" w:type="dxa"/>
            <w:tcBorders>
              <w:top w:val="nil"/>
              <w:left w:val="nil"/>
              <w:bottom w:val="single" w:color="auto" w:sz="4" w:space="0"/>
              <w:right w:val="single" w:color="auto" w:sz="4" w:space="0"/>
            </w:tcBorders>
            <w:vAlign w:val="center"/>
          </w:tcPr>
          <w:p w14:paraId="54C2C0C2">
            <w:pPr>
              <w:widowControl/>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sz w:val="22"/>
              </w:rPr>
              <w:t>3.64</w:t>
            </w:r>
          </w:p>
        </w:tc>
        <w:tc>
          <w:tcPr>
            <w:tcW w:w="1866" w:type="dxa"/>
            <w:tcBorders>
              <w:top w:val="nil"/>
              <w:left w:val="nil"/>
              <w:bottom w:val="single" w:color="auto" w:sz="4" w:space="0"/>
              <w:right w:val="single" w:color="auto" w:sz="4" w:space="0"/>
            </w:tcBorders>
            <w:vAlign w:val="center"/>
          </w:tcPr>
          <w:p w14:paraId="7B6902E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1B40AE7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68BBA466">
            <w:pPr>
              <w:widowControl/>
              <w:jc w:val="left"/>
              <w:rPr>
                <w:rFonts w:ascii="Times New Roman" w:hAnsi="Times New Roman" w:eastAsia="Times New Roman" w:cs="Times New Roman"/>
                <w:kern w:val="0"/>
                <w:sz w:val="20"/>
                <w:szCs w:val="20"/>
              </w:rPr>
            </w:pPr>
          </w:p>
        </w:tc>
      </w:tr>
      <w:tr w14:paraId="767CD48C">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77952A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w:t>
            </w:r>
          </w:p>
        </w:tc>
        <w:tc>
          <w:tcPr>
            <w:tcW w:w="1981" w:type="dxa"/>
            <w:tcBorders>
              <w:top w:val="nil"/>
              <w:left w:val="nil"/>
              <w:bottom w:val="single" w:color="auto" w:sz="4" w:space="0"/>
              <w:right w:val="single" w:color="auto" w:sz="4" w:space="0"/>
            </w:tcBorders>
            <w:vAlign w:val="center"/>
          </w:tcPr>
          <w:p w14:paraId="7EF6B06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泉州先进计算中心</w:t>
            </w:r>
          </w:p>
        </w:tc>
        <w:tc>
          <w:tcPr>
            <w:tcW w:w="945" w:type="dxa"/>
            <w:tcBorders>
              <w:top w:val="nil"/>
              <w:left w:val="nil"/>
              <w:bottom w:val="single" w:color="auto" w:sz="4" w:space="0"/>
              <w:right w:val="single" w:color="auto" w:sz="4" w:space="0"/>
            </w:tcBorders>
            <w:vAlign w:val="center"/>
          </w:tcPr>
          <w:p w14:paraId="29F5EE2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52811AF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建设先进计算中心、工业云、信创云和工业互联网标识解析二级节点，参与数据中心新设立的公司混改，建设人力资源产业园。</w:t>
            </w:r>
          </w:p>
        </w:tc>
        <w:tc>
          <w:tcPr>
            <w:tcW w:w="1342" w:type="dxa"/>
            <w:tcBorders>
              <w:top w:val="nil"/>
              <w:left w:val="nil"/>
              <w:bottom w:val="single" w:color="auto" w:sz="4" w:space="0"/>
              <w:right w:val="single" w:color="auto" w:sz="4" w:space="0"/>
            </w:tcBorders>
            <w:vAlign w:val="center"/>
          </w:tcPr>
          <w:p w14:paraId="1A3EDAB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76EF9C5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74BB49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市数字办、安溪县人民政府</w:t>
            </w:r>
          </w:p>
        </w:tc>
        <w:tc>
          <w:tcPr>
            <w:tcW w:w="236" w:type="dxa"/>
            <w:vAlign w:val="center"/>
          </w:tcPr>
          <w:p w14:paraId="54A71CE1">
            <w:pPr>
              <w:widowControl/>
              <w:jc w:val="left"/>
              <w:rPr>
                <w:rFonts w:ascii="Times New Roman" w:hAnsi="Times New Roman" w:eastAsia="Times New Roman" w:cs="Times New Roman"/>
                <w:kern w:val="0"/>
                <w:sz w:val="20"/>
                <w:szCs w:val="20"/>
              </w:rPr>
            </w:pPr>
          </w:p>
        </w:tc>
      </w:tr>
      <w:tr w14:paraId="6C2D381F">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6C788E7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w:t>
            </w:r>
          </w:p>
        </w:tc>
        <w:tc>
          <w:tcPr>
            <w:tcW w:w="1981" w:type="dxa"/>
            <w:tcBorders>
              <w:top w:val="nil"/>
              <w:left w:val="nil"/>
              <w:bottom w:val="single" w:color="auto" w:sz="4" w:space="0"/>
              <w:right w:val="single" w:color="auto" w:sz="4" w:space="0"/>
            </w:tcBorders>
            <w:vAlign w:val="center"/>
          </w:tcPr>
          <w:p w14:paraId="68A965D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数字福建（安溪）产业园（二期）及数据中心扩容项目</w:t>
            </w:r>
          </w:p>
        </w:tc>
        <w:tc>
          <w:tcPr>
            <w:tcW w:w="945" w:type="dxa"/>
            <w:tcBorders>
              <w:top w:val="nil"/>
              <w:left w:val="nil"/>
              <w:bottom w:val="single" w:color="auto" w:sz="4" w:space="0"/>
              <w:right w:val="single" w:color="auto" w:sz="4" w:space="0"/>
            </w:tcBorders>
            <w:vAlign w:val="center"/>
          </w:tcPr>
          <w:p w14:paraId="0BBBEE2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22E9DD8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园区重点发展大数据、云计算、人工智能、服务外包、数字媒体、电子商务、区块链等产业，引进航天十二院中国影视资料馆，力争2025年数据中心达到2万个机柜规模。</w:t>
            </w:r>
          </w:p>
        </w:tc>
        <w:tc>
          <w:tcPr>
            <w:tcW w:w="1342" w:type="dxa"/>
            <w:tcBorders>
              <w:top w:val="nil"/>
              <w:left w:val="nil"/>
              <w:bottom w:val="single" w:color="auto" w:sz="4" w:space="0"/>
              <w:right w:val="single" w:color="auto" w:sz="4" w:space="0"/>
            </w:tcBorders>
            <w:vAlign w:val="center"/>
          </w:tcPr>
          <w:p w14:paraId="635DF59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11</w:t>
            </w:r>
          </w:p>
        </w:tc>
        <w:tc>
          <w:tcPr>
            <w:tcW w:w="1866" w:type="dxa"/>
            <w:tcBorders>
              <w:top w:val="nil"/>
              <w:left w:val="nil"/>
              <w:bottom w:val="single" w:color="auto" w:sz="4" w:space="0"/>
              <w:right w:val="single" w:color="auto" w:sz="4" w:space="0"/>
            </w:tcBorders>
            <w:vAlign w:val="center"/>
          </w:tcPr>
          <w:p w14:paraId="6F16B5B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26A80A5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1074ECE9">
            <w:pPr>
              <w:widowControl/>
              <w:jc w:val="left"/>
              <w:rPr>
                <w:rFonts w:ascii="Times New Roman" w:hAnsi="Times New Roman" w:eastAsia="Times New Roman" w:cs="Times New Roman"/>
                <w:kern w:val="0"/>
                <w:sz w:val="20"/>
                <w:szCs w:val="20"/>
              </w:rPr>
            </w:pPr>
          </w:p>
        </w:tc>
      </w:tr>
      <w:tr w14:paraId="4D3E66F5">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72B414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w:t>
            </w:r>
          </w:p>
        </w:tc>
        <w:tc>
          <w:tcPr>
            <w:tcW w:w="1981" w:type="dxa"/>
            <w:tcBorders>
              <w:top w:val="nil"/>
              <w:left w:val="nil"/>
              <w:bottom w:val="single" w:color="auto" w:sz="4" w:space="0"/>
              <w:right w:val="single" w:color="auto" w:sz="4" w:space="0"/>
            </w:tcBorders>
            <w:vAlign w:val="center"/>
          </w:tcPr>
          <w:p w14:paraId="4E368CE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中国电影资料馆（安溪）数字资源中心</w:t>
            </w:r>
          </w:p>
        </w:tc>
        <w:tc>
          <w:tcPr>
            <w:tcW w:w="945" w:type="dxa"/>
            <w:tcBorders>
              <w:top w:val="nil"/>
              <w:left w:val="nil"/>
              <w:bottom w:val="single" w:color="auto" w:sz="4" w:space="0"/>
              <w:right w:val="single" w:color="auto" w:sz="4" w:space="0"/>
            </w:tcBorders>
            <w:vAlign w:val="center"/>
          </w:tcPr>
          <w:p w14:paraId="2F20446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46C43A0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主要建设中国电影资料馆数字备份库、国家影像修复基地、融媒体制作基地、艺术影院（安溪店）、军体电影博物馆、影像记忆训练营、电影剧本孵化园、博士后科研工作站实践站点等。</w:t>
            </w:r>
          </w:p>
        </w:tc>
        <w:tc>
          <w:tcPr>
            <w:tcW w:w="1342" w:type="dxa"/>
            <w:tcBorders>
              <w:top w:val="nil"/>
              <w:left w:val="nil"/>
              <w:bottom w:val="single" w:color="auto" w:sz="4" w:space="0"/>
              <w:right w:val="single" w:color="auto" w:sz="4" w:space="0"/>
            </w:tcBorders>
            <w:vAlign w:val="center"/>
          </w:tcPr>
          <w:p w14:paraId="0392CF5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0F78711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6FC788E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5F9F1106">
            <w:pPr>
              <w:widowControl/>
              <w:jc w:val="left"/>
              <w:rPr>
                <w:rFonts w:ascii="Times New Roman" w:hAnsi="Times New Roman" w:eastAsia="Times New Roman" w:cs="Times New Roman"/>
                <w:kern w:val="0"/>
                <w:sz w:val="20"/>
                <w:szCs w:val="20"/>
              </w:rPr>
            </w:pPr>
          </w:p>
        </w:tc>
      </w:tr>
      <w:tr w14:paraId="74D3FAB7">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289653F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w:t>
            </w:r>
          </w:p>
        </w:tc>
        <w:tc>
          <w:tcPr>
            <w:tcW w:w="1981" w:type="dxa"/>
            <w:tcBorders>
              <w:top w:val="nil"/>
              <w:left w:val="nil"/>
              <w:bottom w:val="single" w:color="auto" w:sz="4" w:space="0"/>
              <w:right w:val="single" w:color="auto" w:sz="4" w:space="0"/>
            </w:tcBorders>
            <w:vAlign w:val="center"/>
          </w:tcPr>
          <w:p w14:paraId="4EDF1E3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全球商业遥感卫星地面接收站网</w:t>
            </w:r>
          </w:p>
        </w:tc>
        <w:tc>
          <w:tcPr>
            <w:tcW w:w="945" w:type="dxa"/>
            <w:tcBorders>
              <w:top w:val="nil"/>
              <w:left w:val="nil"/>
              <w:bottom w:val="single" w:color="auto" w:sz="4" w:space="0"/>
              <w:right w:val="single" w:color="auto" w:sz="4" w:space="0"/>
            </w:tcBorders>
            <w:vAlign w:val="center"/>
          </w:tcPr>
          <w:p w14:paraId="4D9754F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03DD8B3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建设卫星接收基地和国际空天大数据产业园。</w:t>
            </w:r>
          </w:p>
        </w:tc>
        <w:tc>
          <w:tcPr>
            <w:tcW w:w="1342" w:type="dxa"/>
            <w:tcBorders>
              <w:top w:val="nil"/>
              <w:left w:val="nil"/>
              <w:bottom w:val="single" w:color="auto" w:sz="4" w:space="0"/>
              <w:right w:val="single" w:color="auto" w:sz="4" w:space="0"/>
            </w:tcBorders>
            <w:vAlign w:val="center"/>
          </w:tcPr>
          <w:p w14:paraId="2A08ADC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18</w:t>
            </w:r>
          </w:p>
        </w:tc>
        <w:tc>
          <w:tcPr>
            <w:tcW w:w="1866" w:type="dxa"/>
            <w:tcBorders>
              <w:top w:val="nil"/>
              <w:left w:val="nil"/>
              <w:bottom w:val="single" w:color="auto" w:sz="4" w:space="0"/>
              <w:right w:val="single" w:color="auto" w:sz="4" w:space="0"/>
            </w:tcBorders>
            <w:vAlign w:val="center"/>
          </w:tcPr>
          <w:p w14:paraId="28247D5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DD84C6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671B8427">
            <w:pPr>
              <w:widowControl/>
              <w:jc w:val="left"/>
              <w:rPr>
                <w:rFonts w:ascii="Times New Roman" w:hAnsi="Times New Roman" w:eastAsia="Times New Roman" w:cs="Times New Roman"/>
                <w:kern w:val="0"/>
                <w:sz w:val="20"/>
                <w:szCs w:val="20"/>
              </w:rPr>
            </w:pPr>
          </w:p>
        </w:tc>
      </w:tr>
      <w:tr w14:paraId="15A29EE2">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405FF23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w:t>
            </w:r>
          </w:p>
        </w:tc>
        <w:tc>
          <w:tcPr>
            <w:tcW w:w="1981" w:type="dxa"/>
            <w:tcBorders>
              <w:top w:val="nil"/>
              <w:left w:val="nil"/>
              <w:bottom w:val="single" w:color="auto" w:sz="4" w:space="0"/>
              <w:right w:val="single" w:color="auto" w:sz="4" w:space="0"/>
            </w:tcBorders>
            <w:vAlign w:val="center"/>
          </w:tcPr>
          <w:p w14:paraId="3CF9878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海丝时间中心数据中心</w:t>
            </w:r>
          </w:p>
        </w:tc>
        <w:tc>
          <w:tcPr>
            <w:tcW w:w="945" w:type="dxa"/>
            <w:tcBorders>
              <w:top w:val="nil"/>
              <w:left w:val="nil"/>
              <w:bottom w:val="single" w:color="auto" w:sz="4" w:space="0"/>
              <w:right w:val="single" w:color="auto" w:sz="4" w:space="0"/>
            </w:tcBorders>
            <w:vAlign w:val="center"/>
          </w:tcPr>
          <w:p w14:paraId="4F1D540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0DE2FBA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在产业园建设海丝授时数据中心，服务国家、省、市时间管理工作，为相关科研和产业应用提供数据服务。</w:t>
            </w:r>
          </w:p>
        </w:tc>
        <w:tc>
          <w:tcPr>
            <w:tcW w:w="1342" w:type="dxa"/>
            <w:tcBorders>
              <w:top w:val="nil"/>
              <w:left w:val="nil"/>
              <w:bottom w:val="single" w:color="auto" w:sz="4" w:space="0"/>
              <w:right w:val="single" w:color="auto" w:sz="4" w:space="0"/>
            </w:tcBorders>
            <w:vAlign w:val="center"/>
          </w:tcPr>
          <w:p w14:paraId="1B164C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4B0EFCA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4E8665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62112765">
            <w:pPr>
              <w:widowControl/>
              <w:jc w:val="left"/>
              <w:rPr>
                <w:rFonts w:ascii="Times New Roman" w:hAnsi="Times New Roman" w:eastAsia="Times New Roman" w:cs="Times New Roman"/>
                <w:kern w:val="0"/>
                <w:sz w:val="20"/>
                <w:szCs w:val="20"/>
              </w:rPr>
            </w:pPr>
          </w:p>
        </w:tc>
      </w:tr>
      <w:tr w14:paraId="3482AE4D">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279CBAFA">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w:t>
            </w:r>
          </w:p>
        </w:tc>
        <w:tc>
          <w:tcPr>
            <w:tcW w:w="1981" w:type="dxa"/>
            <w:tcBorders>
              <w:top w:val="single" w:color="auto" w:sz="4" w:space="0"/>
              <w:left w:val="nil"/>
              <w:bottom w:val="single" w:color="auto" w:sz="4" w:space="0"/>
              <w:right w:val="single" w:color="auto" w:sz="4" w:space="0"/>
            </w:tcBorders>
            <w:vAlign w:val="center"/>
          </w:tcPr>
          <w:p w14:paraId="29C2038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中国移动数据中心</w:t>
            </w:r>
          </w:p>
        </w:tc>
        <w:tc>
          <w:tcPr>
            <w:tcW w:w="945" w:type="dxa"/>
            <w:tcBorders>
              <w:top w:val="single" w:color="auto" w:sz="4" w:space="0"/>
              <w:left w:val="nil"/>
              <w:bottom w:val="single" w:color="auto" w:sz="4" w:space="0"/>
              <w:right w:val="single" w:color="auto" w:sz="4" w:space="0"/>
            </w:tcBorders>
            <w:vAlign w:val="center"/>
          </w:tcPr>
          <w:p w14:paraId="1A31AEC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single" w:color="auto" w:sz="4" w:space="0"/>
              <w:left w:val="nil"/>
              <w:bottom w:val="single" w:color="auto" w:sz="4" w:space="0"/>
              <w:right w:val="single" w:color="auto" w:sz="4" w:space="0"/>
            </w:tcBorders>
            <w:vAlign w:val="center"/>
          </w:tcPr>
          <w:p w14:paraId="7DE37BA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数据中心1#建设移动IDC机房，提升IDC带宽服务质量，建设政务和行业云平台，服务于全省政务、金融、卫生医疗、城市应急管理、教育、工业等产业，探索5G相关应用场景。</w:t>
            </w:r>
          </w:p>
        </w:tc>
        <w:tc>
          <w:tcPr>
            <w:tcW w:w="1342" w:type="dxa"/>
            <w:tcBorders>
              <w:top w:val="single" w:color="auto" w:sz="4" w:space="0"/>
              <w:left w:val="nil"/>
              <w:bottom w:val="single" w:color="auto" w:sz="4" w:space="0"/>
              <w:right w:val="single" w:color="auto" w:sz="4" w:space="0"/>
            </w:tcBorders>
            <w:vAlign w:val="center"/>
          </w:tcPr>
          <w:p w14:paraId="752FC1C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single" w:color="auto" w:sz="4" w:space="0"/>
              <w:left w:val="nil"/>
              <w:bottom w:val="single" w:color="auto" w:sz="4" w:space="0"/>
              <w:right w:val="single" w:color="auto" w:sz="4" w:space="0"/>
            </w:tcBorders>
            <w:vAlign w:val="center"/>
          </w:tcPr>
          <w:p w14:paraId="15116E5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single" w:color="auto" w:sz="4" w:space="0"/>
              <w:left w:val="nil"/>
              <w:bottom w:val="single" w:color="auto" w:sz="4" w:space="0"/>
              <w:right w:val="single" w:color="auto" w:sz="4" w:space="0"/>
            </w:tcBorders>
            <w:vAlign w:val="center"/>
          </w:tcPr>
          <w:p w14:paraId="6D716DF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2E9ABDE6">
            <w:pPr>
              <w:widowControl/>
              <w:jc w:val="left"/>
              <w:rPr>
                <w:rFonts w:ascii="Times New Roman" w:hAnsi="Times New Roman" w:eastAsia="Times New Roman" w:cs="Times New Roman"/>
                <w:kern w:val="0"/>
                <w:sz w:val="20"/>
                <w:szCs w:val="20"/>
              </w:rPr>
            </w:pPr>
          </w:p>
        </w:tc>
      </w:tr>
      <w:tr w14:paraId="556665D2">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249599E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w:t>
            </w:r>
          </w:p>
        </w:tc>
        <w:tc>
          <w:tcPr>
            <w:tcW w:w="1981" w:type="dxa"/>
            <w:tcBorders>
              <w:top w:val="nil"/>
              <w:left w:val="nil"/>
              <w:bottom w:val="single" w:color="auto" w:sz="4" w:space="0"/>
              <w:right w:val="single" w:color="auto" w:sz="4" w:space="0"/>
            </w:tcBorders>
            <w:vAlign w:val="center"/>
          </w:tcPr>
          <w:p w14:paraId="2C2496F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中国联通数据中心</w:t>
            </w:r>
          </w:p>
        </w:tc>
        <w:tc>
          <w:tcPr>
            <w:tcW w:w="945" w:type="dxa"/>
            <w:tcBorders>
              <w:top w:val="nil"/>
              <w:left w:val="nil"/>
              <w:bottom w:val="single" w:color="auto" w:sz="4" w:space="0"/>
              <w:right w:val="single" w:color="auto" w:sz="4" w:space="0"/>
            </w:tcBorders>
            <w:vAlign w:val="center"/>
          </w:tcPr>
          <w:p w14:paraId="625A65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60DBC7D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建设联通数据中心及IDC网络资源，打造“中心+边界云”服务平台，为政企及工业企业客户提供更优质到数据存储和传输服务，进一步提高产业园与泉州联通自有机房资源共享水平。</w:t>
            </w:r>
          </w:p>
        </w:tc>
        <w:tc>
          <w:tcPr>
            <w:tcW w:w="1342" w:type="dxa"/>
            <w:tcBorders>
              <w:top w:val="nil"/>
              <w:left w:val="nil"/>
              <w:bottom w:val="single" w:color="auto" w:sz="4" w:space="0"/>
              <w:right w:val="single" w:color="auto" w:sz="4" w:space="0"/>
            </w:tcBorders>
            <w:vAlign w:val="center"/>
          </w:tcPr>
          <w:p w14:paraId="22F6B11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4F86BCF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13EC7B2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04A4C73B">
            <w:pPr>
              <w:widowControl/>
              <w:jc w:val="left"/>
              <w:rPr>
                <w:rFonts w:ascii="Times New Roman" w:hAnsi="Times New Roman" w:eastAsia="Times New Roman" w:cs="Times New Roman"/>
                <w:kern w:val="0"/>
                <w:sz w:val="20"/>
                <w:szCs w:val="20"/>
              </w:rPr>
            </w:pPr>
          </w:p>
        </w:tc>
      </w:tr>
      <w:tr w14:paraId="56514230">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51106FE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w:t>
            </w:r>
          </w:p>
        </w:tc>
        <w:tc>
          <w:tcPr>
            <w:tcW w:w="1981" w:type="dxa"/>
            <w:tcBorders>
              <w:top w:val="nil"/>
              <w:left w:val="nil"/>
              <w:bottom w:val="single" w:color="auto" w:sz="4" w:space="0"/>
              <w:right w:val="single" w:color="auto" w:sz="4" w:space="0"/>
            </w:tcBorders>
            <w:vAlign w:val="center"/>
          </w:tcPr>
          <w:p w14:paraId="7056A9C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中信科数据中心</w:t>
            </w:r>
          </w:p>
        </w:tc>
        <w:tc>
          <w:tcPr>
            <w:tcW w:w="945" w:type="dxa"/>
            <w:tcBorders>
              <w:top w:val="nil"/>
              <w:left w:val="nil"/>
              <w:bottom w:val="single" w:color="auto" w:sz="4" w:space="0"/>
              <w:right w:val="single" w:color="auto" w:sz="4" w:space="0"/>
            </w:tcBorders>
            <w:vAlign w:val="center"/>
          </w:tcPr>
          <w:p w14:paraId="7977E6D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63A3D81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投资建设3500个机柜数据中心，主要服务于省内外物联网产业。</w:t>
            </w:r>
          </w:p>
        </w:tc>
        <w:tc>
          <w:tcPr>
            <w:tcW w:w="1342" w:type="dxa"/>
            <w:tcBorders>
              <w:top w:val="nil"/>
              <w:left w:val="nil"/>
              <w:bottom w:val="single" w:color="auto" w:sz="4" w:space="0"/>
              <w:right w:val="single" w:color="auto" w:sz="4" w:space="0"/>
            </w:tcBorders>
            <w:vAlign w:val="center"/>
          </w:tcPr>
          <w:p w14:paraId="3A19EB7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5E7C1A3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03B38A5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25EA471B">
            <w:pPr>
              <w:widowControl/>
              <w:jc w:val="left"/>
              <w:rPr>
                <w:rFonts w:ascii="Times New Roman" w:hAnsi="Times New Roman" w:eastAsia="Times New Roman" w:cs="Times New Roman"/>
                <w:kern w:val="0"/>
                <w:sz w:val="20"/>
                <w:szCs w:val="20"/>
              </w:rPr>
            </w:pPr>
          </w:p>
        </w:tc>
      </w:tr>
      <w:tr w14:paraId="200A0B93">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57463A9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w:t>
            </w:r>
          </w:p>
        </w:tc>
        <w:tc>
          <w:tcPr>
            <w:tcW w:w="1981" w:type="dxa"/>
            <w:tcBorders>
              <w:top w:val="nil"/>
              <w:left w:val="nil"/>
              <w:bottom w:val="single" w:color="auto" w:sz="4" w:space="0"/>
              <w:right w:val="single" w:color="auto" w:sz="4" w:space="0"/>
            </w:tcBorders>
            <w:vAlign w:val="center"/>
          </w:tcPr>
          <w:p w14:paraId="37DE7A9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汉唐智华数据中心</w:t>
            </w:r>
          </w:p>
        </w:tc>
        <w:tc>
          <w:tcPr>
            <w:tcW w:w="945" w:type="dxa"/>
            <w:tcBorders>
              <w:top w:val="nil"/>
              <w:left w:val="nil"/>
              <w:bottom w:val="single" w:color="auto" w:sz="4" w:space="0"/>
              <w:right w:val="single" w:color="auto" w:sz="4" w:space="0"/>
            </w:tcBorders>
            <w:vAlign w:val="center"/>
          </w:tcPr>
          <w:p w14:paraId="21FF292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3ECA4DE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合作建设大唐中国云数据中心，部署中国云节点，服务智慧城市建设；建设5G应用试点，推动地区5G业务发展。</w:t>
            </w:r>
          </w:p>
        </w:tc>
        <w:tc>
          <w:tcPr>
            <w:tcW w:w="1342" w:type="dxa"/>
            <w:tcBorders>
              <w:top w:val="nil"/>
              <w:left w:val="nil"/>
              <w:bottom w:val="single" w:color="auto" w:sz="4" w:space="0"/>
              <w:right w:val="single" w:color="auto" w:sz="4" w:space="0"/>
            </w:tcBorders>
            <w:vAlign w:val="center"/>
          </w:tcPr>
          <w:p w14:paraId="2086ABB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40C00A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2022-2023</w:t>
            </w:r>
          </w:p>
        </w:tc>
        <w:tc>
          <w:tcPr>
            <w:tcW w:w="1145" w:type="dxa"/>
            <w:tcBorders>
              <w:top w:val="nil"/>
              <w:left w:val="nil"/>
              <w:bottom w:val="single" w:color="auto" w:sz="4" w:space="0"/>
              <w:right w:val="single" w:color="auto" w:sz="4" w:space="0"/>
            </w:tcBorders>
            <w:vAlign w:val="center"/>
          </w:tcPr>
          <w:p w14:paraId="0EC09D9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54388AFB">
            <w:pPr>
              <w:widowControl/>
              <w:jc w:val="left"/>
              <w:rPr>
                <w:rFonts w:ascii="Times New Roman" w:hAnsi="Times New Roman" w:eastAsia="Times New Roman" w:cs="Times New Roman"/>
                <w:kern w:val="0"/>
                <w:sz w:val="20"/>
                <w:szCs w:val="20"/>
              </w:rPr>
            </w:pPr>
          </w:p>
        </w:tc>
      </w:tr>
      <w:tr w14:paraId="0F8A20A0">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2589981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w:t>
            </w:r>
          </w:p>
        </w:tc>
        <w:tc>
          <w:tcPr>
            <w:tcW w:w="1981" w:type="dxa"/>
            <w:tcBorders>
              <w:top w:val="nil"/>
              <w:left w:val="nil"/>
              <w:bottom w:val="single" w:color="auto" w:sz="4" w:space="0"/>
              <w:right w:val="single" w:color="auto" w:sz="4" w:space="0"/>
            </w:tcBorders>
            <w:vAlign w:val="center"/>
          </w:tcPr>
          <w:p w14:paraId="089C2AC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泉州5G网络建设</w:t>
            </w:r>
          </w:p>
        </w:tc>
        <w:tc>
          <w:tcPr>
            <w:tcW w:w="945" w:type="dxa"/>
            <w:tcBorders>
              <w:top w:val="nil"/>
              <w:left w:val="nil"/>
              <w:bottom w:val="single" w:color="auto" w:sz="4" w:space="0"/>
              <w:right w:val="single" w:color="auto" w:sz="4" w:space="0"/>
            </w:tcBorders>
            <w:vAlign w:val="center"/>
          </w:tcPr>
          <w:p w14:paraId="53E87C6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4E8C2EB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力争到2025年，建成5G基站4万个，实现中心城区、县城区、重点乡镇村居连片覆盖。</w:t>
            </w:r>
          </w:p>
        </w:tc>
        <w:tc>
          <w:tcPr>
            <w:tcW w:w="1342" w:type="dxa"/>
            <w:tcBorders>
              <w:top w:val="nil"/>
              <w:left w:val="nil"/>
              <w:bottom w:val="single" w:color="auto" w:sz="4" w:space="0"/>
              <w:right w:val="single" w:color="auto" w:sz="4" w:space="0"/>
            </w:tcBorders>
            <w:vAlign w:val="center"/>
          </w:tcPr>
          <w:p w14:paraId="7045822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37.865</w:t>
            </w:r>
          </w:p>
        </w:tc>
        <w:tc>
          <w:tcPr>
            <w:tcW w:w="1866" w:type="dxa"/>
            <w:tcBorders>
              <w:top w:val="nil"/>
              <w:left w:val="nil"/>
              <w:bottom w:val="single" w:color="auto" w:sz="4" w:space="0"/>
              <w:right w:val="single" w:color="auto" w:sz="4" w:space="0"/>
            </w:tcBorders>
            <w:vAlign w:val="center"/>
          </w:tcPr>
          <w:p w14:paraId="3E1055C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30F31CA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市数字办、通信发展管理办</w:t>
            </w:r>
          </w:p>
        </w:tc>
        <w:tc>
          <w:tcPr>
            <w:tcW w:w="236" w:type="dxa"/>
            <w:vAlign w:val="center"/>
          </w:tcPr>
          <w:p w14:paraId="71A385B2">
            <w:pPr>
              <w:widowControl/>
              <w:jc w:val="left"/>
              <w:rPr>
                <w:rFonts w:ascii="Times New Roman" w:hAnsi="Times New Roman" w:eastAsia="Times New Roman" w:cs="Times New Roman"/>
                <w:kern w:val="0"/>
                <w:sz w:val="20"/>
                <w:szCs w:val="20"/>
              </w:rPr>
            </w:pPr>
          </w:p>
        </w:tc>
      </w:tr>
      <w:tr w14:paraId="6CEB08D8">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C9F7F9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w:t>
            </w:r>
          </w:p>
        </w:tc>
        <w:tc>
          <w:tcPr>
            <w:tcW w:w="1981" w:type="dxa"/>
            <w:tcBorders>
              <w:top w:val="nil"/>
              <w:left w:val="nil"/>
              <w:bottom w:val="single" w:color="auto" w:sz="4" w:space="0"/>
              <w:right w:val="single" w:color="auto" w:sz="4" w:space="0"/>
            </w:tcBorders>
            <w:vAlign w:val="center"/>
          </w:tcPr>
          <w:p w14:paraId="51A1041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中国电信泉州数据中心（扩容）项目</w:t>
            </w:r>
          </w:p>
        </w:tc>
        <w:tc>
          <w:tcPr>
            <w:tcW w:w="945" w:type="dxa"/>
            <w:tcBorders>
              <w:top w:val="nil"/>
              <w:left w:val="nil"/>
              <w:bottom w:val="single" w:color="auto" w:sz="4" w:space="0"/>
              <w:right w:val="single" w:color="auto" w:sz="4" w:space="0"/>
            </w:tcBorders>
            <w:vAlign w:val="center"/>
          </w:tcPr>
          <w:p w14:paraId="2A13F23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3F86194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电信泉州分公司院前数据中心计划再投资1亿元进行节点扩容，建成后将能提供5万核vCPU算力资源及5000T存储资源。</w:t>
            </w:r>
          </w:p>
        </w:tc>
        <w:tc>
          <w:tcPr>
            <w:tcW w:w="1342" w:type="dxa"/>
            <w:tcBorders>
              <w:top w:val="nil"/>
              <w:left w:val="nil"/>
              <w:bottom w:val="single" w:color="auto" w:sz="4" w:space="0"/>
              <w:right w:val="single" w:color="auto" w:sz="4" w:space="0"/>
            </w:tcBorders>
            <w:vAlign w:val="center"/>
          </w:tcPr>
          <w:p w14:paraId="6A8CEC9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58C1FC0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3A8E772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电信泉州分公司</w:t>
            </w:r>
          </w:p>
        </w:tc>
        <w:tc>
          <w:tcPr>
            <w:tcW w:w="236" w:type="dxa"/>
            <w:vAlign w:val="center"/>
          </w:tcPr>
          <w:p w14:paraId="7DF68876">
            <w:pPr>
              <w:widowControl/>
              <w:jc w:val="left"/>
              <w:rPr>
                <w:rFonts w:ascii="Times New Roman" w:hAnsi="Times New Roman" w:eastAsia="Times New Roman" w:cs="Times New Roman"/>
                <w:kern w:val="0"/>
                <w:sz w:val="20"/>
                <w:szCs w:val="20"/>
              </w:rPr>
            </w:pPr>
          </w:p>
        </w:tc>
      </w:tr>
      <w:tr w14:paraId="52DB6DFA">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123A4D5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w:t>
            </w:r>
          </w:p>
        </w:tc>
        <w:tc>
          <w:tcPr>
            <w:tcW w:w="1981" w:type="dxa"/>
            <w:tcBorders>
              <w:top w:val="nil"/>
              <w:left w:val="nil"/>
              <w:bottom w:val="single" w:color="auto" w:sz="4" w:space="0"/>
              <w:right w:val="single" w:color="auto" w:sz="4" w:space="0"/>
            </w:tcBorders>
            <w:vAlign w:val="center"/>
          </w:tcPr>
          <w:p w14:paraId="1FFCBD1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海上丝绸之路时间中心</w:t>
            </w:r>
          </w:p>
        </w:tc>
        <w:tc>
          <w:tcPr>
            <w:tcW w:w="945" w:type="dxa"/>
            <w:tcBorders>
              <w:top w:val="nil"/>
              <w:left w:val="nil"/>
              <w:bottom w:val="single" w:color="auto" w:sz="4" w:space="0"/>
              <w:right w:val="single" w:color="auto" w:sz="4" w:space="0"/>
            </w:tcBorders>
            <w:vAlign w:val="center"/>
          </w:tcPr>
          <w:p w14:paraId="4BCF624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6BE3F08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中科院国家授时中心为依托，以大科学装置建设为抓手，按照“一心四核”（一心：时间中心总部，四核：大科学装置、时空大数据中心、时空产业园、文化教育等四大核心板块）的战略部署，一期规划用地约35亩，力争打造成世界一流的时空科创基地。</w:t>
            </w:r>
          </w:p>
        </w:tc>
        <w:tc>
          <w:tcPr>
            <w:tcW w:w="1342" w:type="dxa"/>
            <w:tcBorders>
              <w:top w:val="nil"/>
              <w:left w:val="nil"/>
              <w:bottom w:val="single" w:color="auto" w:sz="4" w:space="0"/>
              <w:right w:val="single" w:color="auto" w:sz="4" w:space="0"/>
            </w:tcBorders>
            <w:vAlign w:val="center"/>
          </w:tcPr>
          <w:p w14:paraId="5E13EFD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7.8</w:t>
            </w:r>
          </w:p>
        </w:tc>
        <w:tc>
          <w:tcPr>
            <w:tcW w:w="1866" w:type="dxa"/>
            <w:tcBorders>
              <w:top w:val="nil"/>
              <w:left w:val="nil"/>
              <w:bottom w:val="single" w:color="auto" w:sz="4" w:space="0"/>
              <w:right w:val="single" w:color="auto" w:sz="4" w:space="0"/>
            </w:tcBorders>
            <w:vAlign w:val="center"/>
          </w:tcPr>
          <w:p w14:paraId="78E5147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3DD0973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市科技局</w:t>
            </w:r>
          </w:p>
        </w:tc>
        <w:tc>
          <w:tcPr>
            <w:tcW w:w="236" w:type="dxa"/>
            <w:vAlign w:val="center"/>
          </w:tcPr>
          <w:p w14:paraId="3A9EEB65">
            <w:pPr>
              <w:widowControl/>
              <w:jc w:val="left"/>
              <w:rPr>
                <w:rFonts w:ascii="Times New Roman" w:hAnsi="Times New Roman" w:eastAsia="Times New Roman" w:cs="Times New Roman"/>
                <w:kern w:val="0"/>
                <w:sz w:val="20"/>
                <w:szCs w:val="20"/>
              </w:rPr>
            </w:pPr>
          </w:p>
        </w:tc>
      </w:tr>
      <w:tr w14:paraId="5EDC1BD9">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2DA4B839">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w:t>
            </w:r>
          </w:p>
        </w:tc>
        <w:tc>
          <w:tcPr>
            <w:tcW w:w="1981" w:type="dxa"/>
            <w:tcBorders>
              <w:top w:val="nil"/>
              <w:left w:val="nil"/>
              <w:bottom w:val="single" w:color="auto" w:sz="4" w:space="0"/>
              <w:right w:val="single" w:color="auto" w:sz="4" w:space="0"/>
            </w:tcBorders>
            <w:vAlign w:val="center"/>
          </w:tcPr>
          <w:p w14:paraId="1381BA5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新“沃云”骨干云池+MEC边缘云布局</w:t>
            </w:r>
          </w:p>
        </w:tc>
        <w:tc>
          <w:tcPr>
            <w:tcW w:w="945" w:type="dxa"/>
            <w:tcBorders>
              <w:top w:val="nil"/>
              <w:left w:val="nil"/>
              <w:bottom w:val="single" w:color="auto" w:sz="4" w:space="0"/>
              <w:right w:val="single" w:color="auto" w:sz="4" w:space="0"/>
            </w:tcBorders>
            <w:vAlign w:val="center"/>
          </w:tcPr>
          <w:p w14:paraId="7351357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16B4E04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提升云网一体能力，规划期算力达到 14万核vCPU，分布式存储27PB，边缘节点,达到100+的边缘节点。</w:t>
            </w:r>
          </w:p>
        </w:tc>
        <w:tc>
          <w:tcPr>
            <w:tcW w:w="1342" w:type="dxa"/>
            <w:tcBorders>
              <w:top w:val="nil"/>
              <w:left w:val="nil"/>
              <w:bottom w:val="single" w:color="auto" w:sz="4" w:space="0"/>
              <w:right w:val="single" w:color="auto" w:sz="4" w:space="0"/>
            </w:tcBorders>
            <w:vAlign w:val="center"/>
          </w:tcPr>
          <w:p w14:paraId="1C67890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w:t>
            </w:r>
          </w:p>
        </w:tc>
        <w:tc>
          <w:tcPr>
            <w:tcW w:w="1866" w:type="dxa"/>
            <w:tcBorders>
              <w:top w:val="nil"/>
              <w:left w:val="nil"/>
              <w:bottom w:val="single" w:color="auto" w:sz="4" w:space="0"/>
              <w:right w:val="single" w:color="auto" w:sz="4" w:space="0"/>
            </w:tcBorders>
            <w:vAlign w:val="center"/>
          </w:tcPr>
          <w:p w14:paraId="12184A6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718FDAD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联通泉州分公司</w:t>
            </w:r>
          </w:p>
        </w:tc>
        <w:tc>
          <w:tcPr>
            <w:tcW w:w="236" w:type="dxa"/>
            <w:vAlign w:val="center"/>
          </w:tcPr>
          <w:p w14:paraId="56E54A92">
            <w:pPr>
              <w:widowControl/>
              <w:jc w:val="left"/>
              <w:rPr>
                <w:rFonts w:ascii="Times New Roman" w:hAnsi="Times New Roman" w:eastAsia="Times New Roman" w:cs="Times New Roman"/>
                <w:kern w:val="0"/>
                <w:sz w:val="20"/>
                <w:szCs w:val="20"/>
              </w:rPr>
            </w:pPr>
          </w:p>
        </w:tc>
      </w:tr>
      <w:tr w14:paraId="579B8CFC">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A326DB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w:t>
            </w:r>
          </w:p>
        </w:tc>
        <w:tc>
          <w:tcPr>
            <w:tcW w:w="1981" w:type="dxa"/>
            <w:tcBorders>
              <w:top w:val="nil"/>
              <w:left w:val="nil"/>
              <w:bottom w:val="single" w:color="auto" w:sz="4" w:space="0"/>
              <w:right w:val="single" w:color="auto" w:sz="4" w:space="0"/>
            </w:tcBorders>
            <w:vAlign w:val="center"/>
          </w:tcPr>
          <w:p w14:paraId="6937DA4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新型智能城域网布局</w:t>
            </w:r>
          </w:p>
        </w:tc>
        <w:tc>
          <w:tcPr>
            <w:tcW w:w="945" w:type="dxa"/>
            <w:tcBorders>
              <w:top w:val="nil"/>
              <w:left w:val="nil"/>
              <w:bottom w:val="single" w:color="auto" w:sz="4" w:space="0"/>
              <w:right w:val="single" w:color="auto" w:sz="4" w:space="0"/>
            </w:tcBorders>
            <w:vAlign w:val="center"/>
          </w:tcPr>
          <w:p w14:paraId="684475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16173F8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构建智能城域网汇聚层，以汇聚带动接入，推进网络架构逐步向智能城域网演进，规划期内实现汇聚节点全覆盖，新设备全面支持SRv6、Flex新技术。</w:t>
            </w:r>
          </w:p>
        </w:tc>
        <w:tc>
          <w:tcPr>
            <w:tcW w:w="1342" w:type="dxa"/>
            <w:tcBorders>
              <w:top w:val="nil"/>
              <w:left w:val="nil"/>
              <w:bottom w:val="single" w:color="auto" w:sz="4" w:space="0"/>
              <w:right w:val="single" w:color="auto" w:sz="4" w:space="0"/>
            </w:tcBorders>
            <w:vAlign w:val="center"/>
          </w:tcPr>
          <w:p w14:paraId="53230E7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w:t>
            </w:r>
          </w:p>
        </w:tc>
        <w:tc>
          <w:tcPr>
            <w:tcW w:w="1866" w:type="dxa"/>
            <w:tcBorders>
              <w:top w:val="nil"/>
              <w:left w:val="nil"/>
              <w:bottom w:val="single" w:color="auto" w:sz="4" w:space="0"/>
              <w:right w:val="single" w:color="auto" w:sz="4" w:space="0"/>
            </w:tcBorders>
            <w:vAlign w:val="center"/>
          </w:tcPr>
          <w:p w14:paraId="36A54B5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46B889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联通泉州分公司</w:t>
            </w:r>
          </w:p>
        </w:tc>
        <w:tc>
          <w:tcPr>
            <w:tcW w:w="236" w:type="dxa"/>
            <w:vAlign w:val="center"/>
          </w:tcPr>
          <w:p w14:paraId="44715868">
            <w:pPr>
              <w:widowControl/>
              <w:jc w:val="left"/>
              <w:rPr>
                <w:rFonts w:ascii="Times New Roman" w:hAnsi="Times New Roman" w:eastAsia="Times New Roman" w:cs="Times New Roman"/>
                <w:kern w:val="0"/>
                <w:sz w:val="20"/>
                <w:szCs w:val="20"/>
              </w:rPr>
            </w:pPr>
          </w:p>
        </w:tc>
      </w:tr>
      <w:tr w14:paraId="1F0EE0BB">
        <w:tblPrEx>
          <w:tblCellMar>
            <w:top w:w="0" w:type="dxa"/>
            <w:left w:w="108" w:type="dxa"/>
            <w:bottom w:w="0" w:type="dxa"/>
            <w:right w:w="108" w:type="dxa"/>
          </w:tblCellMar>
        </w:tblPrEx>
        <w:trPr>
          <w:trHeight w:val="1152" w:hRule="atLeast"/>
        </w:trPr>
        <w:tc>
          <w:tcPr>
            <w:tcW w:w="566" w:type="dxa"/>
            <w:tcBorders>
              <w:top w:val="single" w:color="auto" w:sz="4" w:space="0"/>
              <w:left w:val="single" w:color="auto" w:sz="4" w:space="0"/>
              <w:bottom w:val="single" w:color="auto" w:sz="4" w:space="0"/>
              <w:right w:val="single" w:color="auto" w:sz="4" w:space="0"/>
            </w:tcBorders>
            <w:vAlign w:val="center"/>
          </w:tcPr>
          <w:p w14:paraId="213C41B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w:t>
            </w:r>
          </w:p>
        </w:tc>
        <w:tc>
          <w:tcPr>
            <w:tcW w:w="1981" w:type="dxa"/>
            <w:tcBorders>
              <w:top w:val="single" w:color="auto" w:sz="4" w:space="0"/>
              <w:left w:val="nil"/>
              <w:bottom w:val="single" w:color="auto" w:sz="4" w:space="0"/>
              <w:right w:val="single" w:color="auto" w:sz="4" w:space="0"/>
            </w:tcBorders>
            <w:vAlign w:val="center"/>
          </w:tcPr>
          <w:p w14:paraId="5A1ABB1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大唐海上风电大数据中心</w:t>
            </w:r>
          </w:p>
        </w:tc>
        <w:tc>
          <w:tcPr>
            <w:tcW w:w="945" w:type="dxa"/>
            <w:tcBorders>
              <w:top w:val="single" w:color="auto" w:sz="4" w:space="0"/>
              <w:left w:val="nil"/>
              <w:bottom w:val="single" w:color="auto" w:sz="4" w:space="0"/>
              <w:right w:val="single" w:color="auto" w:sz="4" w:space="0"/>
            </w:tcBorders>
            <w:vAlign w:val="center"/>
          </w:tcPr>
          <w:p w14:paraId="375A099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single" w:color="auto" w:sz="4" w:space="0"/>
              <w:left w:val="nil"/>
              <w:bottom w:val="single" w:color="auto" w:sz="4" w:space="0"/>
              <w:right w:val="single" w:color="auto" w:sz="4" w:space="0"/>
            </w:tcBorders>
            <w:vAlign w:val="center"/>
          </w:tcPr>
          <w:p w14:paraId="53181CC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上风电大数据平台，围绕着“一平台，两服务”的设计宗旨，通过一个大数据平台将海上风电涉及的规划数据、建设数据、工程信息、风机、升压站、气象数据、海事船舶数据、海缆、塔基、雷达、海洋监测等各种数据采集并实现集中存储。</w:t>
            </w:r>
          </w:p>
        </w:tc>
        <w:tc>
          <w:tcPr>
            <w:tcW w:w="1342" w:type="dxa"/>
            <w:tcBorders>
              <w:top w:val="single" w:color="auto" w:sz="4" w:space="0"/>
              <w:left w:val="nil"/>
              <w:bottom w:val="single" w:color="auto" w:sz="4" w:space="0"/>
              <w:right w:val="single" w:color="auto" w:sz="4" w:space="0"/>
            </w:tcBorders>
            <w:vAlign w:val="center"/>
          </w:tcPr>
          <w:p w14:paraId="58DA783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w:t>
            </w:r>
          </w:p>
        </w:tc>
        <w:tc>
          <w:tcPr>
            <w:tcW w:w="1866" w:type="dxa"/>
            <w:tcBorders>
              <w:top w:val="single" w:color="auto" w:sz="4" w:space="0"/>
              <w:left w:val="nil"/>
              <w:bottom w:val="single" w:color="auto" w:sz="4" w:space="0"/>
              <w:right w:val="single" w:color="auto" w:sz="4" w:space="0"/>
            </w:tcBorders>
            <w:vAlign w:val="center"/>
          </w:tcPr>
          <w:p w14:paraId="06356D4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single" w:color="auto" w:sz="4" w:space="0"/>
              <w:left w:val="nil"/>
              <w:bottom w:val="single" w:color="auto" w:sz="4" w:space="0"/>
              <w:right w:val="single" w:color="auto" w:sz="4" w:space="0"/>
            </w:tcBorders>
            <w:vAlign w:val="center"/>
          </w:tcPr>
          <w:p w14:paraId="182AF9A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6A9A9445">
            <w:pPr>
              <w:widowControl/>
              <w:jc w:val="left"/>
              <w:rPr>
                <w:rFonts w:ascii="Times New Roman" w:hAnsi="Times New Roman" w:eastAsia="Times New Roman" w:cs="Times New Roman"/>
                <w:kern w:val="0"/>
                <w:sz w:val="20"/>
                <w:szCs w:val="20"/>
              </w:rPr>
            </w:pPr>
          </w:p>
        </w:tc>
      </w:tr>
      <w:tr w14:paraId="6F865277">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FEF26A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17</w:t>
            </w:r>
          </w:p>
        </w:tc>
        <w:tc>
          <w:tcPr>
            <w:tcW w:w="1981" w:type="dxa"/>
            <w:tcBorders>
              <w:top w:val="nil"/>
              <w:left w:val="nil"/>
              <w:bottom w:val="single" w:color="auto" w:sz="4" w:space="0"/>
              <w:right w:val="single" w:color="auto" w:sz="4" w:space="0"/>
            </w:tcBorders>
            <w:vAlign w:val="center"/>
          </w:tcPr>
          <w:p w14:paraId="01DB2CE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泉州市工业互联网标识解析综合型二级节点</w:t>
            </w:r>
          </w:p>
        </w:tc>
        <w:tc>
          <w:tcPr>
            <w:tcW w:w="945" w:type="dxa"/>
            <w:tcBorders>
              <w:top w:val="nil"/>
              <w:left w:val="nil"/>
              <w:bottom w:val="single" w:color="auto" w:sz="4" w:space="0"/>
              <w:right w:val="single" w:color="auto" w:sz="4" w:space="0"/>
            </w:tcBorders>
            <w:vAlign w:val="center"/>
          </w:tcPr>
          <w:p w14:paraId="4238FDC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0D7C9EA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在工业互联网标识解析体系国家顶级节点之下部署一套二级节点系统，一期规划接入200家企业节点，标识接入数量2000万条。</w:t>
            </w:r>
          </w:p>
        </w:tc>
        <w:tc>
          <w:tcPr>
            <w:tcW w:w="1342" w:type="dxa"/>
            <w:tcBorders>
              <w:top w:val="nil"/>
              <w:left w:val="nil"/>
              <w:bottom w:val="single" w:color="auto" w:sz="4" w:space="0"/>
              <w:right w:val="single" w:color="auto" w:sz="4" w:space="0"/>
            </w:tcBorders>
            <w:vAlign w:val="center"/>
          </w:tcPr>
          <w:p w14:paraId="1D5A17C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0.336</w:t>
            </w:r>
          </w:p>
        </w:tc>
        <w:tc>
          <w:tcPr>
            <w:tcW w:w="1866" w:type="dxa"/>
            <w:tcBorders>
              <w:top w:val="nil"/>
              <w:left w:val="nil"/>
              <w:bottom w:val="single" w:color="auto" w:sz="4" w:space="0"/>
              <w:right w:val="single" w:color="auto" w:sz="4" w:space="0"/>
            </w:tcBorders>
            <w:vAlign w:val="center"/>
          </w:tcPr>
          <w:p w14:paraId="2E67659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79D9D94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市工信局、通信发展管理办</w:t>
            </w:r>
          </w:p>
        </w:tc>
        <w:tc>
          <w:tcPr>
            <w:tcW w:w="236" w:type="dxa"/>
            <w:vAlign w:val="center"/>
          </w:tcPr>
          <w:p w14:paraId="4D84C9F5">
            <w:pPr>
              <w:widowControl/>
              <w:jc w:val="left"/>
              <w:rPr>
                <w:rFonts w:ascii="Times New Roman" w:hAnsi="Times New Roman" w:eastAsia="Times New Roman" w:cs="Times New Roman"/>
                <w:kern w:val="0"/>
                <w:sz w:val="20"/>
                <w:szCs w:val="20"/>
              </w:rPr>
            </w:pPr>
          </w:p>
        </w:tc>
      </w:tr>
      <w:tr w14:paraId="6FBBA05E">
        <w:tblPrEx>
          <w:tblCellMar>
            <w:top w:w="0" w:type="dxa"/>
            <w:left w:w="108" w:type="dxa"/>
            <w:bottom w:w="0" w:type="dxa"/>
            <w:right w:w="108" w:type="dxa"/>
          </w:tblCellMar>
        </w:tblPrEx>
        <w:trPr>
          <w:trHeight w:val="2016" w:hRule="atLeast"/>
        </w:trPr>
        <w:tc>
          <w:tcPr>
            <w:tcW w:w="566" w:type="dxa"/>
            <w:tcBorders>
              <w:top w:val="nil"/>
              <w:left w:val="single" w:color="auto" w:sz="4" w:space="0"/>
              <w:bottom w:val="single" w:color="auto" w:sz="4" w:space="0"/>
              <w:right w:val="single" w:color="auto" w:sz="4" w:space="0"/>
            </w:tcBorders>
            <w:vAlign w:val="center"/>
          </w:tcPr>
          <w:p w14:paraId="0A4688D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18</w:t>
            </w:r>
          </w:p>
        </w:tc>
        <w:tc>
          <w:tcPr>
            <w:tcW w:w="1981" w:type="dxa"/>
            <w:tcBorders>
              <w:top w:val="nil"/>
              <w:left w:val="nil"/>
              <w:bottom w:val="single" w:color="auto" w:sz="4" w:space="0"/>
              <w:right w:val="single" w:color="auto" w:sz="4" w:space="0"/>
            </w:tcBorders>
            <w:vAlign w:val="center"/>
          </w:tcPr>
          <w:p w14:paraId="68E3422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5G新消息平台</w:t>
            </w:r>
          </w:p>
        </w:tc>
        <w:tc>
          <w:tcPr>
            <w:tcW w:w="945" w:type="dxa"/>
            <w:tcBorders>
              <w:top w:val="nil"/>
              <w:left w:val="nil"/>
              <w:bottom w:val="single" w:color="auto" w:sz="4" w:space="0"/>
              <w:right w:val="single" w:color="auto" w:sz="4" w:space="0"/>
            </w:tcBorders>
            <w:vAlign w:val="center"/>
          </w:tcPr>
          <w:p w14:paraId="7FB1F47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138E7E0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移动泉州分公司5G新消息平台，是汇聚了多种媒体和消息格式的底层服务平台。可为富媒体消息、视频短信、微信、短信等多渠道的消息服务提供平台及解决方案，是5G消息业务重要的运营与支撑服务手段。一期实现泉州本地“泉服务”应用接入，争取实现全国第一个地市主导的5G RCS应用；二期随着应用的普及推广将建成5G富媒体大数据平台，引入国内领先传统通信服务商来泉进行业务对接，落地泉州形成整个5G消息产业生态。</w:t>
            </w:r>
          </w:p>
        </w:tc>
        <w:tc>
          <w:tcPr>
            <w:tcW w:w="1342" w:type="dxa"/>
            <w:tcBorders>
              <w:top w:val="nil"/>
              <w:left w:val="nil"/>
              <w:bottom w:val="single" w:color="auto" w:sz="4" w:space="0"/>
              <w:right w:val="single" w:color="auto" w:sz="4" w:space="0"/>
            </w:tcBorders>
            <w:vAlign w:val="center"/>
          </w:tcPr>
          <w:p w14:paraId="054A423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1CC4DDD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224EF5A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71C7CE6B">
            <w:pPr>
              <w:widowControl/>
              <w:jc w:val="left"/>
              <w:rPr>
                <w:rFonts w:ascii="Times New Roman" w:hAnsi="Times New Roman" w:eastAsia="Times New Roman" w:cs="Times New Roman"/>
                <w:kern w:val="0"/>
                <w:sz w:val="20"/>
                <w:szCs w:val="20"/>
              </w:rPr>
            </w:pPr>
          </w:p>
        </w:tc>
      </w:tr>
      <w:tr w14:paraId="0881EBFA">
        <w:tblPrEx>
          <w:tblCellMar>
            <w:top w:w="0" w:type="dxa"/>
            <w:left w:w="108" w:type="dxa"/>
            <w:bottom w:w="0" w:type="dxa"/>
            <w:right w:w="108" w:type="dxa"/>
          </w:tblCellMar>
        </w:tblPrEx>
        <w:trPr>
          <w:trHeight w:val="316" w:hRule="atLeast"/>
        </w:trPr>
        <w:tc>
          <w:tcPr>
            <w:tcW w:w="566" w:type="dxa"/>
            <w:tcBorders>
              <w:top w:val="nil"/>
              <w:left w:val="single" w:color="auto" w:sz="4" w:space="0"/>
              <w:bottom w:val="single" w:color="auto" w:sz="4" w:space="0"/>
              <w:right w:val="single" w:color="auto" w:sz="4" w:space="0"/>
            </w:tcBorders>
            <w:vAlign w:val="center"/>
          </w:tcPr>
          <w:p w14:paraId="180CB8C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19</w:t>
            </w:r>
          </w:p>
        </w:tc>
        <w:tc>
          <w:tcPr>
            <w:tcW w:w="1981" w:type="dxa"/>
            <w:tcBorders>
              <w:top w:val="nil"/>
              <w:left w:val="nil"/>
              <w:bottom w:val="single" w:color="auto" w:sz="4" w:space="0"/>
              <w:right w:val="single" w:color="auto" w:sz="4" w:space="0"/>
            </w:tcBorders>
            <w:vAlign w:val="center"/>
          </w:tcPr>
          <w:p w14:paraId="390D8D3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区块链服务网络（BSN）城市节点</w:t>
            </w:r>
          </w:p>
        </w:tc>
        <w:tc>
          <w:tcPr>
            <w:tcW w:w="945" w:type="dxa"/>
            <w:tcBorders>
              <w:top w:val="nil"/>
              <w:left w:val="nil"/>
              <w:bottom w:val="single" w:color="auto" w:sz="4" w:space="0"/>
              <w:right w:val="single" w:color="auto" w:sz="4" w:space="0"/>
            </w:tcBorders>
            <w:vAlign w:val="center"/>
          </w:tcPr>
          <w:p w14:paraId="30458E4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0128C3B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由移动泉州分公司建设BSN区块链服务网络“泉州城市节点”（主干递归节点），由联通泉州分公司建设“联通城市节点”（排序存储节点），为本地区块链产业生态构建专用基础设施，推动引入BSN产业联盟生态，构建孵化本地区块链应用及服务产业生态，加强本地产学研融合。在未来1-3年，根据应用水平及规模增加，将对基础设施进行相应的软硬件提升。</w:t>
            </w:r>
          </w:p>
        </w:tc>
        <w:tc>
          <w:tcPr>
            <w:tcW w:w="1342" w:type="dxa"/>
            <w:tcBorders>
              <w:top w:val="nil"/>
              <w:left w:val="nil"/>
              <w:bottom w:val="single" w:color="auto" w:sz="4" w:space="0"/>
              <w:right w:val="single" w:color="auto" w:sz="4" w:space="0"/>
            </w:tcBorders>
            <w:vAlign w:val="center"/>
          </w:tcPr>
          <w:p w14:paraId="7BD142F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7606838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4DC7857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4FF8473D">
            <w:pPr>
              <w:widowControl/>
              <w:jc w:val="left"/>
              <w:rPr>
                <w:rFonts w:ascii="Times New Roman" w:hAnsi="Times New Roman" w:eastAsia="Times New Roman" w:cs="Times New Roman"/>
                <w:kern w:val="0"/>
                <w:sz w:val="20"/>
                <w:szCs w:val="20"/>
              </w:rPr>
            </w:pPr>
          </w:p>
        </w:tc>
      </w:tr>
      <w:tr w14:paraId="399221A4">
        <w:tblPrEx>
          <w:tblCellMar>
            <w:top w:w="0" w:type="dxa"/>
            <w:left w:w="108" w:type="dxa"/>
            <w:bottom w:w="0" w:type="dxa"/>
            <w:right w:w="108" w:type="dxa"/>
          </w:tblCellMar>
        </w:tblPrEx>
        <w:trPr>
          <w:trHeight w:val="566" w:hRule="atLeast"/>
        </w:trPr>
        <w:tc>
          <w:tcPr>
            <w:tcW w:w="566" w:type="dxa"/>
            <w:tcBorders>
              <w:top w:val="single" w:color="auto" w:sz="4" w:space="0"/>
              <w:left w:val="single" w:color="auto" w:sz="4" w:space="0"/>
              <w:bottom w:val="single" w:color="auto" w:sz="4" w:space="0"/>
              <w:right w:val="single" w:color="auto" w:sz="4" w:space="0"/>
            </w:tcBorders>
            <w:vAlign w:val="center"/>
          </w:tcPr>
          <w:p w14:paraId="409DDE55">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20</w:t>
            </w:r>
          </w:p>
        </w:tc>
        <w:tc>
          <w:tcPr>
            <w:tcW w:w="1981" w:type="dxa"/>
            <w:tcBorders>
              <w:top w:val="single" w:color="auto" w:sz="4" w:space="0"/>
              <w:left w:val="nil"/>
              <w:bottom w:val="single" w:color="auto" w:sz="4" w:space="0"/>
              <w:right w:val="single" w:color="auto" w:sz="4" w:space="0"/>
            </w:tcBorders>
            <w:vAlign w:val="center"/>
          </w:tcPr>
          <w:p w14:paraId="683ACC7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数字福建（安溪）产业园区块链建设项目</w:t>
            </w:r>
          </w:p>
        </w:tc>
        <w:tc>
          <w:tcPr>
            <w:tcW w:w="945" w:type="dxa"/>
            <w:tcBorders>
              <w:top w:val="single" w:color="auto" w:sz="4" w:space="0"/>
              <w:left w:val="nil"/>
              <w:bottom w:val="single" w:color="auto" w:sz="4" w:space="0"/>
              <w:right w:val="single" w:color="auto" w:sz="4" w:space="0"/>
            </w:tcBorders>
            <w:vAlign w:val="center"/>
          </w:tcPr>
          <w:p w14:paraId="72FC9C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single" w:color="auto" w:sz="4" w:space="0"/>
              <w:left w:val="nil"/>
              <w:bottom w:val="single" w:color="auto" w:sz="4" w:space="0"/>
              <w:right w:val="single" w:color="auto" w:sz="4" w:space="0"/>
            </w:tcBorders>
            <w:vAlign w:val="center"/>
          </w:tcPr>
          <w:p w14:paraId="1A3C9FC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依托数字福建（安溪）产业园高等级数据中心基础设施，布局建设适合区块链技术的高等级物理机房环境，拟建设区块链分布式存储技术配套机柜50个，未来架设全球化区块链分布式存储业务架构体系节点及区块链公链云服务平台，同时完成配套企业孵化器场所装修工程，规划建筑面积9600平方米，第一期1600平方米，第二期3200平方米，第三期4800平方米。一站式服务区块链企业，从企业入驻到业务快速部署上线，提供全程配套引导服务。合作研发基于区块链技术的分布式社交媒体应用、分布式存储云盘、溯源平台、供应链金融等应用场景落地。</w:t>
            </w:r>
          </w:p>
        </w:tc>
        <w:tc>
          <w:tcPr>
            <w:tcW w:w="1342" w:type="dxa"/>
            <w:tcBorders>
              <w:top w:val="single" w:color="auto" w:sz="4" w:space="0"/>
              <w:left w:val="nil"/>
              <w:bottom w:val="single" w:color="auto" w:sz="4" w:space="0"/>
              <w:right w:val="single" w:color="auto" w:sz="4" w:space="0"/>
            </w:tcBorders>
            <w:vAlign w:val="center"/>
          </w:tcPr>
          <w:p w14:paraId="4158F36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0.27</w:t>
            </w:r>
          </w:p>
        </w:tc>
        <w:tc>
          <w:tcPr>
            <w:tcW w:w="1866" w:type="dxa"/>
            <w:tcBorders>
              <w:top w:val="single" w:color="auto" w:sz="4" w:space="0"/>
              <w:left w:val="nil"/>
              <w:bottom w:val="single" w:color="auto" w:sz="4" w:space="0"/>
              <w:right w:val="single" w:color="auto" w:sz="4" w:space="0"/>
            </w:tcBorders>
            <w:vAlign w:val="center"/>
          </w:tcPr>
          <w:p w14:paraId="322DDFB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single" w:color="auto" w:sz="4" w:space="0"/>
              <w:left w:val="nil"/>
              <w:bottom w:val="single" w:color="auto" w:sz="4" w:space="0"/>
              <w:right w:val="single" w:color="auto" w:sz="4" w:space="0"/>
            </w:tcBorders>
            <w:vAlign w:val="center"/>
          </w:tcPr>
          <w:p w14:paraId="48EC3E5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市数字办、安溪县人民政府</w:t>
            </w:r>
          </w:p>
        </w:tc>
        <w:tc>
          <w:tcPr>
            <w:tcW w:w="236" w:type="dxa"/>
            <w:vAlign w:val="center"/>
          </w:tcPr>
          <w:p w14:paraId="217239B5">
            <w:pPr>
              <w:widowControl/>
              <w:jc w:val="left"/>
              <w:rPr>
                <w:rFonts w:ascii="Times New Roman" w:hAnsi="Times New Roman" w:eastAsia="Times New Roman" w:cs="Times New Roman"/>
                <w:kern w:val="0"/>
                <w:sz w:val="20"/>
                <w:szCs w:val="20"/>
              </w:rPr>
            </w:pPr>
          </w:p>
        </w:tc>
      </w:tr>
      <w:tr w14:paraId="2B75619D">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350DA9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21</w:t>
            </w:r>
          </w:p>
        </w:tc>
        <w:tc>
          <w:tcPr>
            <w:tcW w:w="1981" w:type="dxa"/>
            <w:tcBorders>
              <w:top w:val="nil"/>
              <w:left w:val="nil"/>
              <w:bottom w:val="single" w:color="auto" w:sz="4" w:space="0"/>
              <w:right w:val="single" w:color="auto" w:sz="4" w:space="0"/>
            </w:tcBorders>
            <w:vAlign w:val="center"/>
          </w:tcPr>
          <w:p w14:paraId="4114B57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捷云科创园</w:t>
            </w:r>
          </w:p>
        </w:tc>
        <w:tc>
          <w:tcPr>
            <w:tcW w:w="945" w:type="dxa"/>
            <w:tcBorders>
              <w:top w:val="nil"/>
              <w:left w:val="nil"/>
              <w:bottom w:val="single" w:color="auto" w:sz="4" w:space="0"/>
              <w:right w:val="single" w:color="auto" w:sz="4" w:space="0"/>
            </w:tcBorders>
            <w:vAlign w:val="center"/>
          </w:tcPr>
          <w:p w14:paraId="47B046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20A2371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在义全街原中石化办公楼建设以互联网商业应用技术教育咨询及技术人才孵化、直播、跨境电商等商业服务综合体科创园。</w:t>
            </w:r>
          </w:p>
        </w:tc>
        <w:tc>
          <w:tcPr>
            <w:tcW w:w="1342" w:type="dxa"/>
            <w:tcBorders>
              <w:top w:val="nil"/>
              <w:left w:val="nil"/>
              <w:bottom w:val="single" w:color="auto" w:sz="4" w:space="0"/>
              <w:right w:val="single" w:color="auto" w:sz="4" w:space="0"/>
            </w:tcBorders>
            <w:vAlign w:val="center"/>
          </w:tcPr>
          <w:p w14:paraId="5C96D17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0.95</w:t>
            </w:r>
          </w:p>
        </w:tc>
        <w:tc>
          <w:tcPr>
            <w:tcW w:w="1866" w:type="dxa"/>
            <w:tcBorders>
              <w:top w:val="nil"/>
              <w:left w:val="nil"/>
              <w:bottom w:val="single" w:color="auto" w:sz="4" w:space="0"/>
              <w:right w:val="single" w:color="auto" w:sz="4" w:space="0"/>
            </w:tcBorders>
            <w:vAlign w:val="center"/>
          </w:tcPr>
          <w:p w14:paraId="5469996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7D58320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060891A6">
            <w:pPr>
              <w:widowControl/>
              <w:jc w:val="left"/>
              <w:rPr>
                <w:rFonts w:ascii="Times New Roman" w:hAnsi="Times New Roman" w:eastAsia="Times New Roman" w:cs="Times New Roman"/>
                <w:kern w:val="0"/>
                <w:sz w:val="20"/>
                <w:szCs w:val="20"/>
              </w:rPr>
            </w:pPr>
          </w:p>
        </w:tc>
      </w:tr>
      <w:tr w14:paraId="2FCC970A">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75F3421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22</w:t>
            </w:r>
          </w:p>
        </w:tc>
        <w:tc>
          <w:tcPr>
            <w:tcW w:w="1981" w:type="dxa"/>
            <w:tcBorders>
              <w:top w:val="nil"/>
              <w:left w:val="nil"/>
              <w:bottom w:val="single" w:color="auto" w:sz="4" w:space="0"/>
              <w:right w:val="single" w:color="auto" w:sz="4" w:space="0"/>
            </w:tcBorders>
            <w:vAlign w:val="center"/>
          </w:tcPr>
          <w:p w14:paraId="1AA7892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5G应用技术提升项目</w:t>
            </w:r>
          </w:p>
        </w:tc>
        <w:tc>
          <w:tcPr>
            <w:tcW w:w="945" w:type="dxa"/>
            <w:tcBorders>
              <w:top w:val="nil"/>
              <w:left w:val="nil"/>
              <w:bottom w:val="single" w:color="auto" w:sz="4" w:space="0"/>
              <w:right w:val="single" w:color="auto" w:sz="4" w:space="0"/>
            </w:tcBorders>
            <w:vAlign w:val="center"/>
          </w:tcPr>
          <w:p w14:paraId="00373A3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5415A91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1.5G大数据的新一代资源融合显示云平台；</w:t>
            </w:r>
          </w:p>
          <w:p w14:paraId="05BFCBB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2.5G智慧充电场站/站台建设；</w:t>
            </w:r>
          </w:p>
          <w:p w14:paraId="5CD915A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3.5G的医疗服务机器人项目；</w:t>
            </w:r>
          </w:p>
          <w:p w14:paraId="12A2004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4.丰泽区学生校园安全电子校徽产品项目；</w:t>
            </w:r>
          </w:p>
          <w:p w14:paraId="4A23699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5.红点云盒AI视频汇聚终端项目；</w:t>
            </w:r>
          </w:p>
          <w:p w14:paraId="79351F9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6.蜻蜓云盒智能接入终端项目；</w:t>
            </w:r>
          </w:p>
          <w:p w14:paraId="1F00ED6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7.红点社区智慧营盘5G应用；</w:t>
            </w:r>
          </w:p>
          <w:p w14:paraId="118D101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8.5G庭审远程示证智能化。</w:t>
            </w:r>
          </w:p>
        </w:tc>
        <w:tc>
          <w:tcPr>
            <w:tcW w:w="1342" w:type="dxa"/>
            <w:tcBorders>
              <w:top w:val="nil"/>
              <w:left w:val="nil"/>
              <w:bottom w:val="single" w:color="auto" w:sz="4" w:space="0"/>
              <w:right w:val="single" w:color="auto" w:sz="4" w:space="0"/>
            </w:tcBorders>
            <w:vAlign w:val="center"/>
          </w:tcPr>
          <w:p w14:paraId="33FEFD3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0.95</w:t>
            </w:r>
          </w:p>
        </w:tc>
        <w:tc>
          <w:tcPr>
            <w:tcW w:w="1866" w:type="dxa"/>
            <w:tcBorders>
              <w:top w:val="nil"/>
              <w:left w:val="nil"/>
              <w:bottom w:val="single" w:color="auto" w:sz="4" w:space="0"/>
              <w:right w:val="single" w:color="auto" w:sz="4" w:space="0"/>
            </w:tcBorders>
            <w:vAlign w:val="center"/>
          </w:tcPr>
          <w:p w14:paraId="3CF2F7F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2020-2026</w:t>
            </w:r>
          </w:p>
        </w:tc>
        <w:tc>
          <w:tcPr>
            <w:tcW w:w="1145" w:type="dxa"/>
            <w:tcBorders>
              <w:top w:val="nil"/>
              <w:left w:val="nil"/>
              <w:bottom w:val="single" w:color="auto" w:sz="4" w:space="0"/>
              <w:right w:val="single" w:color="auto" w:sz="4" w:space="0"/>
            </w:tcBorders>
            <w:vAlign w:val="center"/>
          </w:tcPr>
          <w:p w14:paraId="332EB46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58034D42">
            <w:pPr>
              <w:widowControl/>
              <w:jc w:val="left"/>
              <w:rPr>
                <w:rFonts w:ascii="Times New Roman" w:hAnsi="Times New Roman" w:eastAsia="Times New Roman" w:cs="Times New Roman"/>
                <w:kern w:val="0"/>
                <w:sz w:val="20"/>
                <w:szCs w:val="20"/>
              </w:rPr>
            </w:pPr>
          </w:p>
        </w:tc>
      </w:tr>
      <w:tr w14:paraId="3007EEC4">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18C52FC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23</w:t>
            </w:r>
          </w:p>
        </w:tc>
        <w:tc>
          <w:tcPr>
            <w:tcW w:w="1981" w:type="dxa"/>
            <w:tcBorders>
              <w:top w:val="nil"/>
              <w:left w:val="nil"/>
              <w:bottom w:val="single" w:color="auto" w:sz="4" w:space="0"/>
              <w:right w:val="single" w:color="auto" w:sz="4" w:space="0"/>
            </w:tcBorders>
            <w:vAlign w:val="center"/>
          </w:tcPr>
          <w:p w14:paraId="62D4B2E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鸿杰伟业科技项目</w:t>
            </w:r>
          </w:p>
        </w:tc>
        <w:tc>
          <w:tcPr>
            <w:tcW w:w="945" w:type="dxa"/>
            <w:tcBorders>
              <w:top w:val="nil"/>
              <w:left w:val="nil"/>
              <w:bottom w:val="single" w:color="auto" w:sz="4" w:space="0"/>
              <w:right w:val="single" w:color="auto" w:sz="4" w:space="0"/>
            </w:tcBorders>
            <w:vAlign w:val="center"/>
          </w:tcPr>
          <w:p w14:paraId="013EDE9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77CBF3C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该项目选址于华大街道伯勒文创园，拟运用大数据、物联网技术，引入专业的研发、运营团队，建设智慧商圈、景区、校园停车系统、医院及日常出行等一系列问题解决方案的智能系统化产业项目。</w:t>
            </w:r>
          </w:p>
        </w:tc>
        <w:tc>
          <w:tcPr>
            <w:tcW w:w="1342" w:type="dxa"/>
            <w:tcBorders>
              <w:top w:val="nil"/>
              <w:left w:val="nil"/>
              <w:bottom w:val="single" w:color="auto" w:sz="4" w:space="0"/>
              <w:right w:val="single" w:color="auto" w:sz="4" w:space="0"/>
            </w:tcBorders>
            <w:vAlign w:val="center"/>
          </w:tcPr>
          <w:p w14:paraId="1A2A1F1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445B524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2019-2024</w:t>
            </w:r>
          </w:p>
        </w:tc>
        <w:tc>
          <w:tcPr>
            <w:tcW w:w="1145" w:type="dxa"/>
            <w:tcBorders>
              <w:top w:val="nil"/>
              <w:left w:val="nil"/>
              <w:bottom w:val="single" w:color="auto" w:sz="4" w:space="0"/>
              <w:right w:val="single" w:color="auto" w:sz="4" w:space="0"/>
            </w:tcBorders>
            <w:vAlign w:val="center"/>
          </w:tcPr>
          <w:p w14:paraId="3310CC9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0A886FC2">
            <w:pPr>
              <w:widowControl/>
              <w:jc w:val="left"/>
              <w:rPr>
                <w:rFonts w:ascii="Times New Roman" w:hAnsi="Times New Roman" w:eastAsia="Times New Roman" w:cs="Times New Roman"/>
                <w:kern w:val="0"/>
                <w:sz w:val="20"/>
                <w:szCs w:val="20"/>
              </w:rPr>
            </w:pPr>
          </w:p>
        </w:tc>
      </w:tr>
      <w:tr w14:paraId="24D97751">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149B42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24</w:t>
            </w:r>
          </w:p>
        </w:tc>
        <w:tc>
          <w:tcPr>
            <w:tcW w:w="1981" w:type="dxa"/>
            <w:tcBorders>
              <w:top w:val="nil"/>
              <w:left w:val="nil"/>
              <w:bottom w:val="single" w:color="auto" w:sz="4" w:space="0"/>
              <w:right w:val="single" w:color="auto" w:sz="4" w:space="0"/>
            </w:tcBorders>
            <w:vAlign w:val="center"/>
          </w:tcPr>
          <w:p w14:paraId="5C7C154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人工智能四级联动安防监控平台</w:t>
            </w:r>
          </w:p>
        </w:tc>
        <w:tc>
          <w:tcPr>
            <w:tcW w:w="945" w:type="dxa"/>
            <w:tcBorders>
              <w:top w:val="nil"/>
              <w:left w:val="nil"/>
              <w:bottom w:val="single" w:color="auto" w:sz="4" w:space="0"/>
              <w:right w:val="single" w:color="auto" w:sz="4" w:space="0"/>
            </w:tcBorders>
            <w:vAlign w:val="center"/>
          </w:tcPr>
          <w:p w14:paraId="4A2DF3F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18B57B2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以互联网思维导入，建立指挥联动的应急机制；建立应急联动长效管理机制；构建行业网格化保卫模式，构建智能化安全防范措施。</w:t>
            </w:r>
          </w:p>
        </w:tc>
        <w:tc>
          <w:tcPr>
            <w:tcW w:w="1342" w:type="dxa"/>
            <w:tcBorders>
              <w:top w:val="nil"/>
              <w:left w:val="nil"/>
              <w:bottom w:val="single" w:color="auto" w:sz="4" w:space="0"/>
              <w:right w:val="single" w:color="auto" w:sz="4" w:space="0"/>
            </w:tcBorders>
            <w:vAlign w:val="center"/>
          </w:tcPr>
          <w:p w14:paraId="615C9D0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0.45</w:t>
            </w:r>
          </w:p>
        </w:tc>
        <w:tc>
          <w:tcPr>
            <w:tcW w:w="1866" w:type="dxa"/>
            <w:tcBorders>
              <w:top w:val="nil"/>
              <w:left w:val="nil"/>
              <w:bottom w:val="single" w:color="auto" w:sz="4" w:space="0"/>
              <w:right w:val="single" w:color="auto" w:sz="4" w:space="0"/>
            </w:tcBorders>
            <w:vAlign w:val="center"/>
          </w:tcPr>
          <w:p w14:paraId="6C0585B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2018-2023</w:t>
            </w:r>
          </w:p>
        </w:tc>
        <w:tc>
          <w:tcPr>
            <w:tcW w:w="1145" w:type="dxa"/>
            <w:tcBorders>
              <w:top w:val="nil"/>
              <w:left w:val="nil"/>
              <w:bottom w:val="single" w:color="auto" w:sz="4" w:space="0"/>
              <w:right w:val="single" w:color="auto" w:sz="4" w:space="0"/>
            </w:tcBorders>
            <w:vAlign w:val="center"/>
          </w:tcPr>
          <w:p w14:paraId="138DB28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20F082D7">
            <w:pPr>
              <w:widowControl/>
              <w:jc w:val="left"/>
              <w:rPr>
                <w:rFonts w:ascii="Times New Roman" w:hAnsi="Times New Roman" w:eastAsia="Times New Roman" w:cs="Times New Roman"/>
                <w:kern w:val="0"/>
                <w:sz w:val="20"/>
                <w:szCs w:val="20"/>
              </w:rPr>
            </w:pPr>
          </w:p>
        </w:tc>
      </w:tr>
      <w:tr w14:paraId="7F2817AE">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7070141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25</w:t>
            </w:r>
          </w:p>
        </w:tc>
        <w:tc>
          <w:tcPr>
            <w:tcW w:w="1981" w:type="dxa"/>
            <w:tcBorders>
              <w:top w:val="nil"/>
              <w:left w:val="nil"/>
              <w:bottom w:val="single" w:color="auto" w:sz="4" w:space="0"/>
              <w:right w:val="single" w:color="auto" w:sz="4" w:space="0"/>
            </w:tcBorders>
            <w:vAlign w:val="center"/>
          </w:tcPr>
          <w:p w14:paraId="0370C64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footwork lab Saas平台</w:t>
            </w:r>
          </w:p>
        </w:tc>
        <w:tc>
          <w:tcPr>
            <w:tcW w:w="945" w:type="dxa"/>
            <w:tcBorders>
              <w:top w:val="nil"/>
              <w:left w:val="nil"/>
              <w:bottom w:val="single" w:color="auto" w:sz="4" w:space="0"/>
              <w:right w:val="single" w:color="auto" w:sz="4" w:space="0"/>
            </w:tcBorders>
            <w:vAlign w:val="center"/>
          </w:tcPr>
          <w:p w14:paraId="7C8676C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01C324F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基于AI知识图谱及织物传感物联网技术的足部健康检测定制鞋（垫）解决方案与智能鞋产品方案的数字开放平台。</w:t>
            </w:r>
          </w:p>
        </w:tc>
        <w:tc>
          <w:tcPr>
            <w:tcW w:w="1342" w:type="dxa"/>
            <w:tcBorders>
              <w:top w:val="nil"/>
              <w:left w:val="nil"/>
              <w:bottom w:val="single" w:color="auto" w:sz="4" w:space="0"/>
              <w:right w:val="single" w:color="auto" w:sz="4" w:space="0"/>
            </w:tcBorders>
            <w:vAlign w:val="center"/>
          </w:tcPr>
          <w:p w14:paraId="338FCA1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31FC7F8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610565B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04977FF4">
            <w:pPr>
              <w:widowControl/>
              <w:jc w:val="left"/>
              <w:rPr>
                <w:rFonts w:ascii="Times New Roman" w:hAnsi="Times New Roman" w:eastAsia="Times New Roman" w:cs="Times New Roman"/>
                <w:kern w:val="0"/>
                <w:sz w:val="20"/>
                <w:szCs w:val="20"/>
              </w:rPr>
            </w:pPr>
          </w:p>
        </w:tc>
      </w:tr>
      <w:tr w14:paraId="73B8D105">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3E00F3CA">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26</w:t>
            </w:r>
          </w:p>
        </w:tc>
        <w:tc>
          <w:tcPr>
            <w:tcW w:w="1981" w:type="dxa"/>
            <w:tcBorders>
              <w:top w:val="nil"/>
              <w:left w:val="nil"/>
              <w:bottom w:val="single" w:color="auto" w:sz="4" w:space="0"/>
              <w:right w:val="single" w:color="auto" w:sz="4" w:space="0"/>
            </w:tcBorders>
            <w:vAlign w:val="center"/>
          </w:tcPr>
          <w:p w14:paraId="100016B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智谷（泉州）万洋高新技术产业园（一期）</w:t>
            </w:r>
          </w:p>
        </w:tc>
        <w:tc>
          <w:tcPr>
            <w:tcW w:w="945" w:type="dxa"/>
            <w:tcBorders>
              <w:top w:val="nil"/>
              <w:left w:val="nil"/>
              <w:bottom w:val="single" w:color="auto" w:sz="4" w:space="0"/>
              <w:right w:val="single" w:color="auto" w:sz="4" w:space="0"/>
            </w:tcBorders>
            <w:vAlign w:val="center"/>
          </w:tcPr>
          <w:p w14:paraId="40BEB3F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4DC0FA2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项目选址河市西片区，规划用地约180亩，建筑面积约24万平方米，包括园区招商办公大楼、高标准工业厂房、定制式厂房。</w:t>
            </w:r>
          </w:p>
        </w:tc>
        <w:tc>
          <w:tcPr>
            <w:tcW w:w="1342" w:type="dxa"/>
            <w:tcBorders>
              <w:top w:val="nil"/>
              <w:left w:val="nil"/>
              <w:bottom w:val="single" w:color="auto" w:sz="4" w:space="0"/>
              <w:right w:val="single" w:color="auto" w:sz="4" w:space="0"/>
            </w:tcBorders>
            <w:vAlign w:val="center"/>
          </w:tcPr>
          <w:p w14:paraId="4B38216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w:t>
            </w:r>
          </w:p>
        </w:tc>
        <w:tc>
          <w:tcPr>
            <w:tcW w:w="1866" w:type="dxa"/>
            <w:tcBorders>
              <w:top w:val="nil"/>
              <w:left w:val="nil"/>
              <w:bottom w:val="single" w:color="auto" w:sz="4" w:space="0"/>
              <w:right w:val="single" w:color="auto" w:sz="4" w:space="0"/>
            </w:tcBorders>
            <w:vAlign w:val="center"/>
          </w:tcPr>
          <w:p w14:paraId="34251C0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5E52EC4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43628299">
            <w:pPr>
              <w:widowControl/>
              <w:jc w:val="left"/>
              <w:rPr>
                <w:rFonts w:ascii="Times New Roman" w:hAnsi="Times New Roman" w:eastAsia="Times New Roman" w:cs="Times New Roman"/>
                <w:kern w:val="0"/>
                <w:sz w:val="20"/>
                <w:szCs w:val="20"/>
              </w:rPr>
            </w:pPr>
          </w:p>
        </w:tc>
      </w:tr>
      <w:tr w14:paraId="282CF492">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19C770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27</w:t>
            </w:r>
          </w:p>
        </w:tc>
        <w:tc>
          <w:tcPr>
            <w:tcW w:w="1981" w:type="dxa"/>
            <w:tcBorders>
              <w:top w:val="nil"/>
              <w:left w:val="nil"/>
              <w:bottom w:val="single" w:color="auto" w:sz="4" w:space="0"/>
              <w:right w:val="single" w:color="auto" w:sz="4" w:space="0"/>
            </w:tcBorders>
            <w:vAlign w:val="center"/>
          </w:tcPr>
          <w:p w14:paraId="050D709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智创机械生产制造项目</w:t>
            </w:r>
          </w:p>
        </w:tc>
        <w:tc>
          <w:tcPr>
            <w:tcW w:w="945" w:type="dxa"/>
            <w:tcBorders>
              <w:top w:val="nil"/>
              <w:left w:val="nil"/>
              <w:bottom w:val="single" w:color="auto" w:sz="4" w:space="0"/>
              <w:right w:val="single" w:color="auto" w:sz="4" w:space="0"/>
            </w:tcBorders>
            <w:vAlign w:val="center"/>
          </w:tcPr>
          <w:p w14:paraId="3C27D02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73C3C8D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项目用地面积约33亩，拟建设厂房、办公楼及生活配套设施，总建筑面积约1.8万平方米，购置智能化生产设备，安装及运营现代化生产线。</w:t>
            </w:r>
          </w:p>
        </w:tc>
        <w:tc>
          <w:tcPr>
            <w:tcW w:w="1342" w:type="dxa"/>
            <w:tcBorders>
              <w:top w:val="nil"/>
              <w:left w:val="nil"/>
              <w:bottom w:val="single" w:color="auto" w:sz="4" w:space="0"/>
              <w:right w:val="single" w:color="auto" w:sz="4" w:space="0"/>
            </w:tcBorders>
            <w:vAlign w:val="center"/>
          </w:tcPr>
          <w:p w14:paraId="14F9477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1749D98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592A88D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21DD9FD1">
            <w:pPr>
              <w:widowControl/>
              <w:jc w:val="left"/>
              <w:rPr>
                <w:rFonts w:ascii="Times New Roman" w:hAnsi="Times New Roman" w:eastAsia="Times New Roman" w:cs="Times New Roman"/>
                <w:kern w:val="0"/>
                <w:sz w:val="20"/>
                <w:szCs w:val="20"/>
              </w:rPr>
            </w:pPr>
          </w:p>
        </w:tc>
      </w:tr>
      <w:tr w14:paraId="1847E609">
        <w:tblPrEx>
          <w:tblCellMar>
            <w:top w:w="0" w:type="dxa"/>
            <w:left w:w="108" w:type="dxa"/>
            <w:bottom w:w="0" w:type="dxa"/>
            <w:right w:w="108" w:type="dxa"/>
          </w:tblCellMar>
        </w:tblPrEx>
        <w:trPr>
          <w:trHeight w:val="576" w:hRule="atLeast"/>
        </w:trPr>
        <w:tc>
          <w:tcPr>
            <w:tcW w:w="566" w:type="dxa"/>
            <w:tcBorders>
              <w:top w:val="single" w:color="auto" w:sz="4" w:space="0"/>
              <w:left w:val="single" w:color="auto" w:sz="4" w:space="0"/>
              <w:bottom w:val="single" w:color="auto" w:sz="4" w:space="0"/>
              <w:right w:val="single" w:color="auto" w:sz="4" w:space="0"/>
            </w:tcBorders>
            <w:vAlign w:val="center"/>
          </w:tcPr>
          <w:p w14:paraId="674E872A">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28</w:t>
            </w:r>
          </w:p>
        </w:tc>
        <w:tc>
          <w:tcPr>
            <w:tcW w:w="1981" w:type="dxa"/>
            <w:tcBorders>
              <w:top w:val="single" w:color="auto" w:sz="4" w:space="0"/>
              <w:left w:val="nil"/>
              <w:bottom w:val="single" w:color="auto" w:sz="4" w:space="0"/>
              <w:right w:val="single" w:color="auto" w:sz="4" w:space="0"/>
            </w:tcBorders>
            <w:vAlign w:val="center"/>
          </w:tcPr>
          <w:p w14:paraId="5D45307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欣佳成机械装备制造项目</w:t>
            </w:r>
          </w:p>
        </w:tc>
        <w:tc>
          <w:tcPr>
            <w:tcW w:w="945" w:type="dxa"/>
            <w:tcBorders>
              <w:top w:val="single" w:color="auto" w:sz="4" w:space="0"/>
              <w:left w:val="nil"/>
              <w:bottom w:val="single" w:color="auto" w:sz="4" w:space="0"/>
              <w:right w:val="single" w:color="auto" w:sz="4" w:space="0"/>
            </w:tcBorders>
            <w:vAlign w:val="center"/>
          </w:tcPr>
          <w:p w14:paraId="4F8D311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single" w:color="auto" w:sz="4" w:space="0"/>
              <w:left w:val="nil"/>
              <w:bottom w:val="single" w:color="auto" w:sz="4" w:space="0"/>
              <w:right w:val="single" w:color="auto" w:sz="4" w:space="0"/>
            </w:tcBorders>
            <w:vAlign w:val="center"/>
          </w:tcPr>
          <w:p w14:paraId="5D09EA9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项目选址河市西片区，规划用地面积约25亩，拟建设机械装备制造厂房、办公楼及其它配套设施等。预计总投资2亿元。</w:t>
            </w:r>
          </w:p>
        </w:tc>
        <w:tc>
          <w:tcPr>
            <w:tcW w:w="1342" w:type="dxa"/>
            <w:tcBorders>
              <w:top w:val="single" w:color="auto" w:sz="4" w:space="0"/>
              <w:left w:val="nil"/>
              <w:bottom w:val="single" w:color="auto" w:sz="4" w:space="0"/>
              <w:right w:val="single" w:color="auto" w:sz="4" w:space="0"/>
            </w:tcBorders>
            <w:vAlign w:val="center"/>
          </w:tcPr>
          <w:p w14:paraId="507D052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single" w:color="auto" w:sz="4" w:space="0"/>
              <w:left w:val="nil"/>
              <w:bottom w:val="single" w:color="auto" w:sz="4" w:space="0"/>
              <w:right w:val="single" w:color="auto" w:sz="4" w:space="0"/>
            </w:tcBorders>
            <w:vAlign w:val="center"/>
          </w:tcPr>
          <w:p w14:paraId="684D03C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single" w:color="auto" w:sz="4" w:space="0"/>
              <w:left w:val="nil"/>
              <w:bottom w:val="single" w:color="auto" w:sz="4" w:space="0"/>
              <w:right w:val="single" w:color="auto" w:sz="4" w:space="0"/>
            </w:tcBorders>
            <w:vAlign w:val="center"/>
          </w:tcPr>
          <w:p w14:paraId="7C880C9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736A48C4">
            <w:pPr>
              <w:widowControl/>
              <w:jc w:val="left"/>
              <w:rPr>
                <w:rFonts w:ascii="Times New Roman" w:hAnsi="Times New Roman" w:eastAsia="Times New Roman" w:cs="Times New Roman"/>
                <w:kern w:val="0"/>
                <w:sz w:val="20"/>
                <w:szCs w:val="20"/>
              </w:rPr>
            </w:pPr>
          </w:p>
        </w:tc>
      </w:tr>
      <w:tr w14:paraId="7D6FD386">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571392B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29</w:t>
            </w:r>
          </w:p>
        </w:tc>
        <w:tc>
          <w:tcPr>
            <w:tcW w:w="1981" w:type="dxa"/>
            <w:tcBorders>
              <w:top w:val="nil"/>
              <w:left w:val="nil"/>
              <w:bottom w:val="single" w:color="auto" w:sz="4" w:space="0"/>
              <w:right w:val="single" w:color="auto" w:sz="4" w:space="0"/>
            </w:tcBorders>
            <w:vAlign w:val="center"/>
          </w:tcPr>
          <w:p w14:paraId="4C24657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4GL-1整杆式甘蔗联合收获机项目</w:t>
            </w:r>
          </w:p>
        </w:tc>
        <w:tc>
          <w:tcPr>
            <w:tcW w:w="945" w:type="dxa"/>
            <w:tcBorders>
              <w:top w:val="nil"/>
              <w:left w:val="nil"/>
              <w:bottom w:val="single" w:color="auto" w:sz="4" w:space="0"/>
              <w:right w:val="single" w:color="auto" w:sz="4" w:space="0"/>
            </w:tcBorders>
            <w:vAlign w:val="center"/>
          </w:tcPr>
          <w:p w14:paraId="78C5CD4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1962E4D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占地约50亩，总建筑面积约3万平方米，建设4GL-1整杆式甘蔗联合收获机生产厂房及配套办公场所等。</w:t>
            </w:r>
          </w:p>
        </w:tc>
        <w:tc>
          <w:tcPr>
            <w:tcW w:w="1342" w:type="dxa"/>
            <w:tcBorders>
              <w:top w:val="nil"/>
              <w:left w:val="nil"/>
              <w:bottom w:val="single" w:color="auto" w:sz="4" w:space="0"/>
              <w:right w:val="single" w:color="auto" w:sz="4" w:space="0"/>
            </w:tcBorders>
            <w:vAlign w:val="center"/>
          </w:tcPr>
          <w:p w14:paraId="7874A9F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nil"/>
              <w:left w:val="nil"/>
              <w:bottom w:val="single" w:color="auto" w:sz="4" w:space="0"/>
              <w:right w:val="single" w:color="auto" w:sz="4" w:space="0"/>
            </w:tcBorders>
            <w:vAlign w:val="center"/>
          </w:tcPr>
          <w:p w14:paraId="08E633D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147149C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69D1CC9F">
            <w:pPr>
              <w:widowControl/>
              <w:jc w:val="left"/>
              <w:rPr>
                <w:rFonts w:ascii="Times New Roman" w:hAnsi="Times New Roman" w:eastAsia="Times New Roman" w:cs="Times New Roman"/>
                <w:kern w:val="0"/>
                <w:sz w:val="20"/>
                <w:szCs w:val="20"/>
              </w:rPr>
            </w:pPr>
          </w:p>
        </w:tc>
      </w:tr>
      <w:tr w14:paraId="01E12186">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4143979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30</w:t>
            </w:r>
          </w:p>
        </w:tc>
        <w:tc>
          <w:tcPr>
            <w:tcW w:w="1981" w:type="dxa"/>
            <w:tcBorders>
              <w:top w:val="nil"/>
              <w:left w:val="nil"/>
              <w:bottom w:val="single" w:color="auto" w:sz="4" w:space="0"/>
              <w:right w:val="single" w:color="auto" w:sz="4" w:space="0"/>
            </w:tcBorders>
            <w:vAlign w:val="center"/>
          </w:tcPr>
          <w:p w14:paraId="7E6EE7A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电脑提花窄幅织机项目</w:t>
            </w:r>
          </w:p>
        </w:tc>
        <w:tc>
          <w:tcPr>
            <w:tcW w:w="945" w:type="dxa"/>
            <w:tcBorders>
              <w:top w:val="nil"/>
              <w:left w:val="nil"/>
              <w:bottom w:val="single" w:color="auto" w:sz="4" w:space="0"/>
              <w:right w:val="single" w:color="auto" w:sz="4" w:space="0"/>
            </w:tcBorders>
            <w:vAlign w:val="center"/>
          </w:tcPr>
          <w:p w14:paraId="2A770FB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12D2F95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占地约25亩，总建筑面积约2万平方米，建设电脑提花窄幅织机及其他纺织机械生产基地，包含生产车间、仓储中心、设备装配车间、研发中心、生活配套等建筑。</w:t>
            </w:r>
          </w:p>
        </w:tc>
        <w:tc>
          <w:tcPr>
            <w:tcW w:w="1342" w:type="dxa"/>
            <w:tcBorders>
              <w:top w:val="nil"/>
              <w:left w:val="nil"/>
              <w:bottom w:val="single" w:color="auto" w:sz="4" w:space="0"/>
              <w:right w:val="single" w:color="auto" w:sz="4" w:space="0"/>
            </w:tcBorders>
            <w:vAlign w:val="center"/>
          </w:tcPr>
          <w:p w14:paraId="51B765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1.1</w:t>
            </w:r>
          </w:p>
        </w:tc>
        <w:tc>
          <w:tcPr>
            <w:tcW w:w="1866" w:type="dxa"/>
            <w:tcBorders>
              <w:top w:val="nil"/>
              <w:left w:val="nil"/>
              <w:bottom w:val="single" w:color="auto" w:sz="4" w:space="0"/>
              <w:right w:val="single" w:color="auto" w:sz="4" w:space="0"/>
            </w:tcBorders>
            <w:vAlign w:val="center"/>
          </w:tcPr>
          <w:p w14:paraId="4A00248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5CDC3ED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189727E5">
            <w:pPr>
              <w:widowControl/>
              <w:jc w:val="left"/>
              <w:rPr>
                <w:rFonts w:ascii="Times New Roman" w:hAnsi="Times New Roman" w:eastAsia="Times New Roman" w:cs="Times New Roman"/>
                <w:kern w:val="0"/>
                <w:sz w:val="20"/>
                <w:szCs w:val="20"/>
              </w:rPr>
            </w:pPr>
          </w:p>
        </w:tc>
      </w:tr>
      <w:tr w14:paraId="788552F0">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4378D78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31</w:t>
            </w:r>
          </w:p>
        </w:tc>
        <w:tc>
          <w:tcPr>
            <w:tcW w:w="1981" w:type="dxa"/>
            <w:tcBorders>
              <w:top w:val="nil"/>
              <w:left w:val="nil"/>
              <w:bottom w:val="single" w:color="auto" w:sz="4" w:space="0"/>
              <w:right w:val="single" w:color="auto" w:sz="4" w:space="0"/>
            </w:tcBorders>
            <w:vAlign w:val="center"/>
          </w:tcPr>
          <w:p w14:paraId="54CA5FF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泉港陆地港项目</w:t>
            </w:r>
          </w:p>
        </w:tc>
        <w:tc>
          <w:tcPr>
            <w:tcW w:w="945" w:type="dxa"/>
            <w:tcBorders>
              <w:top w:val="nil"/>
              <w:left w:val="nil"/>
              <w:bottom w:val="single" w:color="auto" w:sz="4" w:space="0"/>
              <w:right w:val="single" w:color="auto" w:sz="4" w:space="0"/>
            </w:tcBorders>
            <w:vAlign w:val="center"/>
          </w:tcPr>
          <w:p w14:paraId="1B2F2E4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w:t>
            </w:r>
          </w:p>
        </w:tc>
        <w:tc>
          <w:tcPr>
            <w:tcW w:w="6233" w:type="dxa"/>
            <w:tcBorders>
              <w:top w:val="nil"/>
              <w:left w:val="nil"/>
              <w:bottom w:val="single" w:color="auto" w:sz="4" w:space="0"/>
              <w:right w:val="single" w:color="auto" w:sz="4" w:space="0"/>
            </w:tcBorders>
            <w:vAlign w:val="center"/>
          </w:tcPr>
          <w:p w14:paraId="2239A89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打造石化智慧物流平台、危化车辆管理备案中心、专业危化车辆安全停泊集中区、危化车辆配套服务设施、行政办公设施、一体化后勤设施等六大功能的线上线下平台。</w:t>
            </w:r>
          </w:p>
        </w:tc>
        <w:tc>
          <w:tcPr>
            <w:tcW w:w="1342" w:type="dxa"/>
            <w:tcBorders>
              <w:top w:val="nil"/>
              <w:left w:val="nil"/>
              <w:bottom w:val="single" w:color="auto" w:sz="4" w:space="0"/>
              <w:right w:val="single" w:color="auto" w:sz="4" w:space="0"/>
            </w:tcBorders>
            <w:vAlign w:val="center"/>
          </w:tcPr>
          <w:p w14:paraId="04F7BC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5E66EC7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395A8DC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泉港区人民政府</w:t>
            </w:r>
          </w:p>
        </w:tc>
        <w:tc>
          <w:tcPr>
            <w:tcW w:w="236" w:type="dxa"/>
            <w:vAlign w:val="center"/>
          </w:tcPr>
          <w:p w14:paraId="74C38444">
            <w:pPr>
              <w:widowControl/>
              <w:jc w:val="left"/>
              <w:rPr>
                <w:rFonts w:ascii="Times New Roman" w:hAnsi="Times New Roman" w:eastAsia="Times New Roman" w:cs="Times New Roman"/>
                <w:kern w:val="0"/>
                <w:sz w:val="20"/>
                <w:szCs w:val="20"/>
              </w:rPr>
            </w:pPr>
          </w:p>
        </w:tc>
      </w:tr>
      <w:tr w14:paraId="1B460D34">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5CECF80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32</w:t>
            </w:r>
          </w:p>
        </w:tc>
        <w:tc>
          <w:tcPr>
            <w:tcW w:w="1981" w:type="dxa"/>
            <w:tcBorders>
              <w:top w:val="nil"/>
              <w:left w:val="nil"/>
              <w:bottom w:val="single" w:color="auto" w:sz="4" w:space="0"/>
              <w:right w:val="single" w:color="auto" w:sz="4" w:space="0"/>
            </w:tcBorders>
            <w:vAlign w:val="center"/>
          </w:tcPr>
          <w:p w14:paraId="36928A9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金维他智能化生产项目</w:t>
            </w:r>
          </w:p>
        </w:tc>
        <w:tc>
          <w:tcPr>
            <w:tcW w:w="945" w:type="dxa"/>
            <w:tcBorders>
              <w:top w:val="nil"/>
              <w:left w:val="nil"/>
              <w:bottom w:val="single" w:color="auto" w:sz="4" w:space="0"/>
              <w:right w:val="single" w:color="auto" w:sz="4" w:space="0"/>
            </w:tcBorders>
            <w:vAlign w:val="center"/>
          </w:tcPr>
          <w:p w14:paraId="4D02969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w:t>
            </w:r>
          </w:p>
        </w:tc>
        <w:tc>
          <w:tcPr>
            <w:tcW w:w="6233" w:type="dxa"/>
            <w:tcBorders>
              <w:top w:val="nil"/>
              <w:left w:val="nil"/>
              <w:bottom w:val="single" w:color="auto" w:sz="4" w:space="0"/>
              <w:right w:val="single" w:color="auto" w:sz="4" w:space="0"/>
            </w:tcBorders>
            <w:vAlign w:val="center"/>
          </w:tcPr>
          <w:p w14:paraId="1830F6E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项目用地27亩，主要建筑面积2.6万</w:t>
            </w:r>
            <w:r>
              <w:rPr>
                <w:rFonts w:ascii="Times New Roman" w:hAnsi="Times New Roman" w:eastAsia="宋体" w:cs="Times New Roman"/>
                <w:color w:val="000000"/>
                <w:sz w:val="22"/>
              </w:rPr>
              <w:t>平方米</w:t>
            </w:r>
            <w:r>
              <w:rPr>
                <w:rFonts w:ascii="Times New Roman" w:hAnsi="Times New Roman" w:eastAsia="仿宋_GB2312" w:cs="Times New Roman"/>
                <w:color w:val="000000"/>
                <w:sz w:val="22"/>
              </w:rPr>
              <w:t>，主要规划扩建标准化厂房及仓库3栋，综合办公楼1栋；新增扩建自动化燕麦片生产车间等。</w:t>
            </w:r>
          </w:p>
        </w:tc>
        <w:tc>
          <w:tcPr>
            <w:tcW w:w="1342" w:type="dxa"/>
            <w:tcBorders>
              <w:top w:val="nil"/>
              <w:left w:val="nil"/>
              <w:bottom w:val="single" w:color="auto" w:sz="4" w:space="0"/>
              <w:right w:val="single" w:color="auto" w:sz="4" w:space="0"/>
            </w:tcBorders>
            <w:vAlign w:val="center"/>
          </w:tcPr>
          <w:p w14:paraId="7433951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w:t>
            </w:r>
          </w:p>
        </w:tc>
        <w:tc>
          <w:tcPr>
            <w:tcW w:w="1866" w:type="dxa"/>
            <w:tcBorders>
              <w:top w:val="nil"/>
              <w:left w:val="nil"/>
              <w:bottom w:val="single" w:color="auto" w:sz="4" w:space="0"/>
              <w:right w:val="single" w:color="auto" w:sz="4" w:space="0"/>
            </w:tcBorders>
            <w:vAlign w:val="center"/>
          </w:tcPr>
          <w:p w14:paraId="47F8076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16C7DD5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泉港区人民政府</w:t>
            </w:r>
          </w:p>
        </w:tc>
        <w:tc>
          <w:tcPr>
            <w:tcW w:w="236" w:type="dxa"/>
            <w:vAlign w:val="center"/>
          </w:tcPr>
          <w:p w14:paraId="41BBA29D">
            <w:pPr>
              <w:widowControl/>
              <w:jc w:val="left"/>
              <w:rPr>
                <w:rFonts w:ascii="Times New Roman" w:hAnsi="Times New Roman" w:eastAsia="Times New Roman" w:cs="Times New Roman"/>
                <w:kern w:val="0"/>
                <w:sz w:val="20"/>
                <w:szCs w:val="20"/>
              </w:rPr>
            </w:pPr>
          </w:p>
        </w:tc>
      </w:tr>
      <w:tr w14:paraId="2D4C8AA0">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4D36CE7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33</w:t>
            </w:r>
          </w:p>
        </w:tc>
        <w:tc>
          <w:tcPr>
            <w:tcW w:w="1981" w:type="dxa"/>
            <w:tcBorders>
              <w:top w:val="nil"/>
              <w:left w:val="nil"/>
              <w:bottom w:val="single" w:color="auto" w:sz="4" w:space="0"/>
              <w:right w:val="single" w:color="auto" w:sz="4" w:space="0"/>
            </w:tcBorders>
            <w:vAlign w:val="center"/>
          </w:tcPr>
          <w:p w14:paraId="7502D95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恒昌盛智慧物流仓储产业园</w:t>
            </w:r>
          </w:p>
        </w:tc>
        <w:tc>
          <w:tcPr>
            <w:tcW w:w="945" w:type="dxa"/>
            <w:tcBorders>
              <w:top w:val="nil"/>
              <w:left w:val="nil"/>
              <w:bottom w:val="single" w:color="auto" w:sz="4" w:space="0"/>
              <w:right w:val="single" w:color="auto" w:sz="4" w:space="0"/>
            </w:tcBorders>
            <w:vAlign w:val="center"/>
          </w:tcPr>
          <w:p w14:paraId="2BF7B9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w:t>
            </w:r>
          </w:p>
        </w:tc>
        <w:tc>
          <w:tcPr>
            <w:tcW w:w="6233" w:type="dxa"/>
            <w:tcBorders>
              <w:top w:val="nil"/>
              <w:left w:val="nil"/>
              <w:bottom w:val="single" w:color="auto" w:sz="4" w:space="0"/>
              <w:right w:val="single" w:color="auto" w:sz="4" w:space="0"/>
            </w:tcBorders>
            <w:vAlign w:val="center"/>
          </w:tcPr>
          <w:p w14:paraId="6ED3C09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总用地面积93亩，计划建设用地面32826平方米，总建筑面积约9万平方米。</w:t>
            </w:r>
          </w:p>
        </w:tc>
        <w:tc>
          <w:tcPr>
            <w:tcW w:w="1342" w:type="dxa"/>
            <w:tcBorders>
              <w:top w:val="nil"/>
              <w:left w:val="nil"/>
              <w:bottom w:val="single" w:color="auto" w:sz="4" w:space="0"/>
              <w:right w:val="single" w:color="auto" w:sz="4" w:space="0"/>
            </w:tcBorders>
            <w:vAlign w:val="center"/>
          </w:tcPr>
          <w:p w14:paraId="521FED4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2.3</w:t>
            </w:r>
          </w:p>
        </w:tc>
        <w:tc>
          <w:tcPr>
            <w:tcW w:w="1866" w:type="dxa"/>
            <w:tcBorders>
              <w:top w:val="nil"/>
              <w:left w:val="nil"/>
              <w:bottom w:val="single" w:color="auto" w:sz="4" w:space="0"/>
              <w:right w:val="single" w:color="auto" w:sz="4" w:space="0"/>
            </w:tcBorders>
            <w:vAlign w:val="center"/>
          </w:tcPr>
          <w:p w14:paraId="2B50C04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342384E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泉港区人民政府</w:t>
            </w:r>
          </w:p>
        </w:tc>
        <w:tc>
          <w:tcPr>
            <w:tcW w:w="236" w:type="dxa"/>
            <w:vAlign w:val="center"/>
          </w:tcPr>
          <w:p w14:paraId="4816A604">
            <w:pPr>
              <w:widowControl/>
              <w:jc w:val="left"/>
              <w:rPr>
                <w:rFonts w:ascii="Times New Roman" w:hAnsi="Times New Roman" w:eastAsia="Times New Roman" w:cs="Times New Roman"/>
                <w:kern w:val="0"/>
                <w:sz w:val="20"/>
                <w:szCs w:val="20"/>
              </w:rPr>
            </w:pPr>
          </w:p>
        </w:tc>
      </w:tr>
      <w:tr w14:paraId="66CBAF9B">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5D99529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34</w:t>
            </w:r>
          </w:p>
        </w:tc>
        <w:tc>
          <w:tcPr>
            <w:tcW w:w="1981" w:type="dxa"/>
            <w:tcBorders>
              <w:top w:val="nil"/>
              <w:left w:val="nil"/>
              <w:bottom w:val="single" w:color="auto" w:sz="4" w:space="0"/>
              <w:right w:val="single" w:color="auto" w:sz="4" w:space="0"/>
            </w:tcBorders>
            <w:vAlign w:val="center"/>
          </w:tcPr>
          <w:p w14:paraId="2709F20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青创城服装网批云市场公共服务平台</w:t>
            </w:r>
          </w:p>
        </w:tc>
        <w:tc>
          <w:tcPr>
            <w:tcW w:w="945" w:type="dxa"/>
            <w:tcBorders>
              <w:top w:val="nil"/>
              <w:left w:val="nil"/>
              <w:bottom w:val="single" w:color="auto" w:sz="4" w:space="0"/>
              <w:right w:val="single" w:color="auto" w:sz="4" w:space="0"/>
            </w:tcBorders>
            <w:vAlign w:val="center"/>
          </w:tcPr>
          <w:p w14:paraId="5B1B889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602A31B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石狮市青创城采用线上“青创网”+线下“青创城”的模式，其中平台提供金融服务、人才服务、孵化服务以及公共服务。</w:t>
            </w:r>
          </w:p>
        </w:tc>
        <w:tc>
          <w:tcPr>
            <w:tcW w:w="1342" w:type="dxa"/>
            <w:tcBorders>
              <w:top w:val="nil"/>
              <w:left w:val="nil"/>
              <w:bottom w:val="single" w:color="auto" w:sz="4" w:space="0"/>
              <w:right w:val="single" w:color="auto" w:sz="4" w:space="0"/>
            </w:tcBorders>
            <w:vAlign w:val="center"/>
          </w:tcPr>
          <w:p w14:paraId="1950886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w:t>
            </w:r>
          </w:p>
        </w:tc>
        <w:tc>
          <w:tcPr>
            <w:tcW w:w="1866" w:type="dxa"/>
            <w:tcBorders>
              <w:top w:val="nil"/>
              <w:left w:val="nil"/>
              <w:bottom w:val="single" w:color="auto" w:sz="4" w:space="0"/>
              <w:right w:val="single" w:color="auto" w:sz="4" w:space="0"/>
            </w:tcBorders>
            <w:vAlign w:val="center"/>
          </w:tcPr>
          <w:p w14:paraId="2CA98FE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2017-2021</w:t>
            </w:r>
          </w:p>
        </w:tc>
        <w:tc>
          <w:tcPr>
            <w:tcW w:w="1145" w:type="dxa"/>
            <w:tcBorders>
              <w:top w:val="nil"/>
              <w:left w:val="nil"/>
              <w:bottom w:val="single" w:color="auto" w:sz="4" w:space="0"/>
              <w:right w:val="single" w:color="auto" w:sz="4" w:space="0"/>
            </w:tcBorders>
            <w:vAlign w:val="center"/>
          </w:tcPr>
          <w:p w14:paraId="5F2FD4C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32F2F9D0">
            <w:pPr>
              <w:widowControl/>
              <w:jc w:val="left"/>
              <w:rPr>
                <w:rFonts w:ascii="Times New Roman" w:hAnsi="Times New Roman" w:eastAsia="Times New Roman" w:cs="Times New Roman"/>
                <w:kern w:val="0"/>
                <w:sz w:val="20"/>
                <w:szCs w:val="20"/>
              </w:rPr>
            </w:pPr>
          </w:p>
        </w:tc>
      </w:tr>
      <w:tr w14:paraId="3FA8B64E">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484E0C8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35</w:t>
            </w:r>
          </w:p>
        </w:tc>
        <w:tc>
          <w:tcPr>
            <w:tcW w:w="1981" w:type="dxa"/>
            <w:tcBorders>
              <w:top w:val="nil"/>
              <w:left w:val="nil"/>
              <w:bottom w:val="single" w:color="auto" w:sz="4" w:space="0"/>
              <w:right w:val="single" w:color="auto" w:sz="4" w:space="0"/>
            </w:tcBorders>
            <w:vAlign w:val="center"/>
          </w:tcPr>
          <w:p w14:paraId="623832C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SAP海丝工业互联网（泉州）创新中心”</w:t>
            </w:r>
          </w:p>
        </w:tc>
        <w:tc>
          <w:tcPr>
            <w:tcW w:w="945" w:type="dxa"/>
            <w:tcBorders>
              <w:top w:val="nil"/>
              <w:left w:val="nil"/>
              <w:bottom w:val="single" w:color="auto" w:sz="4" w:space="0"/>
              <w:right w:val="single" w:color="auto" w:sz="4" w:space="0"/>
            </w:tcBorders>
            <w:vAlign w:val="center"/>
          </w:tcPr>
          <w:p w14:paraId="3D830A8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39DAAC6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为当地企业和政府搭建工业互联网共享公共服务平台，拉动中小企业上云上平台，促进产业链上下游互联互通，实现本地化服务，降低企业使用SAP的总体成本，整体提升本地企业两化水平。</w:t>
            </w:r>
          </w:p>
        </w:tc>
        <w:tc>
          <w:tcPr>
            <w:tcW w:w="1342" w:type="dxa"/>
            <w:tcBorders>
              <w:top w:val="nil"/>
              <w:left w:val="nil"/>
              <w:bottom w:val="single" w:color="auto" w:sz="4" w:space="0"/>
              <w:right w:val="single" w:color="auto" w:sz="4" w:space="0"/>
            </w:tcBorders>
            <w:vAlign w:val="center"/>
          </w:tcPr>
          <w:p w14:paraId="725F022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45247C0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3184914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25FAF35A">
            <w:pPr>
              <w:widowControl/>
              <w:jc w:val="left"/>
              <w:rPr>
                <w:rFonts w:ascii="Times New Roman" w:hAnsi="Times New Roman" w:eastAsia="Times New Roman" w:cs="Times New Roman"/>
                <w:kern w:val="0"/>
                <w:sz w:val="20"/>
                <w:szCs w:val="20"/>
              </w:rPr>
            </w:pPr>
          </w:p>
        </w:tc>
      </w:tr>
      <w:tr w14:paraId="7F71B6BA">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8EF4B59">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36</w:t>
            </w:r>
          </w:p>
        </w:tc>
        <w:tc>
          <w:tcPr>
            <w:tcW w:w="1981" w:type="dxa"/>
            <w:tcBorders>
              <w:top w:val="nil"/>
              <w:left w:val="nil"/>
              <w:bottom w:val="single" w:color="auto" w:sz="4" w:space="0"/>
              <w:right w:val="single" w:color="auto" w:sz="4" w:space="0"/>
            </w:tcBorders>
            <w:vAlign w:val="center"/>
          </w:tcPr>
          <w:p w14:paraId="7436B37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华为（晋江）工业互联网云孵化中心</w:t>
            </w:r>
          </w:p>
        </w:tc>
        <w:tc>
          <w:tcPr>
            <w:tcW w:w="945" w:type="dxa"/>
            <w:tcBorders>
              <w:top w:val="nil"/>
              <w:left w:val="nil"/>
              <w:bottom w:val="single" w:color="auto" w:sz="4" w:space="0"/>
              <w:right w:val="single" w:color="auto" w:sz="4" w:space="0"/>
            </w:tcBorders>
            <w:vAlign w:val="center"/>
          </w:tcPr>
          <w:p w14:paraId="61C02DA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27A4B9A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双方合作成立华为（晋江）工业互联网云孵化中心，实现人工智能及工业互联网应用产业孵化、产业对接、生态打造、人才培养及品牌宣传等。</w:t>
            </w:r>
          </w:p>
        </w:tc>
        <w:tc>
          <w:tcPr>
            <w:tcW w:w="1342" w:type="dxa"/>
            <w:tcBorders>
              <w:top w:val="nil"/>
              <w:left w:val="nil"/>
              <w:bottom w:val="single" w:color="auto" w:sz="4" w:space="0"/>
              <w:right w:val="single" w:color="auto" w:sz="4" w:space="0"/>
            </w:tcBorders>
            <w:vAlign w:val="center"/>
          </w:tcPr>
          <w:p w14:paraId="1015D48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3B28915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177B7C6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575DE0F7">
            <w:pPr>
              <w:widowControl/>
              <w:jc w:val="left"/>
              <w:rPr>
                <w:rFonts w:ascii="Times New Roman" w:hAnsi="Times New Roman" w:eastAsia="Times New Roman" w:cs="Times New Roman"/>
                <w:kern w:val="0"/>
                <w:sz w:val="20"/>
                <w:szCs w:val="20"/>
              </w:rPr>
            </w:pPr>
          </w:p>
        </w:tc>
      </w:tr>
      <w:tr w14:paraId="4BBA2CF9">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C313D4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37</w:t>
            </w:r>
          </w:p>
        </w:tc>
        <w:tc>
          <w:tcPr>
            <w:tcW w:w="1981" w:type="dxa"/>
            <w:tcBorders>
              <w:top w:val="nil"/>
              <w:left w:val="nil"/>
              <w:bottom w:val="single" w:color="auto" w:sz="4" w:space="0"/>
              <w:right w:val="single" w:color="auto" w:sz="4" w:space="0"/>
            </w:tcBorders>
            <w:vAlign w:val="center"/>
          </w:tcPr>
          <w:p w14:paraId="39847D3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Lazada泉州综合保税区发展跨境电商合作项目</w:t>
            </w:r>
          </w:p>
        </w:tc>
        <w:tc>
          <w:tcPr>
            <w:tcW w:w="945" w:type="dxa"/>
            <w:tcBorders>
              <w:top w:val="nil"/>
              <w:left w:val="nil"/>
              <w:bottom w:val="single" w:color="auto" w:sz="4" w:space="0"/>
              <w:right w:val="single" w:color="auto" w:sz="4" w:space="0"/>
            </w:tcBorders>
            <w:vAlign w:val="center"/>
          </w:tcPr>
          <w:p w14:paraId="3292BE8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524829F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共同在泉州产业带集群推进孵化跨境新商家主体、跨境代运营、直播孵化、人才培训等合作成立LAZADA跨境生态创新服务中心并推进官方跨境物流中心仓。</w:t>
            </w:r>
          </w:p>
        </w:tc>
        <w:tc>
          <w:tcPr>
            <w:tcW w:w="1342" w:type="dxa"/>
            <w:tcBorders>
              <w:top w:val="nil"/>
              <w:left w:val="nil"/>
              <w:bottom w:val="single" w:color="auto" w:sz="4" w:space="0"/>
              <w:right w:val="single" w:color="auto" w:sz="4" w:space="0"/>
            </w:tcBorders>
            <w:vAlign w:val="center"/>
          </w:tcPr>
          <w:p w14:paraId="7641DA2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4A3E0CF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0791411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56CFE24D">
            <w:pPr>
              <w:widowControl/>
              <w:jc w:val="left"/>
              <w:rPr>
                <w:rFonts w:ascii="Times New Roman" w:hAnsi="Times New Roman" w:eastAsia="Times New Roman" w:cs="Times New Roman"/>
                <w:kern w:val="0"/>
                <w:sz w:val="20"/>
                <w:szCs w:val="20"/>
              </w:rPr>
            </w:pPr>
          </w:p>
        </w:tc>
      </w:tr>
      <w:tr w14:paraId="44160DA6">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48CDE19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38</w:t>
            </w:r>
          </w:p>
        </w:tc>
        <w:tc>
          <w:tcPr>
            <w:tcW w:w="1981" w:type="dxa"/>
            <w:tcBorders>
              <w:top w:val="single" w:color="auto" w:sz="4" w:space="0"/>
              <w:left w:val="nil"/>
              <w:bottom w:val="single" w:color="auto" w:sz="4" w:space="0"/>
              <w:right w:val="single" w:color="auto" w:sz="4" w:space="0"/>
            </w:tcBorders>
            <w:vAlign w:val="center"/>
          </w:tcPr>
          <w:p w14:paraId="06E43CF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康芯科技电子雷管模组项目</w:t>
            </w:r>
          </w:p>
        </w:tc>
        <w:tc>
          <w:tcPr>
            <w:tcW w:w="945" w:type="dxa"/>
            <w:tcBorders>
              <w:top w:val="single" w:color="auto" w:sz="4" w:space="0"/>
              <w:left w:val="nil"/>
              <w:bottom w:val="single" w:color="auto" w:sz="4" w:space="0"/>
              <w:right w:val="single" w:color="auto" w:sz="4" w:space="0"/>
            </w:tcBorders>
            <w:vAlign w:val="center"/>
          </w:tcPr>
          <w:p w14:paraId="3C95795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single" w:color="auto" w:sz="4" w:space="0"/>
              <w:left w:val="nil"/>
              <w:bottom w:val="single" w:color="auto" w:sz="4" w:space="0"/>
              <w:right w:val="single" w:color="auto" w:sz="4" w:space="0"/>
            </w:tcBorders>
            <w:vAlign w:val="center"/>
          </w:tcPr>
          <w:p w14:paraId="32D0B75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主要从事专用数码电子雷管芯片的设计与研发，并建立电子雷管芯片模组生产线，计划年产电子雷管集约化专用芯片3亿颗，预计产值20亿元。</w:t>
            </w:r>
          </w:p>
        </w:tc>
        <w:tc>
          <w:tcPr>
            <w:tcW w:w="1342" w:type="dxa"/>
            <w:tcBorders>
              <w:top w:val="single" w:color="auto" w:sz="4" w:space="0"/>
              <w:left w:val="nil"/>
              <w:bottom w:val="single" w:color="auto" w:sz="4" w:space="0"/>
              <w:right w:val="single" w:color="auto" w:sz="4" w:space="0"/>
            </w:tcBorders>
            <w:vAlign w:val="center"/>
          </w:tcPr>
          <w:p w14:paraId="1BAE008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w:t>
            </w:r>
          </w:p>
        </w:tc>
        <w:tc>
          <w:tcPr>
            <w:tcW w:w="1866" w:type="dxa"/>
            <w:tcBorders>
              <w:top w:val="single" w:color="auto" w:sz="4" w:space="0"/>
              <w:left w:val="nil"/>
              <w:bottom w:val="single" w:color="auto" w:sz="4" w:space="0"/>
              <w:right w:val="single" w:color="auto" w:sz="4" w:space="0"/>
            </w:tcBorders>
            <w:vAlign w:val="center"/>
          </w:tcPr>
          <w:p w14:paraId="65FB9A5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single" w:color="auto" w:sz="4" w:space="0"/>
              <w:left w:val="nil"/>
              <w:bottom w:val="single" w:color="auto" w:sz="4" w:space="0"/>
              <w:right w:val="single" w:color="auto" w:sz="4" w:space="0"/>
            </w:tcBorders>
            <w:vAlign w:val="center"/>
          </w:tcPr>
          <w:p w14:paraId="0E9F5B1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67B59B47">
            <w:pPr>
              <w:widowControl/>
              <w:jc w:val="left"/>
              <w:rPr>
                <w:rFonts w:ascii="Times New Roman" w:hAnsi="Times New Roman" w:eastAsia="Times New Roman" w:cs="Times New Roman"/>
                <w:kern w:val="0"/>
                <w:sz w:val="20"/>
                <w:szCs w:val="20"/>
              </w:rPr>
            </w:pPr>
          </w:p>
        </w:tc>
      </w:tr>
      <w:tr w14:paraId="67566C8F">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358838D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39</w:t>
            </w:r>
          </w:p>
        </w:tc>
        <w:tc>
          <w:tcPr>
            <w:tcW w:w="1981" w:type="dxa"/>
            <w:tcBorders>
              <w:top w:val="nil"/>
              <w:left w:val="nil"/>
              <w:bottom w:val="single" w:color="auto" w:sz="4" w:space="0"/>
              <w:right w:val="single" w:color="auto" w:sz="4" w:space="0"/>
            </w:tcBorders>
            <w:vAlign w:val="center"/>
          </w:tcPr>
          <w:p w14:paraId="3157D7C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货同运网络货运平台项目</w:t>
            </w:r>
          </w:p>
        </w:tc>
        <w:tc>
          <w:tcPr>
            <w:tcW w:w="945" w:type="dxa"/>
            <w:tcBorders>
              <w:top w:val="nil"/>
              <w:left w:val="nil"/>
              <w:bottom w:val="single" w:color="auto" w:sz="4" w:space="0"/>
              <w:right w:val="single" w:color="auto" w:sz="4" w:space="0"/>
            </w:tcBorders>
            <w:vAlign w:val="center"/>
          </w:tcPr>
          <w:p w14:paraId="6EA4F99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04725EC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平台定位为B2B的物流服务移动互联平台，专做公路整车运输，运用“物流+互联网”理念打造车货需求智能匹配的电商平台，为不同货主、车主提供相应的找车、拉货、交易等服务。</w:t>
            </w:r>
          </w:p>
        </w:tc>
        <w:tc>
          <w:tcPr>
            <w:tcW w:w="1342" w:type="dxa"/>
            <w:tcBorders>
              <w:top w:val="nil"/>
              <w:left w:val="nil"/>
              <w:bottom w:val="single" w:color="auto" w:sz="4" w:space="0"/>
              <w:right w:val="single" w:color="auto" w:sz="4" w:space="0"/>
            </w:tcBorders>
            <w:vAlign w:val="center"/>
          </w:tcPr>
          <w:p w14:paraId="5D29A42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146C911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0377FBD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413C7D3A">
            <w:pPr>
              <w:widowControl/>
              <w:jc w:val="left"/>
              <w:rPr>
                <w:rFonts w:ascii="Times New Roman" w:hAnsi="Times New Roman" w:eastAsia="Times New Roman" w:cs="Times New Roman"/>
                <w:kern w:val="0"/>
                <w:sz w:val="20"/>
                <w:szCs w:val="20"/>
              </w:rPr>
            </w:pPr>
          </w:p>
        </w:tc>
      </w:tr>
      <w:tr w14:paraId="288D4B59">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2747DC8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40</w:t>
            </w:r>
          </w:p>
        </w:tc>
        <w:tc>
          <w:tcPr>
            <w:tcW w:w="1981" w:type="dxa"/>
            <w:tcBorders>
              <w:top w:val="nil"/>
              <w:left w:val="nil"/>
              <w:bottom w:val="single" w:color="auto" w:sz="4" w:space="0"/>
              <w:right w:val="single" w:color="auto" w:sz="4" w:space="0"/>
            </w:tcBorders>
            <w:vAlign w:val="center"/>
          </w:tcPr>
          <w:p w14:paraId="7CC3504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牧月科技自动驾驶项目</w:t>
            </w:r>
          </w:p>
        </w:tc>
        <w:tc>
          <w:tcPr>
            <w:tcW w:w="945" w:type="dxa"/>
            <w:tcBorders>
              <w:top w:val="nil"/>
              <w:left w:val="nil"/>
              <w:bottom w:val="single" w:color="auto" w:sz="4" w:space="0"/>
              <w:right w:val="single" w:color="auto" w:sz="4" w:space="0"/>
            </w:tcBorders>
            <w:vAlign w:val="center"/>
          </w:tcPr>
          <w:p w14:paraId="54B7030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63D6E0C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主要从事自动驾驶技术和智慧物流、车路协同、智能网联研发及运营。</w:t>
            </w:r>
          </w:p>
        </w:tc>
        <w:tc>
          <w:tcPr>
            <w:tcW w:w="1342" w:type="dxa"/>
            <w:tcBorders>
              <w:top w:val="nil"/>
              <w:left w:val="nil"/>
              <w:bottom w:val="single" w:color="auto" w:sz="4" w:space="0"/>
              <w:right w:val="single" w:color="auto" w:sz="4" w:space="0"/>
            </w:tcBorders>
            <w:vAlign w:val="center"/>
          </w:tcPr>
          <w:p w14:paraId="344A5A2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w:t>
            </w:r>
          </w:p>
        </w:tc>
        <w:tc>
          <w:tcPr>
            <w:tcW w:w="1866" w:type="dxa"/>
            <w:tcBorders>
              <w:top w:val="nil"/>
              <w:left w:val="nil"/>
              <w:bottom w:val="single" w:color="auto" w:sz="4" w:space="0"/>
              <w:right w:val="single" w:color="auto" w:sz="4" w:space="0"/>
            </w:tcBorders>
            <w:vAlign w:val="center"/>
          </w:tcPr>
          <w:p w14:paraId="6FB53EC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2020-2024</w:t>
            </w:r>
          </w:p>
        </w:tc>
        <w:tc>
          <w:tcPr>
            <w:tcW w:w="1145" w:type="dxa"/>
            <w:tcBorders>
              <w:top w:val="nil"/>
              <w:left w:val="nil"/>
              <w:bottom w:val="single" w:color="auto" w:sz="4" w:space="0"/>
              <w:right w:val="single" w:color="auto" w:sz="4" w:space="0"/>
            </w:tcBorders>
            <w:vAlign w:val="center"/>
          </w:tcPr>
          <w:p w14:paraId="0D3099E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11C8DC66">
            <w:pPr>
              <w:widowControl/>
              <w:jc w:val="left"/>
              <w:rPr>
                <w:rFonts w:ascii="Times New Roman" w:hAnsi="Times New Roman" w:eastAsia="Times New Roman" w:cs="Times New Roman"/>
                <w:kern w:val="0"/>
                <w:sz w:val="20"/>
                <w:szCs w:val="20"/>
              </w:rPr>
            </w:pPr>
          </w:p>
        </w:tc>
      </w:tr>
      <w:tr w14:paraId="51307142">
        <w:tblPrEx>
          <w:tblCellMar>
            <w:top w:w="0" w:type="dxa"/>
            <w:left w:w="108" w:type="dxa"/>
            <w:bottom w:w="0" w:type="dxa"/>
            <w:right w:w="108" w:type="dxa"/>
          </w:tblCellMar>
        </w:tblPrEx>
        <w:trPr>
          <w:trHeight w:val="886" w:hRule="atLeast"/>
        </w:trPr>
        <w:tc>
          <w:tcPr>
            <w:tcW w:w="566" w:type="dxa"/>
            <w:tcBorders>
              <w:top w:val="nil"/>
              <w:left w:val="single" w:color="auto" w:sz="4" w:space="0"/>
              <w:bottom w:val="single" w:color="auto" w:sz="4" w:space="0"/>
              <w:right w:val="single" w:color="auto" w:sz="4" w:space="0"/>
            </w:tcBorders>
            <w:vAlign w:val="center"/>
          </w:tcPr>
          <w:p w14:paraId="1CA2B15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41</w:t>
            </w:r>
          </w:p>
        </w:tc>
        <w:tc>
          <w:tcPr>
            <w:tcW w:w="1981" w:type="dxa"/>
            <w:tcBorders>
              <w:top w:val="nil"/>
              <w:left w:val="nil"/>
              <w:bottom w:val="single" w:color="auto" w:sz="4" w:space="0"/>
              <w:right w:val="single" w:color="auto" w:sz="4" w:space="0"/>
            </w:tcBorders>
            <w:vAlign w:val="center"/>
          </w:tcPr>
          <w:p w14:paraId="39079A1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盛达石材</w:t>
            </w:r>
            <w:r>
              <w:rPr>
                <w:rFonts w:ascii="Times New Roman" w:hAnsi="Times New Roman" w:eastAsia="仿宋_GB2312" w:cs="Times New Roman"/>
                <w:color w:val="000000"/>
                <w:sz w:val="22"/>
              </w:rPr>
              <w:br w:type="textWrapping"/>
            </w:r>
            <w:r>
              <w:rPr>
                <w:rFonts w:ascii="Times New Roman" w:hAnsi="Times New Roman" w:eastAsia="仿宋_GB2312" w:cs="Times New Roman"/>
                <w:color w:val="000000"/>
                <w:sz w:val="22"/>
              </w:rPr>
              <w:t>数控加工设备生产项目</w:t>
            </w:r>
          </w:p>
        </w:tc>
        <w:tc>
          <w:tcPr>
            <w:tcW w:w="945" w:type="dxa"/>
            <w:tcBorders>
              <w:top w:val="nil"/>
              <w:left w:val="nil"/>
              <w:bottom w:val="single" w:color="auto" w:sz="4" w:space="0"/>
              <w:right w:val="single" w:color="auto" w:sz="4" w:space="0"/>
            </w:tcBorders>
            <w:vAlign w:val="center"/>
          </w:tcPr>
          <w:p w14:paraId="152B44D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72FDE26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拟用地面积75亩，总建筑面积6万平方米，年产高端石材数控加工机械设备5000台（套）。</w:t>
            </w:r>
          </w:p>
        </w:tc>
        <w:tc>
          <w:tcPr>
            <w:tcW w:w="1342" w:type="dxa"/>
            <w:tcBorders>
              <w:top w:val="nil"/>
              <w:left w:val="nil"/>
              <w:bottom w:val="single" w:color="auto" w:sz="4" w:space="0"/>
              <w:right w:val="single" w:color="auto" w:sz="4" w:space="0"/>
            </w:tcBorders>
            <w:vAlign w:val="center"/>
          </w:tcPr>
          <w:p w14:paraId="0A512D9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441C803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591DBAE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5864B499">
            <w:pPr>
              <w:widowControl/>
              <w:jc w:val="left"/>
              <w:rPr>
                <w:rFonts w:ascii="Times New Roman" w:hAnsi="Times New Roman" w:eastAsia="Times New Roman" w:cs="Times New Roman"/>
                <w:kern w:val="0"/>
                <w:sz w:val="20"/>
                <w:szCs w:val="20"/>
              </w:rPr>
            </w:pPr>
          </w:p>
        </w:tc>
      </w:tr>
      <w:tr w14:paraId="15BAAC85">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6CB4C6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42</w:t>
            </w:r>
          </w:p>
        </w:tc>
        <w:tc>
          <w:tcPr>
            <w:tcW w:w="1981" w:type="dxa"/>
            <w:tcBorders>
              <w:top w:val="nil"/>
              <w:left w:val="nil"/>
              <w:bottom w:val="single" w:color="auto" w:sz="4" w:space="0"/>
              <w:right w:val="single" w:color="auto" w:sz="4" w:space="0"/>
            </w:tcBorders>
            <w:vAlign w:val="center"/>
          </w:tcPr>
          <w:p w14:paraId="0ECCF4E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和盛智能机械制造项目</w:t>
            </w:r>
          </w:p>
        </w:tc>
        <w:tc>
          <w:tcPr>
            <w:tcW w:w="945" w:type="dxa"/>
            <w:tcBorders>
              <w:top w:val="nil"/>
              <w:left w:val="nil"/>
              <w:bottom w:val="single" w:color="auto" w:sz="4" w:space="0"/>
              <w:right w:val="single" w:color="auto" w:sz="4" w:space="0"/>
            </w:tcBorders>
            <w:vAlign w:val="center"/>
          </w:tcPr>
          <w:p w14:paraId="3613310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118054A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拟用地面积40亩，总建筑面积2.5万平方米，年产400台智能石材机械。</w:t>
            </w:r>
          </w:p>
        </w:tc>
        <w:tc>
          <w:tcPr>
            <w:tcW w:w="1342" w:type="dxa"/>
            <w:tcBorders>
              <w:top w:val="nil"/>
              <w:left w:val="nil"/>
              <w:bottom w:val="single" w:color="auto" w:sz="4" w:space="0"/>
              <w:right w:val="single" w:color="auto" w:sz="4" w:space="0"/>
            </w:tcBorders>
            <w:vAlign w:val="center"/>
          </w:tcPr>
          <w:p w14:paraId="46EFF50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43568CD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4D7196A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44411682">
            <w:pPr>
              <w:widowControl/>
              <w:jc w:val="left"/>
              <w:rPr>
                <w:rFonts w:ascii="Times New Roman" w:hAnsi="Times New Roman" w:eastAsia="Times New Roman" w:cs="Times New Roman"/>
                <w:kern w:val="0"/>
                <w:sz w:val="20"/>
                <w:szCs w:val="20"/>
              </w:rPr>
            </w:pPr>
          </w:p>
        </w:tc>
      </w:tr>
      <w:tr w14:paraId="38296ADB">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189BBE9A">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43</w:t>
            </w:r>
          </w:p>
        </w:tc>
        <w:tc>
          <w:tcPr>
            <w:tcW w:w="1981" w:type="dxa"/>
            <w:tcBorders>
              <w:top w:val="nil"/>
              <w:left w:val="nil"/>
              <w:bottom w:val="single" w:color="auto" w:sz="4" w:space="0"/>
              <w:right w:val="single" w:color="auto" w:sz="4" w:space="0"/>
            </w:tcBorders>
            <w:vAlign w:val="center"/>
          </w:tcPr>
          <w:p w14:paraId="5D9AFD7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安芯半导体装备及耗材研发制造生产线项目</w:t>
            </w:r>
          </w:p>
        </w:tc>
        <w:tc>
          <w:tcPr>
            <w:tcW w:w="945" w:type="dxa"/>
            <w:tcBorders>
              <w:top w:val="nil"/>
              <w:left w:val="nil"/>
              <w:bottom w:val="single" w:color="auto" w:sz="4" w:space="0"/>
              <w:right w:val="single" w:color="auto" w:sz="4" w:space="0"/>
            </w:tcBorders>
            <w:vAlign w:val="center"/>
          </w:tcPr>
          <w:p w14:paraId="34EFBE7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70F9E41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总投资1亿元，分两期建设，占地约40亩，建设半导体装备及耗材研发制造生产线（含光刻机、涂胶显影机、高端湿法设备等）。</w:t>
            </w:r>
          </w:p>
        </w:tc>
        <w:tc>
          <w:tcPr>
            <w:tcW w:w="1342" w:type="dxa"/>
            <w:tcBorders>
              <w:top w:val="nil"/>
              <w:left w:val="nil"/>
              <w:bottom w:val="single" w:color="auto" w:sz="4" w:space="0"/>
              <w:right w:val="single" w:color="auto" w:sz="4" w:space="0"/>
            </w:tcBorders>
            <w:vAlign w:val="center"/>
          </w:tcPr>
          <w:p w14:paraId="0788F52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7943C6A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5B56023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67818E47">
            <w:pPr>
              <w:widowControl/>
              <w:jc w:val="left"/>
              <w:rPr>
                <w:rFonts w:ascii="Times New Roman" w:hAnsi="Times New Roman" w:eastAsia="Times New Roman" w:cs="Times New Roman"/>
                <w:kern w:val="0"/>
                <w:sz w:val="20"/>
                <w:szCs w:val="20"/>
              </w:rPr>
            </w:pPr>
          </w:p>
        </w:tc>
      </w:tr>
      <w:tr w14:paraId="0A730C12">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1C9CF6B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44</w:t>
            </w:r>
          </w:p>
        </w:tc>
        <w:tc>
          <w:tcPr>
            <w:tcW w:w="1981" w:type="dxa"/>
            <w:tcBorders>
              <w:top w:val="nil"/>
              <w:left w:val="nil"/>
              <w:bottom w:val="single" w:color="auto" w:sz="4" w:space="0"/>
              <w:right w:val="single" w:color="auto" w:sz="4" w:space="0"/>
            </w:tcBorders>
            <w:vAlign w:val="center"/>
          </w:tcPr>
          <w:p w14:paraId="0477B1D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顺天塑胶智能制造项目</w:t>
            </w:r>
          </w:p>
        </w:tc>
        <w:tc>
          <w:tcPr>
            <w:tcW w:w="945" w:type="dxa"/>
            <w:tcBorders>
              <w:top w:val="nil"/>
              <w:left w:val="nil"/>
              <w:bottom w:val="single" w:color="auto" w:sz="4" w:space="0"/>
              <w:right w:val="single" w:color="auto" w:sz="4" w:space="0"/>
            </w:tcBorders>
            <w:vAlign w:val="center"/>
          </w:tcPr>
          <w:p w14:paraId="0FF5D91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46900BC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建设自动化生产车间、研发中心、办公楼及相关配套设施89415</w:t>
            </w:r>
            <w:r>
              <w:rPr>
                <w:rFonts w:ascii="Times New Roman" w:hAnsi="Times New Roman" w:eastAsia="宋体" w:cs="Times New Roman"/>
                <w:color w:val="000000"/>
                <w:sz w:val="22"/>
              </w:rPr>
              <w:t>平方米</w:t>
            </w:r>
            <w:r>
              <w:rPr>
                <w:rFonts w:ascii="Times New Roman" w:hAnsi="Times New Roman" w:eastAsia="仿宋_GB2312" w:cs="Times New Roman"/>
                <w:color w:val="000000"/>
                <w:sz w:val="22"/>
              </w:rPr>
              <w:t>，预计投产后年产7000万双鞋底、年均产值15亿元、年创税收5000万元。</w:t>
            </w:r>
          </w:p>
        </w:tc>
        <w:tc>
          <w:tcPr>
            <w:tcW w:w="1342" w:type="dxa"/>
            <w:tcBorders>
              <w:top w:val="nil"/>
              <w:left w:val="nil"/>
              <w:bottom w:val="single" w:color="auto" w:sz="4" w:space="0"/>
              <w:right w:val="single" w:color="auto" w:sz="4" w:space="0"/>
            </w:tcBorders>
            <w:vAlign w:val="center"/>
          </w:tcPr>
          <w:p w14:paraId="3CFE669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1866" w:type="dxa"/>
            <w:tcBorders>
              <w:top w:val="nil"/>
              <w:left w:val="nil"/>
              <w:bottom w:val="single" w:color="auto" w:sz="4" w:space="0"/>
              <w:right w:val="single" w:color="auto" w:sz="4" w:space="0"/>
            </w:tcBorders>
            <w:vAlign w:val="center"/>
          </w:tcPr>
          <w:p w14:paraId="67E82AC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3C50DC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4674D5F2">
            <w:pPr>
              <w:widowControl/>
              <w:jc w:val="left"/>
              <w:rPr>
                <w:rFonts w:ascii="Times New Roman" w:hAnsi="Times New Roman" w:eastAsia="Times New Roman" w:cs="Times New Roman"/>
                <w:kern w:val="0"/>
                <w:sz w:val="20"/>
                <w:szCs w:val="20"/>
              </w:rPr>
            </w:pPr>
          </w:p>
        </w:tc>
      </w:tr>
      <w:tr w14:paraId="08803EE7">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45017B5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45</w:t>
            </w:r>
          </w:p>
        </w:tc>
        <w:tc>
          <w:tcPr>
            <w:tcW w:w="1981" w:type="dxa"/>
            <w:tcBorders>
              <w:top w:val="nil"/>
              <w:left w:val="nil"/>
              <w:bottom w:val="single" w:color="auto" w:sz="4" w:space="0"/>
              <w:right w:val="single" w:color="auto" w:sz="4" w:space="0"/>
            </w:tcBorders>
            <w:vAlign w:val="center"/>
          </w:tcPr>
          <w:p w14:paraId="47DA146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灿辉绿色环保功能性面料织造及智能服饰产业项目</w:t>
            </w:r>
          </w:p>
        </w:tc>
        <w:tc>
          <w:tcPr>
            <w:tcW w:w="945" w:type="dxa"/>
            <w:tcBorders>
              <w:top w:val="nil"/>
              <w:left w:val="nil"/>
              <w:bottom w:val="single" w:color="auto" w:sz="4" w:space="0"/>
              <w:right w:val="single" w:color="auto" w:sz="4" w:space="0"/>
            </w:tcBorders>
            <w:vAlign w:val="center"/>
          </w:tcPr>
          <w:p w14:paraId="0D05B62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40AA610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主要建设生态园区、智能研发大楼、绿色环保功能性面料纺织生产车间、智能转用服饰生产车间、员工宿舍楼、绿色环保功能性面料及智能服饰展览馆。</w:t>
            </w:r>
          </w:p>
        </w:tc>
        <w:tc>
          <w:tcPr>
            <w:tcW w:w="1342" w:type="dxa"/>
            <w:tcBorders>
              <w:top w:val="nil"/>
              <w:left w:val="nil"/>
              <w:bottom w:val="single" w:color="auto" w:sz="4" w:space="0"/>
              <w:right w:val="single" w:color="auto" w:sz="4" w:space="0"/>
            </w:tcBorders>
            <w:vAlign w:val="center"/>
          </w:tcPr>
          <w:p w14:paraId="6D5369A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4149DE7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7BB6AFD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65571F37">
            <w:pPr>
              <w:widowControl/>
              <w:jc w:val="left"/>
              <w:rPr>
                <w:rFonts w:ascii="Times New Roman" w:hAnsi="Times New Roman" w:eastAsia="Times New Roman" w:cs="Times New Roman"/>
                <w:kern w:val="0"/>
                <w:sz w:val="20"/>
                <w:szCs w:val="20"/>
              </w:rPr>
            </w:pPr>
          </w:p>
        </w:tc>
      </w:tr>
      <w:tr w14:paraId="52809635">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48CE73D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46</w:t>
            </w:r>
          </w:p>
        </w:tc>
        <w:tc>
          <w:tcPr>
            <w:tcW w:w="1981" w:type="dxa"/>
            <w:tcBorders>
              <w:top w:val="nil"/>
              <w:left w:val="nil"/>
              <w:bottom w:val="single" w:color="auto" w:sz="4" w:space="0"/>
              <w:right w:val="single" w:color="auto" w:sz="4" w:space="0"/>
            </w:tcBorders>
            <w:vAlign w:val="center"/>
          </w:tcPr>
          <w:p w14:paraId="6F046EF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音锋智能物流机器人及数字工厂产业基地项目</w:t>
            </w:r>
          </w:p>
        </w:tc>
        <w:tc>
          <w:tcPr>
            <w:tcW w:w="945" w:type="dxa"/>
            <w:tcBorders>
              <w:top w:val="nil"/>
              <w:left w:val="nil"/>
              <w:bottom w:val="single" w:color="auto" w:sz="4" w:space="0"/>
              <w:right w:val="single" w:color="auto" w:sz="4" w:space="0"/>
            </w:tcBorders>
            <w:vAlign w:val="center"/>
          </w:tcPr>
          <w:p w14:paraId="5DCE978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37E4814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主要建设智能物流设备生产制造车间、智能仓储物流。</w:t>
            </w:r>
          </w:p>
        </w:tc>
        <w:tc>
          <w:tcPr>
            <w:tcW w:w="1342" w:type="dxa"/>
            <w:tcBorders>
              <w:top w:val="nil"/>
              <w:left w:val="nil"/>
              <w:bottom w:val="single" w:color="auto" w:sz="4" w:space="0"/>
              <w:right w:val="single" w:color="auto" w:sz="4" w:space="0"/>
            </w:tcBorders>
            <w:vAlign w:val="center"/>
          </w:tcPr>
          <w:p w14:paraId="5CC7790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1866" w:type="dxa"/>
            <w:tcBorders>
              <w:top w:val="nil"/>
              <w:left w:val="nil"/>
              <w:bottom w:val="single" w:color="auto" w:sz="4" w:space="0"/>
              <w:right w:val="single" w:color="auto" w:sz="4" w:space="0"/>
            </w:tcBorders>
            <w:vAlign w:val="center"/>
          </w:tcPr>
          <w:p w14:paraId="5D742FE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4699656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539D6063">
            <w:pPr>
              <w:widowControl/>
              <w:jc w:val="left"/>
              <w:rPr>
                <w:rFonts w:ascii="Times New Roman" w:hAnsi="Times New Roman" w:eastAsia="Times New Roman" w:cs="Times New Roman"/>
                <w:kern w:val="0"/>
                <w:sz w:val="20"/>
                <w:szCs w:val="20"/>
              </w:rPr>
            </w:pPr>
          </w:p>
        </w:tc>
      </w:tr>
      <w:tr w14:paraId="61A364FB">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D07F9A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47</w:t>
            </w:r>
          </w:p>
        </w:tc>
        <w:tc>
          <w:tcPr>
            <w:tcW w:w="1981" w:type="dxa"/>
            <w:tcBorders>
              <w:top w:val="nil"/>
              <w:left w:val="nil"/>
              <w:bottom w:val="single" w:color="auto" w:sz="4" w:space="0"/>
              <w:right w:val="single" w:color="auto" w:sz="4" w:space="0"/>
            </w:tcBorders>
            <w:vAlign w:val="center"/>
          </w:tcPr>
          <w:p w14:paraId="71F6C3F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琦峰科技二期扩建项目</w:t>
            </w:r>
          </w:p>
        </w:tc>
        <w:tc>
          <w:tcPr>
            <w:tcW w:w="945" w:type="dxa"/>
            <w:tcBorders>
              <w:top w:val="nil"/>
              <w:left w:val="nil"/>
              <w:bottom w:val="single" w:color="auto" w:sz="4" w:space="0"/>
              <w:right w:val="single" w:color="auto" w:sz="4" w:space="0"/>
            </w:tcBorders>
            <w:vAlign w:val="center"/>
          </w:tcPr>
          <w:p w14:paraId="3C5BA16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4E77C55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引进三条国际先进透气膜一体化生产线，打造行业领先生产商。</w:t>
            </w:r>
          </w:p>
        </w:tc>
        <w:tc>
          <w:tcPr>
            <w:tcW w:w="1342" w:type="dxa"/>
            <w:tcBorders>
              <w:top w:val="nil"/>
              <w:left w:val="nil"/>
              <w:bottom w:val="single" w:color="auto" w:sz="4" w:space="0"/>
              <w:right w:val="single" w:color="auto" w:sz="4" w:space="0"/>
            </w:tcBorders>
            <w:vAlign w:val="center"/>
          </w:tcPr>
          <w:p w14:paraId="03A71DE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0576EBF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nil"/>
              <w:left w:val="nil"/>
              <w:bottom w:val="single" w:color="auto" w:sz="4" w:space="0"/>
              <w:right w:val="single" w:color="auto" w:sz="4" w:space="0"/>
            </w:tcBorders>
            <w:vAlign w:val="center"/>
          </w:tcPr>
          <w:p w14:paraId="0F7DFCF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1F684508">
            <w:pPr>
              <w:widowControl/>
              <w:jc w:val="left"/>
              <w:rPr>
                <w:rFonts w:ascii="Times New Roman" w:hAnsi="Times New Roman" w:eastAsia="Times New Roman" w:cs="Times New Roman"/>
                <w:kern w:val="0"/>
                <w:sz w:val="20"/>
                <w:szCs w:val="20"/>
              </w:rPr>
            </w:pPr>
          </w:p>
        </w:tc>
      </w:tr>
      <w:tr w14:paraId="30904880">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0427D38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48</w:t>
            </w:r>
          </w:p>
        </w:tc>
        <w:tc>
          <w:tcPr>
            <w:tcW w:w="1981" w:type="dxa"/>
            <w:tcBorders>
              <w:top w:val="single" w:color="auto" w:sz="4" w:space="0"/>
              <w:left w:val="nil"/>
              <w:bottom w:val="single" w:color="auto" w:sz="4" w:space="0"/>
              <w:right w:val="single" w:color="auto" w:sz="4" w:space="0"/>
            </w:tcBorders>
            <w:vAlign w:val="center"/>
          </w:tcPr>
          <w:p w14:paraId="2799C2E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南王科技研发总部及智能工厂项目</w:t>
            </w:r>
          </w:p>
        </w:tc>
        <w:tc>
          <w:tcPr>
            <w:tcW w:w="945" w:type="dxa"/>
            <w:tcBorders>
              <w:top w:val="single" w:color="auto" w:sz="4" w:space="0"/>
              <w:left w:val="nil"/>
              <w:bottom w:val="single" w:color="auto" w:sz="4" w:space="0"/>
              <w:right w:val="single" w:color="auto" w:sz="4" w:space="0"/>
            </w:tcBorders>
            <w:vAlign w:val="center"/>
          </w:tcPr>
          <w:p w14:paraId="41A7B26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single" w:color="auto" w:sz="4" w:space="0"/>
              <w:left w:val="nil"/>
              <w:bottom w:val="single" w:color="auto" w:sz="4" w:space="0"/>
              <w:right w:val="single" w:color="auto" w:sz="4" w:space="0"/>
            </w:tcBorders>
            <w:vAlign w:val="center"/>
          </w:tcPr>
          <w:p w14:paraId="3770621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规划建设全自动立体仓储及系统、10万级QS食品纸袋智能车间、全自动智能化购物袋车间、南王科技研发总部、南王科技管理及销售总部等。</w:t>
            </w:r>
          </w:p>
        </w:tc>
        <w:tc>
          <w:tcPr>
            <w:tcW w:w="1342" w:type="dxa"/>
            <w:tcBorders>
              <w:top w:val="single" w:color="auto" w:sz="4" w:space="0"/>
              <w:left w:val="nil"/>
              <w:bottom w:val="single" w:color="auto" w:sz="4" w:space="0"/>
              <w:right w:val="single" w:color="auto" w:sz="4" w:space="0"/>
            </w:tcBorders>
            <w:vAlign w:val="center"/>
          </w:tcPr>
          <w:p w14:paraId="57FC1E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4.5</w:t>
            </w:r>
          </w:p>
        </w:tc>
        <w:tc>
          <w:tcPr>
            <w:tcW w:w="1866" w:type="dxa"/>
            <w:tcBorders>
              <w:top w:val="single" w:color="auto" w:sz="4" w:space="0"/>
              <w:left w:val="nil"/>
              <w:bottom w:val="single" w:color="auto" w:sz="4" w:space="0"/>
              <w:right w:val="single" w:color="auto" w:sz="4" w:space="0"/>
            </w:tcBorders>
            <w:vAlign w:val="center"/>
          </w:tcPr>
          <w:p w14:paraId="58C1E20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2021-2024</w:t>
            </w:r>
          </w:p>
        </w:tc>
        <w:tc>
          <w:tcPr>
            <w:tcW w:w="1145" w:type="dxa"/>
            <w:tcBorders>
              <w:top w:val="single" w:color="auto" w:sz="4" w:space="0"/>
              <w:left w:val="nil"/>
              <w:bottom w:val="single" w:color="auto" w:sz="4" w:space="0"/>
              <w:right w:val="single" w:color="auto" w:sz="4" w:space="0"/>
            </w:tcBorders>
            <w:vAlign w:val="center"/>
          </w:tcPr>
          <w:p w14:paraId="299D0DC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5B6B5B68">
            <w:pPr>
              <w:widowControl/>
              <w:jc w:val="left"/>
              <w:rPr>
                <w:rFonts w:ascii="Times New Roman" w:hAnsi="Times New Roman" w:eastAsia="Times New Roman" w:cs="Times New Roman"/>
                <w:kern w:val="0"/>
                <w:sz w:val="20"/>
                <w:szCs w:val="20"/>
              </w:rPr>
            </w:pPr>
          </w:p>
        </w:tc>
      </w:tr>
      <w:tr w14:paraId="24376FEC">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0BAC2DC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49</w:t>
            </w:r>
          </w:p>
        </w:tc>
        <w:tc>
          <w:tcPr>
            <w:tcW w:w="1981" w:type="dxa"/>
            <w:tcBorders>
              <w:top w:val="nil"/>
              <w:left w:val="nil"/>
              <w:bottom w:val="single" w:color="auto" w:sz="4" w:space="0"/>
              <w:right w:val="single" w:color="auto" w:sz="4" w:space="0"/>
            </w:tcBorders>
            <w:vAlign w:val="center"/>
          </w:tcPr>
          <w:p w14:paraId="4114710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永春共享汽车项目</w:t>
            </w:r>
          </w:p>
        </w:tc>
        <w:tc>
          <w:tcPr>
            <w:tcW w:w="945" w:type="dxa"/>
            <w:tcBorders>
              <w:top w:val="nil"/>
              <w:left w:val="nil"/>
              <w:bottom w:val="single" w:color="auto" w:sz="4" w:space="0"/>
              <w:right w:val="single" w:color="auto" w:sz="4" w:space="0"/>
            </w:tcBorders>
            <w:vAlign w:val="center"/>
          </w:tcPr>
          <w:p w14:paraId="76C017A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w:t>
            </w:r>
          </w:p>
        </w:tc>
        <w:tc>
          <w:tcPr>
            <w:tcW w:w="6233" w:type="dxa"/>
            <w:tcBorders>
              <w:top w:val="nil"/>
              <w:left w:val="nil"/>
              <w:bottom w:val="single" w:color="auto" w:sz="4" w:space="0"/>
              <w:right w:val="single" w:color="auto" w:sz="4" w:space="0"/>
            </w:tcBorders>
            <w:vAlign w:val="center"/>
          </w:tcPr>
          <w:p w14:paraId="7258BC5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主要从事共享汽车业务，采用以互联网为基础依托，实体加互联网相结合，线上加线下的无缝管理模式。</w:t>
            </w:r>
          </w:p>
        </w:tc>
        <w:tc>
          <w:tcPr>
            <w:tcW w:w="1342" w:type="dxa"/>
            <w:tcBorders>
              <w:top w:val="nil"/>
              <w:left w:val="nil"/>
              <w:bottom w:val="single" w:color="auto" w:sz="4" w:space="0"/>
              <w:right w:val="single" w:color="auto" w:sz="4" w:space="0"/>
            </w:tcBorders>
            <w:vAlign w:val="center"/>
          </w:tcPr>
          <w:p w14:paraId="053DB11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0D7778F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57392C4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永春县人民政府</w:t>
            </w:r>
          </w:p>
        </w:tc>
        <w:tc>
          <w:tcPr>
            <w:tcW w:w="236" w:type="dxa"/>
            <w:vAlign w:val="center"/>
          </w:tcPr>
          <w:p w14:paraId="20844659">
            <w:pPr>
              <w:widowControl/>
              <w:jc w:val="left"/>
              <w:rPr>
                <w:rFonts w:ascii="Times New Roman" w:hAnsi="Times New Roman" w:eastAsia="Times New Roman" w:cs="Times New Roman"/>
                <w:kern w:val="0"/>
                <w:sz w:val="20"/>
                <w:szCs w:val="20"/>
              </w:rPr>
            </w:pPr>
          </w:p>
        </w:tc>
      </w:tr>
      <w:tr w14:paraId="05EC1B45">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72F0EEA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50</w:t>
            </w:r>
          </w:p>
        </w:tc>
        <w:tc>
          <w:tcPr>
            <w:tcW w:w="1981" w:type="dxa"/>
            <w:tcBorders>
              <w:top w:val="nil"/>
              <w:left w:val="nil"/>
              <w:bottom w:val="single" w:color="auto" w:sz="4" w:space="0"/>
              <w:right w:val="single" w:color="auto" w:sz="4" w:space="0"/>
            </w:tcBorders>
            <w:vAlign w:val="center"/>
          </w:tcPr>
          <w:p w14:paraId="136D56F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中国陶瓷电商物流园</w:t>
            </w:r>
          </w:p>
        </w:tc>
        <w:tc>
          <w:tcPr>
            <w:tcW w:w="945" w:type="dxa"/>
            <w:tcBorders>
              <w:top w:val="nil"/>
              <w:left w:val="nil"/>
              <w:bottom w:val="single" w:color="auto" w:sz="4" w:space="0"/>
              <w:right w:val="single" w:color="auto" w:sz="4" w:space="0"/>
            </w:tcBorders>
            <w:vAlign w:val="center"/>
          </w:tcPr>
          <w:p w14:paraId="2CB8F24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w:t>
            </w:r>
          </w:p>
        </w:tc>
        <w:tc>
          <w:tcPr>
            <w:tcW w:w="6233" w:type="dxa"/>
            <w:tcBorders>
              <w:top w:val="nil"/>
              <w:left w:val="nil"/>
              <w:bottom w:val="single" w:color="auto" w:sz="4" w:space="0"/>
              <w:right w:val="single" w:color="auto" w:sz="4" w:space="0"/>
            </w:tcBorders>
            <w:vAlign w:val="center"/>
          </w:tcPr>
          <w:p w14:paraId="1EACE87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智慧”理念，以“网上交易、业务管理、商务协同、大数据服务”为核心，面向陶瓷电商产业链，通过硬件系统、软件平台集成，整合上游厂商、下游物流公司，配以GPS监控、RFID射频扫描、交叉带分拣等高新技术，将信息化管理覆盖到园区每个角落、每个控制点。</w:t>
            </w:r>
          </w:p>
        </w:tc>
        <w:tc>
          <w:tcPr>
            <w:tcW w:w="1342" w:type="dxa"/>
            <w:tcBorders>
              <w:top w:val="nil"/>
              <w:left w:val="nil"/>
              <w:bottom w:val="single" w:color="auto" w:sz="4" w:space="0"/>
              <w:right w:val="single" w:color="auto" w:sz="4" w:space="0"/>
            </w:tcBorders>
            <w:vAlign w:val="center"/>
          </w:tcPr>
          <w:p w14:paraId="52D04F4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28</w:t>
            </w:r>
          </w:p>
        </w:tc>
        <w:tc>
          <w:tcPr>
            <w:tcW w:w="1866" w:type="dxa"/>
            <w:tcBorders>
              <w:top w:val="nil"/>
              <w:left w:val="nil"/>
              <w:bottom w:val="single" w:color="auto" w:sz="4" w:space="0"/>
              <w:right w:val="single" w:color="auto" w:sz="4" w:space="0"/>
            </w:tcBorders>
            <w:vAlign w:val="center"/>
          </w:tcPr>
          <w:p w14:paraId="07ADDBB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2020-2024</w:t>
            </w:r>
          </w:p>
        </w:tc>
        <w:tc>
          <w:tcPr>
            <w:tcW w:w="1145" w:type="dxa"/>
            <w:tcBorders>
              <w:top w:val="nil"/>
              <w:left w:val="nil"/>
              <w:bottom w:val="single" w:color="auto" w:sz="4" w:space="0"/>
              <w:right w:val="single" w:color="auto" w:sz="4" w:space="0"/>
            </w:tcBorders>
            <w:vAlign w:val="center"/>
          </w:tcPr>
          <w:p w14:paraId="3F3922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德化县人民政府</w:t>
            </w:r>
          </w:p>
        </w:tc>
        <w:tc>
          <w:tcPr>
            <w:tcW w:w="236" w:type="dxa"/>
            <w:vAlign w:val="center"/>
          </w:tcPr>
          <w:p w14:paraId="54E24560">
            <w:pPr>
              <w:widowControl/>
              <w:jc w:val="left"/>
              <w:rPr>
                <w:rFonts w:ascii="Times New Roman" w:hAnsi="Times New Roman" w:eastAsia="Times New Roman" w:cs="Times New Roman"/>
                <w:kern w:val="0"/>
                <w:sz w:val="20"/>
                <w:szCs w:val="20"/>
              </w:rPr>
            </w:pPr>
          </w:p>
        </w:tc>
      </w:tr>
      <w:tr w14:paraId="2E05091E">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83EED3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51</w:t>
            </w:r>
          </w:p>
        </w:tc>
        <w:tc>
          <w:tcPr>
            <w:tcW w:w="1981" w:type="dxa"/>
            <w:tcBorders>
              <w:top w:val="nil"/>
              <w:left w:val="nil"/>
              <w:bottom w:val="single" w:color="auto" w:sz="4" w:space="0"/>
              <w:right w:val="single" w:color="auto" w:sz="4" w:space="0"/>
            </w:tcBorders>
            <w:vAlign w:val="center"/>
          </w:tcPr>
          <w:p w14:paraId="63C817E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梓晶微集成电路封装测试工程项目</w:t>
            </w:r>
          </w:p>
        </w:tc>
        <w:tc>
          <w:tcPr>
            <w:tcW w:w="945" w:type="dxa"/>
            <w:tcBorders>
              <w:top w:val="nil"/>
              <w:left w:val="nil"/>
              <w:bottom w:val="single" w:color="auto" w:sz="4" w:space="0"/>
              <w:right w:val="single" w:color="auto" w:sz="4" w:space="0"/>
            </w:tcBorders>
            <w:vAlign w:val="center"/>
          </w:tcPr>
          <w:p w14:paraId="33ADAA9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w:t>
            </w:r>
          </w:p>
        </w:tc>
        <w:tc>
          <w:tcPr>
            <w:tcW w:w="6233" w:type="dxa"/>
            <w:tcBorders>
              <w:top w:val="nil"/>
              <w:left w:val="nil"/>
              <w:bottom w:val="single" w:color="auto" w:sz="4" w:space="0"/>
              <w:right w:val="single" w:color="auto" w:sz="4" w:space="0"/>
            </w:tcBorders>
            <w:vAlign w:val="center"/>
          </w:tcPr>
          <w:p w14:paraId="5DF2018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一期引进5条封装测试生产线，年加工、封装测试集成电路约10亿块；二期建成后达产为20亿块，争取投产三年后满额产能，年销售收入约2.4亿元，年创税约800万元。</w:t>
            </w:r>
          </w:p>
        </w:tc>
        <w:tc>
          <w:tcPr>
            <w:tcW w:w="1342" w:type="dxa"/>
            <w:tcBorders>
              <w:top w:val="nil"/>
              <w:left w:val="nil"/>
              <w:bottom w:val="single" w:color="auto" w:sz="4" w:space="0"/>
              <w:right w:val="single" w:color="auto" w:sz="4" w:space="0"/>
            </w:tcBorders>
            <w:vAlign w:val="center"/>
          </w:tcPr>
          <w:p w14:paraId="4241A0E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2.2</w:t>
            </w:r>
          </w:p>
        </w:tc>
        <w:tc>
          <w:tcPr>
            <w:tcW w:w="1866" w:type="dxa"/>
            <w:tcBorders>
              <w:top w:val="nil"/>
              <w:left w:val="nil"/>
              <w:bottom w:val="single" w:color="auto" w:sz="4" w:space="0"/>
              <w:right w:val="single" w:color="auto" w:sz="4" w:space="0"/>
            </w:tcBorders>
            <w:vAlign w:val="center"/>
          </w:tcPr>
          <w:p w14:paraId="134D9DF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2017-2022</w:t>
            </w:r>
          </w:p>
        </w:tc>
        <w:tc>
          <w:tcPr>
            <w:tcW w:w="1145" w:type="dxa"/>
            <w:tcBorders>
              <w:top w:val="nil"/>
              <w:left w:val="nil"/>
              <w:bottom w:val="single" w:color="auto" w:sz="4" w:space="0"/>
              <w:right w:val="single" w:color="auto" w:sz="4" w:space="0"/>
            </w:tcBorders>
            <w:vAlign w:val="center"/>
          </w:tcPr>
          <w:p w14:paraId="7CDB31F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泉州台商投资区管委会</w:t>
            </w:r>
          </w:p>
        </w:tc>
        <w:tc>
          <w:tcPr>
            <w:tcW w:w="236" w:type="dxa"/>
            <w:vAlign w:val="center"/>
          </w:tcPr>
          <w:p w14:paraId="0D701719">
            <w:pPr>
              <w:widowControl/>
              <w:jc w:val="left"/>
              <w:rPr>
                <w:rFonts w:ascii="Times New Roman" w:hAnsi="Times New Roman" w:eastAsia="Times New Roman" w:cs="Times New Roman"/>
                <w:kern w:val="0"/>
                <w:sz w:val="20"/>
                <w:szCs w:val="20"/>
              </w:rPr>
            </w:pPr>
          </w:p>
        </w:tc>
      </w:tr>
      <w:tr w14:paraId="17287EED">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6D6BBD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52</w:t>
            </w:r>
          </w:p>
        </w:tc>
        <w:tc>
          <w:tcPr>
            <w:tcW w:w="1981" w:type="dxa"/>
            <w:tcBorders>
              <w:top w:val="nil"/>
              <w:left w:val="nil"/>
              <w:bottom w:val="single" w:color="auto" w:sz="4" w:space="0"/>
              <w:right w:val="single" w:color="auto" w:sz="4" w:space="0"/>
            </w:tcBorders>
            <w:vAlign w:val="center"/>
          </w:tcPr>
          <w:p w14:paraId="54E5DE0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泉州灵通公司总部建设项目</w:t>
            </w:r>
          </w:p>
        </w:tc>
        <w:tc>
          <w:tcPr>
            <w:tcW w:w="945" w:type="dxa"/>
            <w:tcBorders>
              <w:top w:val="nil"/>
              <w:left w:val="nil"/>
              <w:bottom w:val="single" w:color="auto" w:sz="4" w:space="0"/>
              <w:right w:val="single" w:color="auto" w:sz="4" w:space="0"/>
            </w:tcBorders>
            <w:vAlign w:val="center"/>
          </w:tcPr>
          <w:p w14:paraId="6152B2C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w:t>
            </w:r>
          </w:p>
        </w:tc>
        <w:tc>
          <w:tcPr>
            <w:tcW w:w="6233" w:type="dxa"/>
            <w:tcBorders>
              <w:top w:val="nil"/>
              <w:left w:val="nil"/>
              <w:bottom w:val="single" w:color="auto" w:sz="4" w:space="0"/>
              <w:right w:val="single" w:color="auto" w:sz="4" w:space="0"/>
            </w:tcBorders>
            <w:vAlign w:val="center"/>
          </w:tcPr>
          <w:p w14:paraId="3BD8E1F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总部大楼配备SOHO、商务办公、商务配套、会议、机房及其他配套设施等功能。建设电信业务、互联网业务运营系统，为用户提供完整的综合信息服务和其他多种服务。</w:t>
            </w:r>
          </w:p>
        </w:tc>
        <w:tc>
          <w:tcPr>
            <w:tcW w:w="1342" w:type="dxa"/>
            <w:tcBorders>
              <w:top w:val="nil"/>
              <w:left w:val="nil"/>
              <w:bottom w:val="single" w:color="auto" w:sz="4" w:space="0"/>
              <w:right w:val="single" w:color="auto" w:sz="4" w:space="0"/>
            </w:tcBorders>
            <w:vAlign w:val="center"/>
          </w:tcPr>
          <w:p w14:paraId="1634885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0.8</w:t>
            </w:r>
          </w:p>
        </w:tc>
        <w:tc>
          <w:tcPr>
            <w:tcW w:w="1866" w:type="dxa"/>
            <w:tcBorders>
              <w:top w:val="nil"/>
              <w:left w:val="nil"/>
              <w:bottom w:val="single" w:color="auto" w:sz="4" w:space="0"/>
              <w:right w:val="single" w:color="auto" w:sz="4" w:space="0"/>
            </w:tcBorders>
            <w:vAlign w:val="center"/>
          </w:tcPr>
          <w:p w14:paraId="11956F5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2019-2022</w:t>
            </w:r>
          </w:p>
        </w:tc>
        <w:tc>
          <w:tcPr>
            <w:tcW w:w="1145" w:type="dxa"/>
            <w:tcBorders>
              <w:top w:val="nil"/>
              <w:left w:val="nil"/>
              <w:bottom w:val="single" w:color="auto" w:sz="4" w:space="0"/>
              <w:right w:val="single" w:color="auto" w:sz="4" w:space="0"/>
            </w:tcBorders>
            <w:vAlign w:val="center"/>
          </w:tcPr>
          <w:p w14:paraId="3F741FB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泉州台商投资区管委会</w:t>
            </w:r>
          </w:p>
        </w:tc>
        <w:tc>
          <w:tcPr>
            <w:tcW w:w="236" w:type="dxa"/>
            <w:vAlign w:val="center"/>
          </w:tcPr>
          <w:p w14:paraId="3893A51F">
            <w:pPr>
              <w:widowControl/>
              <w:jc w:val="left"/>
              <w:rPr>
                <w:rFonts w:ascii="Times New Roman" w:hAnsi="Times New Roman" w:eastAsia="Times New Roman" w:cs="Times New Roman"/>
                <w:kern w:val="0"/>
                <w:sz w:val="20"/>
                <w:szCs w:val="20"/>
              </w:rPr>
            </w:pPr>
          </w:p>
        </w:tc>
      </w:tr>
      <w:tr w14:paraId="3CF0DC70">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B34E0A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53</w:t>
            </w:r>
          </w:p>
        </w:tc>
        <w:tc>
          <w:tcPr>
            <w:tcW w:w="1981" w:type="dxa"/>
            <w:tcBorders>
              <w:top w:val="nil"/>
              <w:left w:val="nil"/>
              <w:bottom w:val="single" w:color="auto" w:sz="4" w:space="0"/>
              <w:right w:val="single" w:color="auto" w:sz="4" w:space="0"/>
            </w:tcBorders>
            <w:vAlign w:val="center"/>
          </w:tcPr>
          <w:p w14:paraId="17AC02A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高清激光显示项目</w:t>
            </w:r>
          </w:p>
        </w:tc>
        <w:tc>
          <w:tcPr>
            <w:tcW w:w="945" w:type="dxa"/>
            <w:tcBorders>
              <w:top w:val="nil"/>
              <w:left w:val="nil"/>
              <w:bottom w:val="single" w:color="auto" w:sz="4" w:space="0"/>
              <w:right w:val="single" w:color="auto" w:sz="4" w:space="0"/>
            </w:tcBorders>
            <w:vAlign w:val="center"/>
          </w:tcPr>
          <w:p w14:paraId="62E7209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54E9BDC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围绕激光投影产业建设三基色激光电影放映机、三基色激光工程机、三基色激光电视机以及激光模组等核心零部件等项目引进生产线。</w:t>
            </w:r>
          </w:p>
        </w:tc>
        <w:tc>
          <w:tcPr>
            <w:tcW w:w="1342" w:type="dxa"/>
            <w:tcBorders>
              <w:top w:val="nil"/>
              <w:left w:val="nil"/>
              <w:bottom w:val="single" w:color="auto" w:sz="4" w:space="0"/>
              <w:right w:val="single" w:color="auto" w:sz="4" w:space="0"/>
            </w:tcBorders>
            <w:vAlign w:val="center"/>
          </w:tcPr>
          <w:p w14:paraId="33FCE2B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3ADDB8B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50CF43A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309B0FE5">
            <w:pPr>
              <w:widowControl/>
              <w:jc w:val="left"/>
              <w:rPr>
                <w:rFonts w:ascii="Times New Roman" w:hAnsi="Times New Roman" w:eastAsia="Times New Roman" w:cs="Times New Roman"/>
                <w:kern w:val="0"/>
                <w:sz w:val="20"/>
                <w:szCs w:val="20"/>
              </w:rPr>
            </w:pPr>
          </w:p>
        </w:tc>
      </w:tr>
      <w:tr w14:paraId="5DCD3F24">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5436761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54</w:t>
            </w:r>
          </w:p>
        </w:tc>
        <w:tc>
          <w:tcPr>
            <w:tcW w:w="1981" w:type="dxa"/>
            <w:tcBorders>
              <w:top w:val="nil"/>
              <w:left w:val="nil"/>
              <w:bottom w:val="single" w:color="auto" w:sz="4" w:space="0"/>
              <w:right w:val="single" w:color="auto" w:sz="4" w:space="0"/>
            </w:tcBorders>
            <w:vAlign w:val="center"/>
          </w:tcPr>
          <w:p w14:paraId="7EB006F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光学镜头及模组芯片研发生产项目</w:t>
            </w:r>
          </w:p>
        </w:tc>
        <w:tc>
          <w:tcPr>
            <w:tcW w:w="945" w:type="dxa"/>
            <w:tcBorders>
              <w:top w:val="nil"/>
              <w:left w:val="nil"/>
              <w:bottom w:val="single" w:color="auto" w:sz="4" w:space="0"/>
              <w:right w:val="single" w:color="auto" w:sz="4" w:space="0"/>
            </w:tcBorders>
            <w:vAlign w:val="center"/>
          </w:tcPr>
          <w:p w14:paraId="7D3B1AF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2CDC6B6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该公司主要从事大光圈日夜全彩镜头、工业检测镜头、AI识别镜头等光学镜头的研发、生产与销售，产品应用于智能安防、人脸识别、无人驾驶、虚拟现实、传感器、算法平台等领域，主要客户有海康威视、华为、小米等。</w:t>
            </w:r>
          </w:p>
        </w:tc>
        <w:tc>
          <w:tcPr>
            <w:tcW w:w="1342" w:type="dxa"/>
            <w:tcBorders>
              <w:top w:val="nil"/>
              <w:left w:val="nil"/>
              <w:bottom w:val="single" w:color="auto" w:sz="4" w:space="0"/>
              <w:right w:val="single" w:color="auto" w:sz="4" w:space="0"/>
            </w:tcBorders>
            <w:vAlign w:val="center"/>
          </w:tcPr>
          <w:p w14:paraId="3686A67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w:t>
            </w:r>
          </w:p>
        </w:tc>
        <w:tc>
          <w:tcPr>
            <w:tcW w:w="1866" w:type="dxa"/>
            <w:tcBorders>
              <w:top w:val="nil"/>
              <w:left w:val="nil"/>
              <w:bottom w:val="single" w:color="auto" w:sz="4" w:space="0"/>
              <w:right w:val="single" w:color="auto" w:sz="4" w:space="0"/>
            </w:tcBorders>
            <w:vAlign w:val="center"/>
          </w:tcPr>
          <w:p w14:paraId="080C4AD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693A46D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7F0AD90A">
            <w:pPr>
              <w:widowControl/>
              <w:jc w:val="left"/>
              <w:rPr>
                <w:rFonts w:ascii="Times New Roman" w:hAnsi="Times New Roman" w:eastAsia="Times New Roman" w:cs="Times New Roman"/>
                <w:kern w:val="0"/>
                <w:sz w:val="20"/>
                <w:szCs w:val="20"/>
              </w:rPr>
            </w:pPr>
          </w:p>
        </w:tc>
      </w:tr>
      <w:tr w14:paraId="79896C8C">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384CF69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55</w:t>
            </w:r>
          </w:p>
        </w:tc>
        <w:tc>
          <w:tcPr>
            <w:tcW w:w="1981" w:type="dxa"/>
            <w:tcBorders>
              <w:top w:val="nil"/>
              <w:left w:val="nil"/>
              <w:bottom w:val="single" w:color="auto" w:sz="4" w:space="0"/>
              <w:right w:val="single" w:color="auto" w:sz="4" w:space="0"/>
            </w:tcBorders>
            <w:vAlign w:val="center"/>
          </w:tcPr>
          <w:p w14:paraId="4BBE9E5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自动化焊接流水线研发生产项目</w:t>
            </w:r>
          </w:p>
        </w:tc>
        <w:tc>
          <w:tcPr>
            <w:tcW w:w="945" w:type="dxa"/>
            <w:tcBorders>
              <w:top w:val="nil"/>
              <w:left w:val="nil"/>
              <w:bottom w:val="single" w:color="auto" w:sz="4" w:space="0"/>
              <w:right w:val="single" w:color="auto" w:sz="4" w:space="0"/>
            </w:tcBorders>
            <w:vAlign w:val="center"/>
          </w:tcPr>
          <w:p w14:paraId="7C3CAC0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60D2CDA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与大型央企中国航天科工集团下属第二、三研究院、中科院海西研究院泉州装备制造研究所联合开展“智能识别分拣包装关键技术研发及应用”项目研发，在晋江打造一个陶制品、食品、纸制品自动包装生产基地，辐射全国，建设年产130台（套）智能分拣及包装设备。</w:t>
            </w:r>
          </w:p>
        </w:tc>
        <w:tc>
          <w:tcPr>
            <w:tcW w:w="1342" w:type="dxa"/>
            <w:tcBorders>
              <w:top w:val="nil"/>
              <w:left w:val="nil"/>
              <w:bottom w:val="single" w:color="auto" w:sz="4" w:space="0"/>
              <w:right w:val="single" w:color="auto" w:sz="4" w:space="0"/>
            </w:tcBorders>
            <w:vAlign w:val="center"/>
          </w:tcPr>
          <w:p w14:paraId="5ACEB78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w:t>
            </w:r>
          </w:p>
        </w:tc>
        <w:tc>
          <w:tcPr>
            <w:tcW w:w="1866" w:type="dxa"/>
            <w:tcBorders>
              <w:top w:val="nil"/>
              <w:left w:val="nil"/>
              <w:bottom w:val="single" w:color="auto" w:sz="4" w:space="0"/>
              <w:right w:val="single" w:color="auto" w:sz="4" w:space="0"/>
            </w:tcBorders>
            <w:vAlign w:val="center"/>
          </w:tcPr>
          <w:p w14:paraId="7292A9D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605A5C8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12F886C4">
            <w:pPr>
              <w:widowControl/>
              <w:jc w:val="left"/>
              <w:rPr>
                <w:rFonts w:ascii="Times New Roman" w:hAnsi="Times New Roman" w:eastAsia="Times New Roman" w:cs="Times New Roman"/>
                <w:kern w:val="0"/>
                <w:sz w:val="20"/>
                <w:szCs w:val="20"/>
              </w:rPr>
            </w:pPr>
          </w:p>
        </w:tc>
      </w:tr>
      <w:tr w14:paraId="28C333B3">
        <w:tblPrEx>
          <w:tblCellMar>
            <w:top w:w="0" w:type="dxa"/>
            <w:left w:w="108" w:type="dxa"/>
            <w:bottom w:w="0" w:type="dxa"/>
            <w:right w:w="108" w:type="dxa"/>
          </w:tblCellMar>
        </w:tblPrEx>
        <w:trPr>
          <w:trHeight w:val="1440" w:hRule="atLeast"/>
        </w:trPr>
        <w:tc>
          <w:tcPr>
            <w:tcW w:w="566" w:type="dxa"/>
            <w:tcBorders>
              <w:top w:val="single" w:color="auto" w:sz="4" w:space="0"/>
              <w:left w:val="single" w:color="auto" w:sz="4" w:space="0"/>
              <w:bottom w:val="single" w:color="auto" w:sz="4" w:space="0"/>
              <w:right w:val="single" w:color="auto" w:sz="4" w:space="0"/>
            </w:tcBorders>
            <w:vAlign w:val="center"/>
          </w:tcPr>
          <w:p w14:paraId="6D07A21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56</w:t>
            </w:r>
          </w:p>
        </w:tc>
        <w:tc>
          <w:tcPr>
            <w:tcW w:w="1981" w:type="dxa"/>
            <w:tcBorders>
              <w:top w:val="single" w:color="auto" w:sz="4" w:space="0"/>
              <w:left w:val="nil"/>
              <w:bottom w:val="single" w:color="auto" w:sz="4" w:space="0"/>
              <w:right w:val="single" w:color="auto" w:sz="4" w:space="0"/>
            </w:tcBorders>
            <w:vAlign w:val="center"/>
          </w:tcPr>
          <w:p w14:paraId="1CA5442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晋南新城---云创联航电商数字经济园</w:t>
            </w:r>
          </w:p>
        </w:tc>
        <w:tc>
          <w:tcPr>
            <w:tcW w:w="945" w:type="dxa"/>
            <w:tcBorders>
              <w:top w:val="single" w:color="auto" w:sz="4" w:space="0"/>
              <w:left w:val="nil"/>
              <w:bottom w:val="single" w:color="auto" w:sz="4" w:space="0"/>
              <w:right w:val="single" w:color="auto" w:sz="4" w:space="0"/>
            </w:tcBorders>
            <w:vAlign w:val="center"/>
          </w:tcPr>
          <w:p w14:paraId="78BD436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single" w:color="auto" w:sz="4" w:space="0"/>
              <w:left w:val="nil"/>
              <w:bottom w:val="single" w:color="auto" w:sz="4" w:space="0"/>
              <w:right w:val="single" w:color="auto" w:sz="4" w:space="0"/>
            </w:tcBorders>
            <w:vAlign w:val="center"/>
          </w:tcPr>
          <w:p w14:paraId="3C9C22E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用地约350亩；总建筑面积预计为50万平方米。一期建设国际电商双创园；二期选址集成电路产业园（工业园），建设电商数字经济创业园、品牌电商创业中心、产业电商网批市场、网红直播基地、摄影配套基地、智慧物流园、共享仓配一体中心、人才公寓、平台运营总部大厦。</w:t>
            </w:r>
          </w:p>
        </w:tc>
        <w:tc>
          <w:tcPr>
            <w:tcW w:w="1342" w:type="dxa"/>
            <w:tcBorders>
              <w:top w:val="single" w:color="auto" w:sz="4" w:space="0"/>
              <w:left w:val="nil"/>
              <w:bottom w:val="single" w:color="auto" w:sz="4" w:space="0"/>
              <w:right w:val="single" w:color="auto" w:sz="4" w:space="0"/>
            </w:tcBorders>
            <w:vAlign w:val="center"/>
          </w:tcPr>
          <w:p w14:paraId="74CC7D0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single" w:color="auto" w:sz="4" w:space="0"/>
              <w:left w:val="nil"/>
              <w:bottom w:val="single" w:color="auto" w:sz="4" w:space="0"/>
              <w:right w:val="single" w:color="auto" w:sz="4" w:space="0"/>
            </w:tcBorders>
            <w:vAlign w:val="center"/>
          </w:tcPr>
          <w:p w14:paraId="483DF1F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2021-2024</w:t>
            </w:r>
          </w:p>
        </w:tc>
        <w:tc>
          <w:tcPr>
            <w:tcW w:w="1145" w:type="dxa"/>
            <w:tcBorders>
              <w:top w:val="single" w:color="auto" w:sz="4" w:space="0"/>
              <w:left w:val="nil"/>
              <w:bottom w:val="single" w:color="auto" w:sz="4" w:space="0"/>
              <w:right w:val="single" w:color="auto" w:sz="4" w:space="0"/>
            </w:tcBorders>
            <w:vAlign w:val="center"/>
          </w:tcPr>
          <w:p w14:paraId="37D5836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79FD1C16">
            <w:pPr>
              <w:widowControl/>
              <w:jc w:val="left"/>
              <w:rPr>
                <w:rFonts w:ascii="Times New Roman" w:hAnsi="Times New Roman" w:eastAsia="Times New Roman" w:cs="Times New Roman"/>
                <w:kern w:val="0"/>
                <w:sz w:val="20"/>
                <w:szCs w:val="20"/>
              </w:rPr>
            </w:pPr>
          </w:p>
        </w:tc>
      </w:tr>
      <w:tr w14:paraId="28B89100">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79AAB7C9">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57</w:t>
            </w:r>
          </w:p>
        </w:tc>
        <w:tc>
          <w:tcPr>
            <w:tcW w:w="1981" w:type="dxa"/>
            <w:tcBorders>
              <w:top w:val="nil"/>
              <w:left w:val="nil"/>
              <w:bottom w:val="single" w:color="auto" w:sz="4" w:space="0"/>
              <w:right w:val="single" w:color="auto" w:sz="4" w:space="0"/>
            </w:tcBorders>
            <w:vAlign w:val="center"/>
          </w:tcPr>
          <w:p w14:paraId="2B0DE7A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华南智慧冷链产业园</w:t>
            </w:r>
          </w:p>
        </w:tc>
        <w:tc>
          <w:tcPr>
            <w:tcW w:w="945" w:type="dxa"/>
            <w:tcBorders>
              <w:top w:val="nil"/>
              <w:left w:val="nil"/>
              <w:bottom w:val="single" w:color="auto" w:sz="4" w:space="0"/>
              <w:right w:val="single" w:color="auto" w:sz="4" w:space="0"/>
            </w:tcBorders>
            <w:vAlign w:val="center"/>
          </w:tcPr>
          <w:p w14:paraId="2BDEA89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425EBEC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规划用地300亩，总建筑面积约24万平方米，建设生鲜冷链中心、医药冷链管理中心，智能包装分拣中心、供应链金融服务平台等。</w:t>
            </w:r>
          </w:p>
        </w:tc>
        <w:tc>
          <w:tcPr>
            <w:tcW w:w="1342" w:type="dxa"/>
            <w:tcBorders>
              <w:top w:val="nil"/>
              <w:left w:val="nil"/>
              <w:bottom w:val="single" w:color="auto" w:sz="4" w:space="0"/>
              <w:right w:val="single" w:color="auto" w:sz="4" w:space="0"/>
            </w:tcBorders>
            <w:vAlign w:val="center"/>
          </w:tcPr>
          <w:p w14:paraId="5B781D6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w:t>
            </w:r>
          </w:p>
        </w:tc>
        <w:tc>
          <w:tcPr>
            <w:tcW w:w="1866" w:type="dxa"/>
            <w:tcBorders>
              <w:top w:val="nil"/>
              <w:left w:val="nil"/>
              <w:bottom w:val="single" w:color="auto" w:sz="4" w:space="0"/>
              <w:right w:val="single" w:color="auto" w:sz="4" w:space="0"/>
            </w:tcBorders>
            <w:vAlign w:val="center"/>
          </w:tcPr>
          <w:p w14:paraId="0F7EF6B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47B0E90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6EC866F2">
            <w:pPr>
              <w:widowControl/>
              <w:jc w:val="left"/>
              <w:rPr>
                <w:rFonts w:ascii="Times New Roman" w:hAnsi="Times New Roman" w:eastAsia="Times New Roman" w:cs="Times New Roman"/>
                <w:kern w:val="0"/>
                <w:sz w:val="20"/>
                <w:szCs w:val="20"/>
              </w:rPr>
            </w:pPr>
          </w:p>
        </w:tc>
      </w:tr>
      <w:tr w14:paraId="501A09F5">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AB8475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58</w:t>
            </w:r>
          </w:p>
        </w:tc>
        <w:tc>
          <w:tcPr>
            <w:tcW w:w="1981" w:type="dxa"/>
            <w:tcBorders>
              <w:top w:val="nil"/>
              <w:left w:val="nil"/>
              <w:bottom w:val="single" w:color="auto" w:sz="4" w:space="0"/>
              <w:right w:val="single" w:color="auto" w:sz="4" w:space="0"/>
            </w:tcBorders>
            <w:vAlign w:val="center"/>
          </w:tcPr>
          <w:p w14:paraId="118C14A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美天微生物环保设备研发生产项目</w:t>
            </w:r>
          </w:p>
        </w:tc>
        <w:tc>
          <w:tcPr>
            <w:tcW w:w="945" w:type="dxa"/>
            <w:tcBorders>
              <w:top w:val="nil"/>
              <w:left w:val="nil"/>
              <w:bottom w:val="single" w:color="auto" w:sz="4" w:space="0"/>
              <w:right w:val="single" w:color="auto" w:sz="4" w:space="0"/>
            </w:tcBorders>
            <w:vAlign w:val="center"/>
          </w:tcPr>
          <w:p w14:paraId="68D8A39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6715270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美天环保科技有限公司是一家一家专业从事垃圾分类和餐厨垃圾无害化处理设备制造;工业废气处理设备、微紫外线路灯头;城乡垃圾就地无害化、资源化处理的综合性环境工程服务公司。公司在晋江设立技术研发中心，拥有大批有着丰富基础理论和工程实践经验的专门从事环境工程及微生物技术研究、工程设计、机械设计、施工技术管理等专业技术人才，拥有自主研发的国家发明、实用新型专利50余项。</w:t>
            </w:r>
          </w:p>
        </w:tc>
        <w:tc>
          <w:tcPr>
            <w:tcW w:w="1342" w:type="dxa"/>
            <w:tcBorders>
              <w:top w:val="nil"/>
              <w:left w:val="nil"/>
              <w:bottom w:val="single" w:color="auto" w:sz="4" w:space="0"/>
              <w:right w:val="single" w:color="auto" w:sz="4" w:space="0"/>
            </w:tcBorders>
            <w:vAlign w:val="center"/>
          </w:tcPr>
          <w:p w14:paraId="0DD1AE8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w:t>
            </w:r>
          </w:p>
        </w:tc>
        <w:tc>
          <w:tcPr>
            <w:tcW w:w="1866" w:type="dxa"/>
            <w:tcBorders>
              <w:top w:val="nil"/>
              <w:left w:val="nil"/>
              <w:bottom w:val="single" w:color="auto" w:sz="4" w:space="0"/>
              <w:right w:val="single" w:color="auto" w:sz="4" w:space="0"/>
            </w:tcBorders>
            <w:vAlign w:val="center"/>
          </w:tcPr>
          <w:p w14:paraId="377DFF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3D18149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2E46D41C">
            <w:pPr>
              <w:widowControl/>
              <w:jc w:val="left"/>
              <w:rPr>
                <w:rFonts w:ascii="Times New Roman" w:hAnsi="Times New Roman" w:eastAsia="Times New Roman" w:cs="Times New Roman"/>
                <w:kern w:val="0"/>
                <w:sz w:val="20"/>
                <w:szCs w:val="20"/>
              </w:rPr>
            </w:pPr>
          </w:p>
        </w:tc>
      </w:tr>
      <w:tr w14:paraId="64DEDDE0">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50E7AB1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59</w:t>
            </w:r>
          </w:p>
        </w:tc>
        <w:tc>
          <w:tcPr>
            <w:tcW w:w="1981" w:type="dxa"/>
            <w:tcBorders>
              <w:top w:val="nil"/>
              <w:left w:val="nil"/>
              <w:bottom w:val="single" w:color="auto" w:sz="4" w:space="0"/>
              <w:right w:val="single" w:color="auto" w:sz="4" w:space="0"/>
            </w:tcBorders>
            <w:vAlign w:val="center"/>
          </w:tcPr>
          <w:p w14:paraId="5E05A66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福建应友光电科技项目</w:t>
            </w:r>
          </w:p>
        </w:tc>
        <w:tc>
          <w:tcPr>
            <w:tcW w:w="945" w:type="dxa"/>
            <w:tcBorders>
              <w:top w:val="nil"/>
              <w:left w:val="nil"/>
              <w:bottom w:val="single" w:color="auto" w:sz="4" w:space="0"/>
              <w:right w:val="single" w:color="auto" w:sz="4" w:space="0"/>
            </w:tcBorders>
            <w:vAlign w:val="center"/>
          </w:tcPr>
          <w:p w14:paraId="3E8CFFE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11857B1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解决用工企业平台与自由职业者之间收入结算及成本优化的一站式互联网服务平台。</w:t>
            </w:r>
          </w:p>
        </w:tc>
        <w:tc>
          <w:tcPr>
            <w:tcW w:w="1342" w:type="dxa"/>
            <w:tcBorders>
              <w:top w:val="nil"/>
              <w:left w:val="nil"/>
              <w:bottom w:val="single" w:color="auto" w:sz="4" w:space="0"/>
              <w:right w:val="single" w:color="auto" w:sz="4" w:space="0"/>
            </w:tcBorders>
            <w:vAlign w:val="center"/>
          </w:tcPr>
          <w:p w14:paraId="3721AA8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18D0AA4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2CFB5EA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680D17F9">
            <w:pPr>
              <w:widowControl/>
              <w:jc w:val="left"/>
              <w:rPr>
                <w:rFonts w:ascii="Times New Roman" w:hAnsi="Times New Roman" w:eastAsia="Times New Roman" w:cs="Times New Roman"/>
                <w:kern w:val="0"/>
                <w:sz w:val="20"/>
                <w:szCs w:val="20"/>
              </w:rPr>
            </w:pPr>
          </w:p>
        </w:tc>
      </w:tr>
      <w:tr w14:paraId="6FC4FC37">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4DDA464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60</w:t>
            </w:r>
          </w:p>
        </w:tc>
        <w:tc>
          <w:tcPr>
            <w:tcW w:w="1981" w:type="dxa"/>
            <w:tcBorders>
              <w:top w:val="nil"/>
              <w:left w:val="nil"/>
              <w:bottom w:val="single" w:color="auto" w:sz="4" w:space="0"/>
              <w:right w:val="single" w:color="auto" w:sz="4" w:space="0"/>
            </w:tcBorders>
            <w:vAlign w:val="center"/>
          </w:tcPr>
          <w:p w14:paraId="4C69163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智能识别激光打标项目</w:t>
            </w:r>
          </w:p>
        </w:tc>
        <w:tc>
          <w:tcPr>
            <w:tcW w:w="945" w:type="dxa"/>
            <w:tcBorders>
              <w:top w:val="nil"/>
              <w:left w:val="nil"/>
              <w:bottom w:val="single" w:color="auto" w:sz="4" w:space="0"/>
              <w:right w:val="single" w:color="auto" w:sz="4" w:space="0"/>
            </w:tcBorders>
            <w:vAlign w:val="center"/>
          </w:tcPr>
          <w:p w14:paraId="15C2E1B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3D60171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总投资5000万元，分两期建设，主要产品方向为液晶面板设备配套的生产线配套，提供生产设备改造、配套部件加工及维护服务。</w:t>
            </w:r>
          </w:p>
        </w:tc>
        <w:tc>
          <w:tcPr>
            <w:tcW w:w="1342" w:type="dxa"/>
            <w:tcBorders>
              <w:top w:val="nil"/>
              <w:left w:val="nil"/>
              <w:bottom w:val="single" w:color="auto" w:sz="4" w:space="0"/>
              <w:right w:val="single" w:color="auto" w:sz="4" w:space="0"/>
            </w:tcBorders>
            <w:vAlign w:val="center"/>
          </w:tcPr>
          <w:p w14:paraId="650602E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29FB4C8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A205B0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1D690C05">
            <w:pPr>
              <w:widowControl/>
              <w:jc w:val="left"/>
              <w:rPr>
                <w:rFonts w:ascii="Times New Roman" w:hAnsi="Times New Roman" w:eastAsia="Times New Roman" w:cs="Times New Roman"/>
                <w:kern w:val="0"/>
                <w:sz w:val="20"/>
                <w:szCs w:val="20"/>
              </w:rPr>
            </w:pPr>
          </w:p>
        </w:tc>
      </w:tr>
      <w:tr w14:paraId="56CF0313">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08B97C3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61</w:t>
            </w:r>
          </w:p>
        </w:tc>
        <w:tc>
          <w:tcPr>
            <w:tcW w:w="1981" w:type="dxa"/>
            <w:tcBorders>
              <w:top w:val="nil"/>
              <w:left w:val="nil"/>
              <w:bottom w:val="single" w:color="auto" w:sz="4" w:space="0"/>
              <w:right w:val="single" w:color="auto" w:sz="4" w:space="0"/>
            </w:tcBorders>
            <w:vAlign w:val="center"/>
          </w:tcPr>
          <w:p w14:paraId="4BAF448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远洋智创空间项目</w:t>
            </w:r>
          </w:p>
        </w:tc>
        <w:tc>
          <w:tcPr>
            <w:tcW w:w="945" w:type="dxa"/>
            <w:tcBorders>
              <w:top w:val="nil"/>
              <w:left w:val="nil"/>
              <w:bottom w:val="single" w:color="auto" w:sz="4" w:space="0"/>
              <w:right w:val="single" w:color="auto" w:sz="4" w:space="0"/>
            </w:tcBorders>
            <w:vAlign w:val="center"/>
          </w:tcPr>
          <w:p w14:paraId="11B2B10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1281C02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建设集建筑现代化产业园、智慧物流产业、城市田园生活社区、自然田园风光与闽南文化旅游、康养旅游于一体的产业综合体。</w:t>
            </w:r>
          </w:p>
        </w:tc>
        <w:tc>
          <w:tcPr>
            <w:tcW w:w="1342" w:type="dxa"/>
            <w:tcBorders>
              <w:top w:val="nil"/>
              <w:left w:val="nil"/>
              <w:bottom w:val="single" w:color="auto" w:sz="4" w:space="0"/>
              <w:right w:val="single" w:color="auto" w:sz="4" w:space="0"/>
            </w:tcBorders>
            <w:vAlign w:val="center"/>
          </w:tcPr>
          <w:p w14:paraId="42430E4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1866" w:type="dxa"/>
            <w:tcBorders>
              <w:top w:val="nil"/>
              <w:left w:val="nil"/>
              <w:bottom w:val="single" w:color="auto" w:sz="4" w:space="0"/>
              <w:right w:val="single" w:color="auto" w:sz="4" w:space="0"/>
            </w:tcBorders>
            <w:vAlign w:val="center"/>
          </w:tcPr>
          <w:p w14:paraId="6B9CD44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2021-2024</w:t>
            </w:r>
          </w:p>
        </w:tc>
        <w:tc>
          <w:tcPr>
            <w:tcW w:w="1145" w:type="dxa"/>
            <w:tcBorders>
              <w:top w:val="nil"/>
              <w:left w:val="nil"/>
              <w:bottom w:val="single" w:color="auto" w:sz="4" w:space="0"/>
              <w:right w:val="single" w:color="auto" w:sz="4" w:space="0"/>
            </w:tcBorders>
            <w:vAlign w:val="center"/>
          </w:tcPr>
          <w:p w14:paraId="1F762F7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6A56A039">
            <w:pPr>
              <w:widowControl/>
              <w:jc w:val="left"/>
              <w:rPr>
                <w:rFonts w:ascii="Times New Roman" w:hAnsi="Times New Roman" w:eastAsia="Times New Roman" w:cs="Times New Roman"/>
                <w:kern w:val="0"/>
                <w:sz w:val="20"/>
                <w:szCs w:val="20"/>
              </w:rPr>
            </w:pPr>
          </w:p>
        </w:tc>
      </w:tr>
      <w:tr w14:paraId="61B0B466">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BEDFFE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62</w:t>
            </w:r>
          </w:p>
        </w:tc>
        <w:tc>
          <w:tcPr>
            <w:tcW w:w="1981" w:type="dxa"/>
            <w:tcBorders>
              <w:top w:val="nil"/>
              <w:left w:val="nil"/>
              <w:bottom w:val="single" w:color="auto" w:sz="4" w:space="0"/>
              <w:right w:val="single" w:color="auto" w:sz="4" w:space="0"/>
            </w:tcBorders>
            <w:vAlign w:val="center"/>
          </w:tcPr>
          <w:p w14:paraId="5DEB1B6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国家增材制造创新中心泉州产业基地</w:t>
            </w:r>
          </w:p>
        </w:tc>
        <w:tc>
          <w:tcPr>
            <w:tcW w:w="945" w:type="dxa"/>
            <w:tcBorders>
              <w:top w:val="nil"/>
              <w:left w:val="nil"/>
              <w:bottom w:val="single" w:color="auto" w:sz="4" w:space="0"/>
              <w:right w:val="single" w:color="auto" w:sz="4" w:space="0"/>
            </w:tcBorders>
            <w:vAlign w:val="center"/>
          </w:tcPr>
          <w:p w14:paraId="74B6CBC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75EBD16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产业基地将产业化生产高强度碳纤维材料铺丝机等高端专用装备制造项目、高强度碳纤维复合材料型材等新材料项目，以及5G通信纳米陶瓷手机背板等高新技术产品项目。</w:t>
            </w:r>
          </w:p>
        </w:tc>
        <w:tc>
          <w:tcPr>
            <w:tcW w:w="1342" w:type="dxa"/>
            <w:tcBorders>
              <w:top w:val="nil"/>
              <w:left w:val="nil"/>
              <w:bottom w:val="single" w:color="auto" w:sz="4" w:space="0"/>
              <w:right w:val="single" w:color="auto" w:sz="4" w:space="0"/>
            </w:tcBorders>
            <w:vAlign w:val="center"/>
          </w:tcPr>
          <w:p w14:paraId="563CC31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w:t>
            </w:r>
          </w:p>
        </w:tc>
        <w:tc>
          <w:tcPr>
            <w:tcW w:w="1866" w:type="dxa"/>
            <w:tcBorders>
              <w:top w:val="nil"/>
              <w:left w:val="nil"/>
              <w:bottom w:val="single" w:color="auto" w:sz="4" w:space="0"/>
              <w:right w:val="single" w:color="auto" w:sz="4" w:space="0"/>
            </w:tcBorders>
            <w:vAlign w:val="center"/>
          </w:tcPr>
          <w:p w14:paraId="6A3241C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D76101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5B3BA7A3">
            <w:pPr>
              <w:widowControl/>
              <w:jc w:val="left"/>
              <w:rPr>
                <w:rFonts w:ascii="Times New Roman" w:hAnsi="Times New Roman" w:eastAsia="Times New Roman" w:cs="Times New Roman"/>
                <w:kern w:val="0"/>
                <w:sz w:val="20"/>
                <w:szCs w:val="20"/>
              </w:rPr>
            </w:pPr>
          </w:p>
        </w:tc>
      </w:tr>
      <w:tr w14:paraId="69D36585">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618A4DE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63</w:t>
            </w:r>
          </w:p>
        </w:tc>
        <w:tc>
          <w:tcPr>
            <w:tcW w:w="1981" w:type="dxa"/>
            <w:tcBorders>
              <w:top w:val="nil"/>
              <w:left w:val="nil"/>
              <w:bottom w:val="single" w:color="auto" w:sz="4" w:space="0"/>
              <w:right w:val="single" w:color="auto" w:sz="4" w:space="0"/>
            </w:tcBorders>
            <w:vAlign w:val="center"/>
          </w:tcPr>
          <w:p w14:paraId="3D3295B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泉州智能装备综合园项目</w:t>
            </w:r>
          </w:p>
        </w:tc>
        <w:tc>
          <w:tcPr>
            <w:tcW w:w="945" w:type="dxa"/>
            <w:tcBorders>
              <w:top w:val="nil"/>
              <w:left w:val="nil"/>
              <w:bottom w:val="single" w:color="auto" w:sz="4" w:space="0"/>
              <w:right w:val="single" w:color="auto" w:sz="4" w:space="0"/>
            </w:tcBorders>
            <w:vAlign w:val="center"/>
          </w:tcPr>
          <w:p w14:paraId="0D923E7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6D01041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拟申请155亩规划建设智能装备产业综合园区，重点围绕智能研发、智能制造、网络协同、规模性定制、高端装备展示、人员培训、物流运营进行招商。</w:t>
            </w:r>
          </w:p>
        </w:tc>
        <w:tc>
          <w:tcPr>
            <w:tcW w:w="1342" w:type="dxa"/>
            <w:tcBorders>
              <w:top w:val="nil"/>
              <w:left w:val="nil"/>
              <w:bottom w:val="single" w:color="auto" w:sz="4" w:space="0"/>
              <w:right w:val="single" w:color="auto" w:sz="4" w:space="0"/>
            </w:tcBorders>
            <w:vAlign w:val="center"/>
          </w:tcPr>
          <w:p w14:paraId="5FB0A6D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6089117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1515E3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44365709">
            <w:pPr>
              <w:widowControl/>
              <w:jc w:val="left"/>
              <w:rPr>
                <w:rFonts w:ascii="Times New Roman" w:hAnsi="Times New Roman" w:eastAsia="Times New Roman" w:cs="Times New Roman"/>
                <w:kern w:val="0"/>
                <w:sz w:val="20"/>
                <w:szCs w:val="20"/>
              </w:rPr>
            </w:pPr>
          </w:p>
        </w:tc>
      </w:tr>
      <w:tr w14:paraId="500B058F">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4DEABA5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64</w:t>
            </w:r>
          </w:p>
        </w:tc>
        <w:tc>
          <w:tcPr>
            <w:tcW w:w="1981" w:type="dxa"/>
            <w:tcBorders>
              <w:top w:val="nil"/>
              <w:left w:val="nil"/>
              <w:bottom w:val="single" w:color="auto" w:sz="4" w:space="0"/>
              <w:right w:val="single" w:color="auto" w:sz="4" w:space="0"/>
            </w:tcBorders>
            <w:vAlign w:val="center"/>
          </w:tcPr>
          <w:p w14:paraId="4668F93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家世比工业4.0电商产业园项目</w:t>
            </w:r>
          </w:p>
        </w:tc>
        <w:tc>
          <w:tcPr>
            <w:tcW w:w="945" w:type="dxa"/>
            <w:tcBorders>
              <w:top w:val="nil"/>
              <w:left w:val="nil"/>
              <w:bottom w:val="single" w:color="auto" w:sz="4" w:space="0"/>
              <w:right w:val="single" w:color="auto" w:sz="4" w:space="0"/>
            </w:tcBorders>
            <w:vAlign w:val="center"/>
          </w:tcPr>
          <w:p w14:paraId="336D0F0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2388D62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建设年产5000万套室内家居产品。</w:t>
            </w:r>
          </w:p>
        </w:tc>
        <w:tc>
          <w:tcPr>
            <w:tcW w:w="1342" w:type="dxa"/>
            <w:tcBorders>
              <w:top w:val="nil"/>
              <w:left w:val="nil"/>
              <w:bottom w:val="single" w:color="auto" w:sz="4" w:space="0"/>
              <w:right w:val="single" w:color="auto" w:sz="4" w:space="0"/>
            </w:tcBorders>
            <w:vAlign w:val="center"/>
          </w:tcPr>
          <w:p w14:paraId="6A65C8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6329231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2018-2021</w:t>
            </w:r>
          </w:p>
        </w:tc>
        <w:tc>
          <w:tcPr>
            <w:tcW w:w="1145" w:type="dxa"/>
            <w:tcBorders>
              <w:top w:val="nil"/>
              <w:left w:val="nil"/>
              <w:bottom w:val="single" w:color="auto" w:sz="4" w:space="0"/>
              <w:right w:val="single" w:color="auto" w:sz="4" w:space="0"/>
            </w:tcBorders>
            <w:vAlign w:val="center"/>
          </w:tcPr>
          <w:p w14:paraId="1AD627A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619E3D97">
            <w:pPr>
              <w:widowControl/>
              <w:jc w:val="left"/>
              <w:rPr>
                <w:rFonts w:ascii="Times New Roman" w:hAnsi="Times New Roman" w:eastAsia="Times New Roman" w:cs="Times New Roman"/>
                <w:kern w:val="0"/>
                <w:sz w:val="20"/>
                <w:szCs w:val="20"/>
              </w:rPr>
            </w:pPr>
          </w:p>
        </w:tc>
      </w:tr>
      <w:tr w14:paraId="7BA42BA2">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61B9AE1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65</w:t>
            </w:r>
          </w:p>
        </w:tc>
        <w:tc>
          <w:tcPr>
            <w:tcW w:w="1981" w:type="dxa"/>
            <w:tcBorders>
              <w:top w:val="single" w:color="auto" w:sz="4" w:space="0"/>
              <w:left w:val="nil"/>
              <w:bottom w:val="single" w:color="auto" w:sz="4" w:space="0"/>
              <w:right w:val="single" w:color="auto" w:sz="4" w:space="0"/>
            </w:tcBorders>
            <w:vAlign w:val="center"/>
          </w:tcPr>
          <w:p w14:paraId="6561621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智慧仓储物流中心</w:t>
            </w:r>
          </w:p>
        </w:tc>
        <w:tc>
          <w:tcPr>
            <w:tcW w:w="945" w:type="dxa"/>
            <w:tcBorders>
              <w:top w:val="single" w:color="auto" w:sz="4" w:space="0"/>
              <w:left w:val="nil"/>
              <w:bottom w:val="single" w:color="auto" w:sz="4" w:space="0"/>
              <w:right w:val="single" w:color="auto" w:sz="4" w:space="0"/>
            </w:tcBorders>
            <w:vAlign w:val="center"/>
          </w:tcPr>
          <w:p w14:paraId="672C2C2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single" w:color="auto" w:sz="4" w:space="0"/>
              <w:left w:val="nil"/>
              <w:bottom w:val="single" w:color="auto" w:sz="4" w:space="0"/>
              <w:right w:val="single" w:color="auto" w:sz="4" w:space="0"/>
            </w:tcBorders>
            <w:vAlign w:val="center"/>
          </w:tcPr>
          <w:p w14:paraId="4A4AEEF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占地50亩，规划建设现代化物流配送管理中心、冷链仓库、仓储样品区、配送库区及相关附属配套设施共35000平方米，购置运输车辆和高科技物流信息网络系统。</w:t>
            </w:r>
          </w:p>
        </w:tc>
        <w:tc>
          <w:tcPr>
            <w:tcW w:w="1342" w:type="dxa"/>
            <w:tcBorders>
              <w:top w:val="single" w:color="auto" w:sz="4" w:space="0"/>
              <w:left w:val="nil"/>
              <w:bottom w:val="single" w:color="auto" w:sz="4" w:space="0"/>
              <w:right w:val="single" w:color="auto" w:sz="4" w:space="0"/>
            </w:tcBorders>
            <w:vAlign w:val="center"/>
          </w:tcPr>
          <w:p w14:paraId="151C2CE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single" w:color="auto" w:sz="4" w:space="0"/>
              <w:left w:val="nil"/>
              <w:bottom w:val="single" w:color="auto" w:sz="4" w:space="0"/>
              <w:right w:val="single" w:color="auto" w:sz="4" w:space="0"/>
            </w:tcBorders>
            <w:vAlign w:val="center"/>
          </w:tcPr>
          <w:p w14:paraId="294F3F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single" w:color="auto" w:sz="4" w:space="0"/>
              <w:left w:val="nil"/>
              <w:bottom w:val="single" w:color="auto" w:sz="4" w:space="0"/>
              <w:right w:val="single" w:color="auto" w:sz="4" w:space="0"/>
            </w:tcBorders>
            <w:vAlign w:val="center"/>
          </w:tcPr>
          <w:p w14:paraId="74E6A7B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7234BD7B">
            <w:pPr>
              <w:widowControl/>
              <w:jc w:val="left"/>
              <w:rPr>
                <w:rFonts w:ascii="Times New Roman" w:hAnsi="Times New Roman" w:eastAsia="Times New Roman" w:cs="Times New Roman"/>
                <w:kern w:val="0"/>
                <w:sz w:val="20"/>
                <w:szCs w:val="20"/>
              </w:rPr>
            </w:pPr>
          </w:p>
        </w:tc>
      </w:tr>
      <w:tr w14:paraId="22EB171E">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9FFBA4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66</w:t>
            </w:r>
          </w:p>
        </w:tc>
        <w:tc>
          <w:tcPr>
            <w:tcW w:w="1981" w:type="dxa"/>
            <w:tcBorders>
              <w:top w:val="nil"/>
              <w:left w:val="nil"/>
              <w:bottom w:val="single" w:color="auto" w:sz="4" w:space="0"/>
              <w:right w:val="single" w:color="auto" w:sz="4" w:space="0"/>
            </w:tcBorders>
            <w:vAlign w:val="center"/>
          </w:tcPr>
          <w:p w14:paraId="4468EE2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城南慧臻科技电商双创产业园项目</w:t>
            </w:r>
          </w:p>
        </w:tc>
        <w:tc>
          <w:tcPr>
            <w:tcW w:w="945" w:type="dxa"/>
            <w:tcBorders>
              <w:top w:val="nil"/>
              <w:left w:val="nil"/>
              <w:bottom w:val="single" w:color="auto" w:sz="4" w:space="0"/>
              <w:right w:val="single" w:color="auto" w:sz="4" w:space="0"/>
            </w:tcBorders>
            <w:vAlign w:val="center"/>
          </w:tcPr>
          <w:p w14:paraId="3C06C8A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1176190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涵盖大数据引流统计、精准新零售、公共直播室、仓储、配送、展示、电子商务交易、传媒制作的展示与网上交易、金融服务云计算中心等。</w:t>
            </w:r>
          </w:p>
        </w:tc>
        <w:tc>
          <w:tcPr>
            <w:tcW w:w="1342" w:type="dxa"/>
            <w:tcBorders>
              <w:top w:val="nil"/>
              <w:left w:val="nil"/>
              <w:bottom w:val="single" w:color="auto" w:sz="4" w:space="0"/>
              <w:right w:val="single" w:color="auto" w:sz="4" w:space="0"/>
            </w:tcBorders>
            <w:vAlign w:val="center"/>
          </w:tcPr>
          <w:p w14:paraId="2BC50E4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w:t>
            </w:r>
          </w:p>
        </w:tc>
        <w:tc>
          <w:tcPr>
            <w:tcW w:w="1866" w:type="dxa"/>
            <w:tcBorders>
              <w:top w:val="nil"/>
              <w:left w:val="nil"/>
              <w:bottom w:val="single" w:color="auto" w:sz="4" w:space="0"/>
              <w:right w:val="single" w:color="auto" w:sz="4" w:space="0"/>
            </w:tcBorders>
            <w:vAlign w:val="center"/>
          </w:tcPr>
          <w:p w14:paraId="47BCAEC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5DE263E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76649512">
            <w:pPr>
              <w:widowControl/>
              <w:jc w:val="left"/>
              <w:rPr>
                <w:rFonts w:ascii="Times New Roman" w:hAnsi="Times New Roman" w:eastAsia="Times New Roman" w:cs="Times New Roman"/>
                <w:kern w:val="0"/>
                <w:sz w:val="20"/>
                <w:szCs w:val="20"/>
              </w:rPr>
            </w:pPr>
          </w:p>
        </w:tc>
      </w:tr>
      <w:tr w14:paraId="6E71EB60">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03990E5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67</w:t>
            </w:r>
          </w:p>
        </w:tc>
        <w:tc>
          <w:tcPr>
            <w:tcW w:w="1981" w:type="dxa"/>
            <w:tcBorders>
              <w:top w:val="nil"/>
              <w:left w:val="nil"/>
              <w:bottom w:val="single" w:color="auto" w:sz="4" w:space="0"/>
              <w:right w:val="single" w:color="auto" w:sz="4" w:space="0"/>
            </w:tcBorders>
            <w:vAlign w:val="center"/>
          </w:tcPr>
          <w:p w14:paraId="6C3A6FC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光谷云（安溪）渲染牧场</w:t>
            </w:r>
          </w:p>
        </w:tc>
        <w:tc>
          <w:tcPr>
            <w:tcW w:w="945" w:type="dxa"/>
            <w:tcBorders>
              <w:top w:val="nil"/>
              <w:left w:val="nil"/>
              <w:bottom w:val="single" w:color="auto" w:sz="4" w:space="0"/>
              <w:right w:val="single" w:color="auto" w:sz="4" w:space="0"/>
            </w:tcBorders>
            <w:vAlign w:val="center"/>
          </w:tcPr>
          <w:p w14:paraId="78F0B99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1A788CD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建设超10万台大规模的超算中心，为影视动画设计工业提供全套云协作和渲染牧场服务，打造成影视动画产业中心、体验中心、研发设计中心、渲染中心、动作捕捉影棚、培训教育中心等产业功能区洼地。</w:t>
            </w:r>
          </w:p>
        </w:tc>
        <w:tc>
          <w:tcPr>
            <w:tcW w:w="1342" w:type="dxa"/>
            <w:tcBorders>
              <w:top w:val="nil"/>
              <w:left w:val="nil"/>
              <w:bottom w:val="single" w:color="auto" w:sz="4" w:space="0"/>
              <w:right w:val="single" w:color="auto" w:sz="4" w:space="0"/>
            </w:tcBorders>
            <w:vAlign w:val="center"/>
          </w:tcPr>
          <w:p w14:paraId="3E238A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w:t>
            </w:r>
          </w:p>
        </w:tc>
        <w:tc>
          <w:tcPr>
            <w:tcW w:w="1866" w:type="dxa"/>
            <w:tcBorders>
              <w:top w:val="nil"/>
              <w:left w:val="nil"/>
              <w:bottom w:val="single" w:color="auto" w:sz="4" w:space="0"/>
              <w:right w:val="single" w:color="auto" w:sz="4" w:space="0"/>
            </w:tcBorders>
            <w:vAlign w:val="center"/>
          </w:tcPr>
          <w:p w14:paraId="37827DE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569E731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22698BBC">
            <w:pPr>
              <w:widowControl/>
              <w:jc w:val="left"/>
              <w:rPr>
                <w:rFonts w:ascii="Times New Roman" w:hAnsi="Times New Roman" w:eastAsia="Times New Roman" w:cs="Times New Roman"/>
                <w:kern w:val="0"/>
                <w:sz w:val="20"/>
                <w:szCs w:val="20"/>
              </w:rPr>
            </w:pPr>
          </w:p>
        </w:tc>
      </w:tr>
      <w:tr w14:paraId="2F24C267">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C622C1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68</w:t>
            </w:r>
          </w:p>
        </w:tc>
        <w:tc>
          <w:tcPr>
            <w:tcW w:w="1981" w:type="dxa"/>
            <w:tcBorders>
              <w:top w:val="nil"/>
              <w:left w:val="nil"/>
              <w:bottom w:val="single" w:color="auto" w:sz="4" w:space="0"/>
              <w:right w:val="single" w:color="auto" w:sz="4" w:space="0"/>
            </w:tcBorders>
            <w:vAlign w:val="center"/>
          </w:tcPr>
          <w:p w14:paraId="3451783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弘桥智谷电商园仓储物流扩容升级项目</w:t>
            </w:r>
          </w:p>
        </w:tc>
        <w:tc>
          <w:tcPr>
            <w:tcW w:w="945" w:type="dxa"/>
            <w:tcBorders>
              <w:top w:val="nil"/>
              <w:left w:val="nil"/>
              <w:bottom w:val="single" w:color="auto" w:sz="4" w:space="0"/>
              <w:right w:val="single" w:color="auto" w:sz="4" w:space="0"/>
            </w:tcBorders>
            <w:vAlign w:val="center"/>
          </w:tcPr>
          <w:p w14:paraId="0AB975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74D3E17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占地80亩，主要建设6万</w:t>
            </w:r>
            <w:r>
              <w:rPr>
                <w:rFonts w:hint="eastAsia" w:ascii="Times New Roman" w:hAnsi="Times New Roman" w:eastAsia="仿宋_GB2312" w:cs="Times New Roman"/>
                <w:color w:val="000000"/>
                <w:sz w:val="22"/>
              </w:rPr>
              <w:t>平方米</w:t>
            </w:r>
            <w:r>
              <w:rPr>
                <w:rFonts w:ascii="Times New Roman" w:hAnsi="Times New Roman" w:eastAsia="仿宋_GB2312" w:cs="Times New Roman"/>
                <w:color w:val="000000"/>
                <w:sz w:val="22"/>
              </w:rPr>
              <w:t>仓储物流集散中心，提升仓储管理智能化和物流吞吐量水平，日均发货可达10万件。</w:t>
            </w:r>
          </w:p>
        </w:tc>
        <w:tc>
          <w:tcPr>
            <w:tcW w:w="1342" w:type="dxa"/>
            <w:tcBorders>
              <w:top w:val="nil"/>
              <w:left w:val="nil"/>
              <w:bottom w:val="single" w:color="auto" w:sz="4" w:space="0"/>
              <w:right w:val="single" w:color="auto" w:sz="4" w:space="0"/>
            </w:tcBorders>
            <w:vAlign w:val="center"/>
          </w:tcPr>
          <w:p w14:paraId="6F32AFE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1866" w:type="dxa"/>
            <w:tcBorders>
              <w:top w:val="nil"/>
              <w:left w:val="nil"/>
              <w:bottom w:val="single" w:color="auto" w:sz="4" w:space="0"/>
              <w:right w:val="single" w:color="auto" w:sz="4" w:space="0"/>
            </w:tcBorders>
            <w:vAlign w:val="center"/>
          </w:tcPr>
          <w:p w14:paraId="3BF5F63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4477788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1B1D053A">
            <w:pPr>
              <w:widowControl/>
              <w:jc w:val="left"/>
              <w:rPr>
                <w:rFonts w:ascii="Times New Roman" w:hAnsi="Times New Roman" w:eastAsia="Times New Roman" w:cs="Times New Roman"/>
                <w:kern w:val="0"/>
                <w:sz w:val="20"/>
                <w:szCs w:val="20"/>
              </w:rPr>
            </w:pPr>
          </w:p>
        </w:tc>
      </w:tr>
      <w:tr w14:paraId="0645AC7F">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BD0CBE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69</w:t>
            </w:r>
          </w:p>
        </w:tc>
        <w:tc>
          <w:tcPr>
            <w:tcW w:w="1981" w:type="dxa"/>
            <w:tcBorders>
              <w:top w:val="nil"/>
              <w:left w:val="nil"/>
              <w:bottom w:val="single" w:color="auto" w:sz="4" w:space="0"/>
              <w:right w:val="single" w:color="auto" w:sz="4" w:space="0"/>
            </w:tcBorders>
            <w:vAlign w:val="center"/>
          </w:tcPr>
          <w:p w14:paraId="3797A46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农副产品冻库冷链项目</w:t>
            </w:r>
          </w:p>
        </w:tc>
        <w:tc>
          <w:tcPr>
            <w:tcW w:w="945" w:type="dxa"/>
            <w:tcBorders>
              <w:top w:val="nil"/>
              <w:left w:val="nil"/>
              <w:bottom w:val="single" w:color="auto" w:sz="4" w:space="0"/>
              <w:right w:val="single" w:color="auto" w:sz="4" w:space="0"/>
            </w:tcBorders>
            <w:vAlign w:val="center"/>
          </w:tcPr>
          <w:p w14:paraId="203118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1F572CA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规划用地500亩，建设国际现代冷链物流创新基地，首期启动30万吨农副产品冻库冷链生产、加工及营销总部项目建设。</w:t>
            </w:r>
          </w:p>
        </w:tc>
        <w:tc>
          <w:tcPr>
            <w:tcW w:w="1342" w:type="dxa"/>
            <w:tcBorders>
              <w:top w:val="nil"/>
              <w:left w:val="nil"/>
              <w:bottom w:val="single" w:color="auto" w:sz="4" w:space="0"/>
              <w:right w:val="single" w:color="auto" w:sz="4" w:space="0"/>
            </w:tcBorders>
            <w:vAlign w:val="center"/>
          </w:tcPr>
          <w:p w14:paraId="51D7EBD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30</w:t>
            </w:r>
          </w:p>
        </w:tc>
        <w:tc>
          <w:tcPr>
            <w:tcW w:w="1866" w:type="dxa"/>
            <w:tcBorders>
              <w:top w:val="nil"/>
              <w:left w:val="nil"/>
              <w:bottom w:val="single" w:color="auto" w:sz="4" w:space="0"/>
              <w:right w:val="single" w:color="auto" w:sz="4" w:space="0"/>
            </w:tcBorders>
            <w:vAlign w:val="center"/>
          </w:tcPr>
          <w:p w14:paraId="118F809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144924C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02EE14E3">
            <w:pPr>
              <w:widowControl/>
              <w:jc w:val="left"/>
              <w:rPr>
                <w:rFonts w:ascii="Times New Roman" w:hAnsi="Times New Roman" w:eastAsia="Times New Roman" w:cs="Times New Roman"/>
                <w:kern w:val="0"/>
                <w:sz w:val="20"/>
                <w:szCs w:val="20"/>
              </w:rPr>
            </w:pPr>
          </w:p>
        </w:tc>
      </w:tr>
      <w:tr w14:paraId="7F8F2FA9">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4BEB83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70</w:t>
            </w:r>
          </w:p>
        </w:tc>
        <w:tc>
          <w:tcPr>
            <w:tcW w:w="1981" w:type="dxa"/>
            <w:tcBorders>
              <w:top w:val="nil"/>
              <w:left w:val="nil"/>
              <w:bottom w:val="single" w:color="auto" w:sz="4" w:space="0"/>
              <w:right w:val="single" w:color="auto" w:sz="4" w:space="0"/>
            </w:tcBorders>
            <w:vAlign w:val="center"/>
          </w:tcPr>
          <w:p w14:paraId="16D450E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泉州开发区新型显示数字经济产业园（一期）</w:t>
            </w:r>
          </w:p>
        </w:tc>
        <w:tc>
          <w:tcPr>
            <w:tcW w:w="945" w:type="dxa"/>
            <w:tcBorders>
              <w:top w:val="nil"/>
              <w:left w:val="nil"/>
              <w:bottom w:val="single" w:color="auto" w:sz="4" w:space="0"/>
              <w:right w:val="single" w:color="auto" w:sz="4" w:space="0"/>
            </w:tcBorders>
            <w:vAlign w:val="center"/>
          </w:tcPr>
          <w:p w14:paraId="52874A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w:t>
            </w:r>
          </w:p>
        </w:tc>
        <w:tc>
          <w:tcPr>
            <w:tcW w:w="6233" w:type="dxa"/>
            <w:tcBorders>
              <w:top w:val="nil"/>
              <w:left w:val="nil"/>
              <w:bottom w:val="single" w:color="auto" w:sz="4" w:space="0"/>
              <w:right w:val="single" w:color="auto" w:sz="4" w:space="0"/>
            </w:tcBorders>
            <w:vAlign w:val="center"/>
          </w:tcPr>
          <w:p w14:paraId="6F0EEE3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一期依托2000平方米办公场所，建设新型显示数字经济产业集聚中心、创新中心、技术研究院，引进计算、存储等软硬件设施，打造新型显示数字经济产业集群。</w:t>
            </w:r>
          </w:p>
        </w:tc>
        <w:tc>
          <w:tcPr>
            <w:tcW w:w="1342" w:type="dxa"/>
            <w:tcBorders>
              <w:top w:val="nil"/>
              <w:left w:val="nil"/>
              <w:bottom w:val="single" w:color="auto" w:sz="4" w:space="0"/>
              <w:right w:val="single" w:color="auto" w:sz="4" w:space="0"/>
            </w:tcBorders>
            <w:vAlign w:val="center"/>
          </w:tcPr>
          <w:p w14:paraId="082247F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w:t>
            </w:r>
          </w:p>
        </w:tc>
        <w:tc>
          <w:tcPr>
            <w:tcW w:w="1866" w:type="dxa"/>
            <w:tcBorders>
              <w:top w:val="nil"/>
              <w:left w:val="nil"/>
              <w:bottom w:val="single" w:color="auto" w:sz="4" w:space="0"/>
              <w:right w:val="single" w:color="auto" w:sz="4" w:space="0"/>
            </w:tcBorders>
            <w:vAlign w:val="center"/>
          </w:tcPr>
          <w:p w14:paraId="0337B20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481063E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泉州开发区管委会</w:t>
            </w:r>
          </w:p>
        </w:tc>
        <w:tc>
          <w:tcPr>
            <w:tcW w:w="236" w:type="dxa"/>
            <w:vAlign w:val="center"/>
          </w:tcPr>
          <w:p w14:paraId="3EEBD108">
            <w:pPr>
              <w:widowControl/>
              <w:jc w:val="left"/>
              <w:rPr>
                <w:rFonts w:ascii="Times New Roman" w:hAnsi="Times New Roman" w:eastAsia="Times New Roman" w:cs="Times New Roman"/>
                <w:kern w:val="0"/>
                <w:sz w:val="20"/>
                <w:szCs w:val="20"/>
              </w:rPr>
            </w:pPr>
          </w:p>
        </w:tc>
      </w:tr>
      <w:tr w14:paraId="6C97A735">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F2422F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71</w:t>
            </w:r>
          </w:p>
        </w:tc>
        <w:tc>
          <w:tcPr>
            <w:tcW w:w="1981" w:type="dxa"/>
            <w:tcBorders>
              <w:top w:val="nil"/>
              <w:left w:val="nil"/>
              <w:bottom w:val="single" w:color="auto" w:sz="4" w:space="0"/>
              <w:right w:val="single" w:color="auto" w:sz="4" w:space="0"/>
            </w:tcBorders>
            <w:vAlign w:val="center"/>
          </w:tcPr>
          <w:p w14:paraId="4705668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泉州智能物流示范基地</w:t>
            </w:r>
          </w:p>
        </w:tc>
        <w:tc>
          <w:tcPr>
            <w:tcW w:w="945" w:type="dxa"/>
            <w:tcBorders>
              <w:top w:val="nil"/>
              <w:left w:val="nil"/>
              <w:bottom w:val="single" w:color="auto" w:sz="4" w:space="0"/>
              <w:right w:val="single" w:color="auto" w:sz="4" w:space="0"/>
            </w:tcBorders>
            <w:vAlign w:val="center"/>
          </w:tcPr>
          <w:p w14:paraId="6937103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w:t>
            </w:r>
          </w:p>
        </w:tc>
        <w:tc>
          <w:tcPr>
            <w:tcW w:w="6233" w:type="dxa"/>
            <w:tcBorders>
              <w:top w:val="nil"/>
              <w:left w:val="nil"/>
              <w:bottom w:val="single" w:color="auto" w:sz="4" w:space="0"/>
              <w:right w:val="single" w:color="auto" w:sz="4" w:space="0"/>
            </w:tcBorders>
            <w:vAlign w:val="center"/>
          </w:tcPr>
          <w:p w14:paraId="3AA3820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通过京东的智能供应链数字化产业平台和相关的系统与设施设备，搭建“三级双向物流服务体系”，推动泉州开发区本地物流服务和商品流通体系升级。</w:t>
            </w:r>
          </w:p>
        </w:tc>
        <w:tc>
          <w:tcPr>
            <w:tcW w:w="1342" w:type="dxa"/>
            <w:tcBorders>
              <w:top w:val="nil"/>
              <w:left w:val="nil"/>
              <w:bottom w:val="single" w:color="auto" w:sz="4" w:space="0"/>
              <w:right w:val="single" w:color="auto" w:sz="4" w:space="0"/>
            </w:tcBorders>
            <w:vAlign w:val="center"/>
          </w:tcPr>
          <w:p w14:paraId="0AAC793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w:t>
            </w:r>
          </w:p>
        </w:tc>
        <w:tc>
          <w:tcPr>
            <w:tcW w:w="1866" w:type="dxa"/>
            <w:tcBorders>
              <w:top w:val="nil"/>
              <w:left w:val="nil"/>
              <w:bottom w:val="single" w:color="auto" w:sz="4" w:space="0"/>
              <w:right w:val="single" w:color="auto" w:sz="4" w:space="0"/>
            </w:tcBorders>
            <w:vAlign w:val="center"/>
          </w:tcPr>
          <w:p w14:paraId="2BFE609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11FB07A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泉州开发区管委会</w:t>
            </w:r>
          </w:p>
        </w:tc>
        <w:tc>
          <w:tcPr>
            <w:tcW w:w="236" w:type="dxa"/>
            <w:vAlign w:val="center"/>
          </w:tcPr>
          <w:p w14:paraId="4860C740">
            <w:pPr>
              <w:widowControl/>
              <w:jc w:val="left"/>
              <w:rPr>
                <w:rFonts w:ascii="Times New Roman" w:hAnsi="Times New Roman" w:eastAsia="Times New Roman" w:cs="Times New Roman"/>
                <w:kern w:val="0"/>
                <w:sz w:val="20"/>
                <w:szCs w:val="20"/>
              </w:rPr>
            </w:pPr>
          </w:p>
        </w:tc>
      </w:tr>
      <w:tr w14:paraId="1FECD5E4">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2DE132D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72</w:t>
            </w:r>
          </w:p>
        </w:tc>
        <w:tc>
          <w:tcPr>
            <w:tcW w:w="1981" w:type="dxa"/>
            <w:tcBorders>
              <w:top w:val="nil"/>
              <w:left w:val="nil"/>
              <w:bottom w:val="single" w:color="auto" w:sz="4" w:space="0"/>
              <w:right w:val="single" w:color="auto" w:sz="4" w:space="0"/>
            </w:tcBorders>
            <w:vAlign w:val="center"/>
          </w:tcPr>
          <w:p w14:paraId="0E9BB8A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5G+智慧工业产业园区</w:t>
            </w:r>
          </w:p>
        </w:tc>
        <w:tc>
          <w:tcPr>
            <w:tcW w:w="945" w:type="dxa"/>
            <w:tcBorders>
              <w:top w:val="nil"/>
              <w:left w:val="nil"/>
              <w:bottom w:val="single" w:color="auto" w:sz="4" w:space="0"/>
              <w:right w:val="single" w:color="auto" w:sz="4" w:space="0"/>
            </w:tcBorders>
            <w:vAlign w:val="center"/>
          </w:tcPr>
          <w:p w14:paraId="7D39232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w:t>
            </w:r>
          </w:p>
        </w:tc>
        <w:tc>
          <w:tcPr>
            <w:tcW w:w="6233" w:type="dxa"/>
            <w:tcBorders>
              <w:top w:val="nil"/>
              <w:left w:val="nil"/>
              <w:bottom w:val="single" w:color="auto" w:sz="4" w:space="0"/>
              <w:right w:val="single" w:color="auto" w:sz="4" w:space="0"/>
            </w:tcBorders>
            <w:vAlign w:val="center"/>
          </w:tcPr>
          <w:p w14:paraId="564DC04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电信泉州分公司建设智慧园区公共服务平台，充分利用5G、物联网、云计算等信息技术构建信息化平台，为泉州台商投资区内产业园、企业提供一体化解决方案，提高企业业务流程自动化程度。</w:t>
            </w:r>
          </w:p>
        </w:tc>
        <w:tc>
          <w:tcPr>
            <w:tcW w:w="1342" w:type="dxa"/>
            <w:tcBorders>
              <w:top w:val="nil"/>
              <w:left w:val="nil"/>
              <w:bottom w:val="single" w:color="auto" w:sz="4" w:space="0"/>
              <w:right w:val="single" w:color="auto" w:sz="4" w:space="0"/>
            </w:tcBorders>
            <w:vAlign w:val="center"/>
          </w:tcPr>
          <w:p w14:paraId="4BC4A23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0843561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0DEF598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泉州台商投资区管委会</w:t>
            </w:r>
          </w:p>
        </w:tc>
        <w:tc>
          <w:tcPr>
            <w:tcW w:w="236" w:type="dxa"/>
            <w:vAlign w:val="center"/>
          </w:tcPr>
          <w:p w14:paraId="4343FCFF">
            <w:pPr>
              <w:widowControl/>
              <w:jc w:val="left"/>
              <w:rPr>
                <w:rFonts w:ascii="Times New Roman" w:hAnsi="Times New Roman" w:eastAsia="Times New Roman" w:cs="Times New Roman"/>
                <w:kern w:val="0"/>
                <w:sz w:val="20"/>
                <w:szCs w:val="20"/>
              </w:rPr>
            </w:pPr>
          </w:p>
        </w:tc>
      </w:tr>
      <w:tr w14:paraId="4482924B">
        <w:tblPrEx>
          <w:tblCellMar>
            <w:top w:w="0" w:type="dxa"/>
            <w:left w:w="108" w:type="dxa"/>
            <w:bottom w:w="0" w:type="dxa"/>
            <w:right w:w="108" w:type="dxa"/>
          </w:tblCellMar>
        </w:tblPrEx>
        <w:trPr>
          <w:trHeight w:val="1152" w:hRule="atLeast"/>
        </w:trPr>
        <w:tc>
          <w:tcPr>
            <w:tcW w:w="566" w:type="dxa"/>
            <w:tcBorders>
              <w:top w:val="single" w:color="auto" w:sz="4" w:space="0"/>
              <w:left w:val="single" w:color="auto" w:sz="4" w:space="0"/>
              <w:bottom w:val="single" w:color="auto" w:sz="4" w:space="0"/>
              <w:right w:val="single" w:color="auto" w:sz="4" w:space="0"/>
            </w:tcBorders>
            <w:vAlign w:val="center"/>
          </w:tcPr>
          <w:p w14:paraId="090E4CC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73</w:t>
            </w:r>
          </w:p>
        </w:tc>
        <w:tc>
          <w:tcPr>
            <w:tcW w:w="1981" w:type="dxa"/>
            <w:tcBorders>
              <w:top w:val="single" w:color="auto" w:sz="4" w:space="0"/>
              <w:left w:val="nil"/>
              <w:bottom w:val="single" w:color="auto" w:sz="4" w:space="0"/>
              <w:right w:val="single" w:color="auto" w:sz="4" w:space="0"/>
            </w:tcBorders>
            <w:vAlign w:val="center"/>
          </w:tcPr>
          <w:p w14:paraId="76E4F51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泉州台商投资区微米科技项目</w:t>
            </w:r>
          </w:p>
        </w:tc>
        <w:tc>
          <w:tcPr>
            <w:tcW w:w="945" w:type="dxa"/>
            <w:tcBorders>
              <w:top w:val="single" w:color="auto" w:sz="4" w:space="0"/>
              <w:left w:val="nil"/>
              <w:bottom w:val="single" w:color="auto" w:sz="4" w:space="0"/>
              <w:right w:val="single" w:color="auto" w:sz="4" w:space="0"/>
            </w:tcBorders>
            <w:vAlign w:val="center"/>
          </w:tcPr>
          <w:p w14:paraId="22B4C7F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w:t>
            </w:r>
          </w:p>
        </w:tc>
        <w:tc>
          <w:tcPr>
            <w:tcW w:w="6233" w:type="dxa"/>
            <w:tcBorders>
              <w:top w:val="single" w:color="auto" w:sz="4" w:space="0"/>
              <w:left w:val="nil"/>
              <w:bottom w:val="single" w:color="auto" w:sz="4" w:space="0"/>
              <w:right w:val="single" w:color="auto" w:sz="4" w:space="0"/>
            </w:tcBorders>
            <w:vAlign w:val="center"/>
          </w:tcPr>
          <w:p w14:paraId="550EC4F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投资建设以整合光通信receptacle加工组装、纳米级光学器件加工组装、半导体封装插针加工等业务为一体的生产制造基地，将来计划引进旗下新加坡瑞德梵斯科技有限公司航空零部件精密加工、特种材料等业务，打造微米科技研发制造基地。</w:t>
            </w:r>
          </w:p>
        </w:tc>
        <w:tc>
          <w:tcPr>
            <w:tcW w:w="1342" w:type="dxa"/>
            <w:tcBorders>
              <w:top w:val="single" w:color="auto" w:sz="4" w:space="0"/>
              <w:left w:val="nil"/>
              <w:bottom w:val="single" w:color="auto" w:sz="4" w:space="0"/>
              <w:right w:val="single" w:color="auto" w:sz="4" w:space="0"/>
            </w:tcBorders>
            <w:vAlign w:val="center"/>
          </w:tcPr>
          <w:p w14:paraId="260C6FB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1866" w:type="dxa"/>
            <w:tcBorders>
              <w:top w:val="single" w:color="auto" w:sz="4" w:space="0"/>
              <w:left w:val="nil"/>
              <w:bottom w:val="single" w:color="auto" w:sz="4" w:space="0"/>
              <w:right w:val="single" w:color="auto" w:sz="4" w:space="0"/>
            </w:tcBorders>
            <w:vAlign w:val="center"/>
          </w:tcPr>
          <w:p w14:paraId="7887C91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single" w:color="auto" w:sz="4" w:space="0"/>
              <w:left w:val="nil"/>
              <w:bottom w:val="single" w:color="auto" w:sz="4" w:space="0"/>
              <w:right w:val="single" w:color="auto" w:sz="4" w:space="0"/>
            </w:tcBorders>
            <w:vAlign w:val="center"/>
          </w:tcPr>
          <w:p w14:paraId="637D02F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泉州台商投资区管委会</w:t>
            </w:r>
          </w:p>
        </w:tc>
        <w:tc>
          <w:tcPr>
            <w:tcW w:w="236" w:type="dxa"/>
            <w:vAlign w:val="center"/>
          </w:tcPr>
          <w:p w14:paraId="4049FAC2">
            <w:pPr>
              <w:widowControl/>
              <w:jc w:val="left"/>
              <w:rPr>
                <w:rFonts w:ascii="Times New Roman" w:hAnsi="Times New Roman" w:eastAsia="Times New Roman" w:cs="Times New Roman"/>
                <w:kern w:val="0"/>
                <w:sz w:val="20"/>
                <w:szCs w:val="20"/>
              </w:rPr>
            </w:pPr>
          </w:p>
        </w:tc>
      </w:tr>
      <w:tr w14:paraId="2E26763A">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9CC8DEA">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74</w:t>
            </w:r>
          </w:p>
        </w:tc>
        <w:tc>
          <w:tcPr>
            <w:tcW w:w="1981" w:type="dxa"/>
            <w:tcBorders>
              <w:top w:val="nil"/>
              <w:left w:val="nil"/>
              <w:bottom w:val="single" w:color="auto" w:sz="4" w:space="0"/>
              <w:right w:val="single" w:color="auto" w:sz="4" w:space="0"/>
            </w:tcBorders>
            <w:vAlign w:val="center"/>
          </w:tcPr>
          <w:p w14:paraId="503F71E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晓光新材料</w:t>
            </w:r>
          </w:p>
        </w:tc>
        <w:tc>
          <w:tcPr>
            <w:tcW w:w="945" w:type="dxa"/>
            <w:tcBorders>
              <w:top w:val="nil"/>
              <w:left w:val="nil"/>
              <w:bottom w:val="single" w:color="auto" w:sz="4" w:space="0"/>
              <w:right w:val="single" w:color="auto" w:sz="4" w:space="0"/>
            </w:tcBorders>
            <w:vAlign w:val="center"/>
          </w:tcPr>
          <w:p w14:paraId="368932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2EEC0E6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用地面积41.55亩，建设厂房及配套设施，主要从事反光材料研发生产,预计年产值2亿元。</w:t>
            </w:r>
          </w:p>
        </w:tc>
        <w:tc>
          <w:tcPr>
            <w:tcW w:w="1342" w:type="dxa"/>
            <w:tcBorders>
              <w:top w:val="nil"/>
              <w:left w:val="nil"/>
              <w:bottom w:val="single" w:color="auto" w:sz="4" w:space="0"/>
              <w:right w:val="single" w:color="auto" w:sz="4" w:space="0"/>
            </w:tcBorders>
            <w:vAlign w:val="center"/>
          </w:tcPr>
          <w:p w14:paraId="2B89D5E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3C6CA67F">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435B2F7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50A91C7A">
            <w:pPr>
              <w:widowControl/>
              <w:jc w:val="left"/>
              <w:rPr>
                <w:rFonts w:ascii="Times New Roman" w:hAnsi="Times New Roman" w:eastAsia="Times New Roman" w:cs="Times New Roman"/>
                <w:kern w:val="0"/>
                <w:sz w:val="20"/>
                <w:szCs w:val="20"/>
              </w:rPr>
            </w:pPr>
          </w:p>
        </w:tc>
      </w:tr>
      <w:tr w14:paraId="7C42F828">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2CEEFB8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75</w:t>
            </w:r>
          </w:p>
        </w:tc>
        <w:tc>
          <w:tcPr>
            <w:tcW w:w="1981" w:type="dxa"/>
            <w:tcBorders>
              <w:top w:val="nil"/>
              <w:left w:val="nil"/>
              <w:bottom w:val="single" w:color="auto" w:sz="4" w:space="0"/>
              <w:right w:val="single" w:color="auto" w:sz="4" w:space="0"/>
            </w:tcBorders>
            <w:vAlign w:val="center"/>
          </w:tcPr>
          <w:p w14:paraId="4582331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海丝国际智能电商孵化基地项目</w:t>
            </w:r>
          </w:p>
        </w:tc>
        <w:tc>
          <w:tcPr>
            <w:tcW w:w="945" w:type="dxa"/>
            <w:tcBorders>
              <w:top w:val="nil"/>
              <w:left w:val="nil"/>
              <w:bottom w:val="single" w:color="auto" w:sz="4" w:space="0"/>
              <w:right w:val="single" w:color="auto" w:sz="4" w:space="0"/>
            </w:tcBorders>
            <w:vAlign w:val="center"/>
          </w:tcPr>
          <w:p w14:paraId="1E6CE94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5287B6A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以木林森总部为中心，拓展现有区域的老厂房加以升级改造。打造一流的、规模化、规范化、多功能、立体化、全方位的电商事业集散地。</w:t>
            </w:r>
          </w:p>
        </w:tc>
        <w:tc>
          <w:tcPr>
            <w:tcW w:w="1342" w:type="dxa"/>
            <w:tcBorders>
              <w:top w:val="nil"/>
              <w:left w:val="nil"/>
              <w:bottom w:val="single" w:color="auto" w:sz="4" w:space="0"/>
              <w:right w:val="single" w:color="auto" w:sz="4" w:space="0"/>
            </w:tcBorders>
            <w:vAlign w:val="center"/>
          </w:tcPr>
          <w:p w14:paraId="17109F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282E6FD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3B02386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32E15438">
            <w:pPr>
              <w:widowControl/>
              <w:jc w:val="left"/>
              <w:rPr>
                <w:rFonts w:ascii="Times New Roman" w:hAnsi="Times New Roman" w:eastAsia="Times New Roman" w:cs="Times New Roman"/>
                <w:kern w:val="0"/>
                <w:sz w:val="20"/>
                <w:szCs w:val="20"/>
              </w:rPr>
            </w:pPr>
          </w:p>
        </w:tc>
      </w:tr>
      <w:tr w14:paraId="294BCDBC">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9AF1EE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76</w:t>
            </w:r>
          </w:p>
        </w:tc>
        <w:tc>
          <w:tcPr>
            <w:tcW w:w="1981" w:type="dxa"/>
            <w:tcBorders>
              <w:top w:val="nil"/>
              <w:left w:val="nil"/>
              <w:bottom w:val="single" w:color="auto" w:sz="4" w:space="0"/>
              <w:right w:val="single" w:color="auto" w:sz="4" w:space="0"/>
            </w:tcBorders>
            <w:vAlign w:val="center"/>
          </w:tcPr>
          <w:p w14:paraId="6742029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宏兴二期智能工厂建设项目</w:t>
            </w:r>
          </w:p>
        </w:tc>
        <w:tc>
          <w:tcPr>
            <w:tcW w:w="945" w:type="dxa"/>
            <w:tcBorders>
              <w:top w:val="nil"/>
              <w:left w:val="nil"/>
              <w:bottom w:val="single" w:color="auto" w:sz="4" w:space="0"/>
              <w:right w:val="single" w:color="auto" w:sz="4" w:space="0"/>
            </w:tcBorders>
            <w:vAlign w:val="center"/>
          </w:tcPr>
          <w:p w14:paraId="0627738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499BF8C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二期用地45亩，用于新建智能工厂，将建设生产车间、配套仓库等建筑约10万平方米，同时引进机器人等先进配套精准控制生产给料等工艺，提高生产效率。</w:t>
            </w:r>
          </w:p>
        </w:tc>
        <w:tc>
          <w:tcPr>
            <w:tcW w:w="1342" w:type="dxa"/>
            <w:tcBorders>
              <w:top w:val="nil"/>
              <w:left w:val="nil"/>
              <w:bottom w:val="single" w:color="auto" w:sz="4" w:space="0"/>
              <w:right w:val="single" w:color="auto" w:sz="4" w:space="0"/>
            </w:tcBorders>
            <w:vAlign w:val="center"/>
          </w:tcPr>
          <w:p w14:paraId="65D3957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w:t>
            </w:r>
          </w:p>
        </w:tc>
        <w:tc>
          <w:tcPr>
            <w:tcW w:w="1866" w:type="dxa"/>
            <w:tcBorders>
              <w:top w:val="nil"/>
              <w:left w:val="nil"/>
              <w:bottom w:val="single" w:color="auto" w:sz="4" w:space="0"/>
              <w:right w:val="single" w:color="auto" w:sz="4" w:space="0"/>
            </w:tcBorders>
            <w:vAlign w:val="center"/>
          </w:tcPr>
          <w:p w14:paraId="15F13DB4">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5329EEC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20934728">
            <w:pPr>
              <w:widowControl/>
              <w:jc w:val="left"/>
              <w:rPr>
                <w:rFonts w:ascii="Times New Roman" w:hAnsi="Times New Roman" w:eastAsia="Times New Roman" w:cs="Times New Roman"/>
                <w:kern w:val="0"/>
                <w:sz w:val="20"/>
                <w:szCs w:val="20"/>
              </w:rPr>
            </w:pPr>
          </w:p>
        </w:tc>
      </w:tr>
      <w:tr w14:paraId="5E89DDFB">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27139A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77</w:t>
            </w:r>
          </w:p>
        </w:tc>
        <w:tc>
          <w:tcPr>
            <w:tcW w:w="1981" w:type="dxa"/>
            <w:tcBorders>
              <w:top w:val="nil"/>
              <w:left w:val="nil"/>
              <w:bottom w:val="single" w:color="auto" w:sz="4" w:space="0"/>
              <w:right w:val="single" w:color="auto" w:sz="4" w:space="0"/>
            </w:tcBorders>
            <w:vAlign w:val="center"/>
          </w:tcPr>
          <w:p w14:paraId="0232CD5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鹏泰二期智能制造建设</w:t>
            </w:r>
          </w:p>
        </w:tc>
        <w:tc>
          <w:tcPr>
            <w:tcW w:w="945" w:type="dxa"/>
            <w:tcBorders>
              <w:top w:val="nil"/>
              <w:left w:val="nil"/>
              <w:bottom w:val="single" w:color="auto" w:sz="4" w:space="0"/>
              <w:right w:val="single" w:color="auto" w:sz="4" w:space="0"/>
            </w:tcBorders>
            <w:vAlign w:val="center"/>
          </w:tcPr>
          <w:p w14:paraId="7D5E806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096FFA7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拟建成融厂房及宿舍楼等办公配套为一体的现代化智能制造工厂，建成后拟新增年产服装规模1200万件、针织布3500吨、纺织布2200万米。</w:t>
            </w:r>
          </w:p>
        </w:tc>
        <w:tc>
          <w:tcPr>
            <w:tcW w:w="1342" w:type="dxa"/>
            <w:tcBorders>
              <w:top w:val="nil"/>
              <w:left w:val="nil"/>
              <w:bottom w:val="single" w:color="auto" w:sz="4" w:space="0"/>
              <w:right w:val="single" w:color="auto" w:sz="4" w:space="0"/>
            </w:tcBorders>
            <w:vAlign w:val="center"/>
          </w:tcPr>
          <w:p w14:paraId="40E486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4.5</w:t>
            </w:r>
          </w:p>
        </w:tc>
        <w:tc>
          <w:tcPr>
            <w:tcW w:w="1866" w:type="dxa"/>
            <w:tcBorders>
              <w:top w:val="nil"/>
              <w:left w:val="nil"/>
              <w:bottom w:val="single" w:color="auto" w:sz="4" w:space="0"/>
              <w:right w:val="single" w:color="auto" w:sz="4" w:space="0"/>
            </w:tcBorders>
            <w:vAlign w:val="center"/>
          </w:tcPr>
          <w:p w14:paraId="5F42A0D3">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458A11E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28342A0C">
            <w:pPr>
              <w:widowControl/>
              <w:jc w:val="left"/>
              <w:rPr>
                <w:rFonts w:ascii="Times New Roman" w:hAnsi="Times New Roman" w:eastAsia="Times New Roman" w:cs="Times New Roman"/>
                <w:kern w:val="0"/>
                <w:sz w:val="20"/>
                <w:szCs w:val="20"/>
              </w:rPr>
            </w:pPr>
          </w:p>
        </w:tc>
      </w:tr>
      <w:tr w14:paraId="20D1C92C">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1B0581B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78</w:t>
            </w:r>
          </w:p>
        </w:tc>
        <w:tc>
          <w:tcPr>
            <w:tcW w:w="1981" w:type="dxa"/>
            <w:tcBorders>
              <w:top w:val="nil"/>
              <w:left w:val="nil"/>
              <w:bottom w:val="single" w:color="auto" w:sz="4" w:space="0"/>
              <w:right w:val="single" w:color="auto" w:sz="4" w:space="0"/>
            </w:tcBorders>
            <w:vAlign w:val="center"/>
          </w:tcPr>
          <w:p w14:paraId="2544B95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新能源汽车三电生产线建设项目</w:t>
            </w:r>
          </w:p>
        </w:tc>
        <w:tc>
          <w:tcPr>
            <w:tcW w:w="945" w:type="dxa"/>
            <w:tcBorders>
              <w:top w:val="nil"/>
              <w:left w:val="nil"/>
              <w:bottom w:val="single" w:color="auto" w:sz="4" w:space="0"/>
              <w:right w:val="single" w:color="auto" w:sz="4" w:space="0"/>
            </w:tcBorders>
            <w:vAlign w:val="center"/>
          </w:tcPr>
          <w:p w14:paraId="2DCF0CD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158836B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锂电池PACK项目，高性能电动汽车电池包生产线，分二期实施，第一期形成年产2.5Gwh电池包产能，第二期形成年产2.5Gwh电池包产能。</w:t>
            </w:r>
          </w:p>
        </w:tc>
        <w:tc>
          <w:tcPr>
            <w:tcW w:w="1342" w:type="dxa"/>
            <w:tcBorders>
              <w:top w:val="nil"/>
              <w:left w:val="nil"/>
              <w:bottom w:val="single" w:color="auto" w:sz="4" w:space="0"/>
              <w:right w:val="single" w:color="auto" w:sz="4" w:space="0"/>
            </w:tcBorders>
            <w:vAlign w:val="center"/>
          </w:tcPr>
          <w:p w14:paraId="03A14A7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w:t>
            </w:r>
          </w:p>
        </w:tc>
        <w:tc>
          <w:tcPr>
            <w:tcW w:w="1866" w:type="dxa"/>
            <w:tcBorders>
              <w:top w:val="nil"/>
              <w:left w:val="nil"/>
              <w:bottom w:val="single" w:color="auto" w:sz="4" w:space="0"/>
              <w:right w:val="single" w:color="auto" w:sz="4" w:space="0"/>
            </w:tcBorders>
            <w:vAlign w:val="center"/>
          </w:tcPr>
          <w:p w14:paraId="6B81275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742A1A6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080498CF">
            <w:pPr>
              <w:widowControl/>
              <w:jc w:val="left"/>
              <w:rPr>
                <w:rFonts w:ascii="Times New Roman" w:hAnsi="Times New Roman" w:eastAsia="Times New Roman" w:cs="Times New Roman"/>
                <w:kern w:val="0"/>
                <w:sz w:val="20"/>
                <w:szCs w:val="20"/>
              </w:rPr>
            </w:pPr>
          </w:p>
        </w:tc>
      </w:tr>
      <w:tr w14:paraId="70BD6D0F">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2BF2CC5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79</w:t>
            </w:r>
          </w:p>
        </w:tc>
        <w:tc>
          <w:tcPr>
            <w:tcW w:w="1981" w:type="dxa"/>
            <w:tcBorders>
              <w:top w:val="nil"/>
              <w:left w:val="nil"/>
              <w:bottom w:val="single" w:color="auto" w:sz="4" w:space="0"/>
              <w:right w:val="single" w:color="auto" w:sz="4" w:space="0"/>
            </w:tcBorders>
            <w:vAlign w:val="center"/>
          </w:tcPr>
          <w:p w14:paraId="525980F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三川云视控公共服务平台</w:t>
            </w:r>
          </w:p>
        </w:tc>
        <w:tc>
          <w:tcPr>
            <w:tcW w:w="945" w:type="dxa"/>
            <w:tcBorders>
              <w:top w:val="nil"/>
              <w:left w:val="nil"/>
              <w:bottom w:val="single" w:color="auto" w:sz="4" w:space="0"/>
              <w:right w:val="single" w:color="auto" w:sz="4" w:space="0"/>
            </w:tcBorders>
            <w:vAlign w:val="center"/>
          </w:tcPr>
          <w:p w14:paraId="6C1249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5A094D5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三川云视控公共服务平台是一款简单、高效的汽车视频实时监控软件，实现物联网、货联网的远程可视化管理及存储，后期植入AI智能化，实现人脸、行为、动作等分析预警</w:t>
            </w:r>
            <w:r>
              <w:rPr>
                <w:rFonts w:hint="eastAsia" w:ascii="Times New Roman" w:hAnsi="Times New Roman" w:eastAsia="仿宋_GB2312" w:cs="Times New Roman"/>
                <w:color w:val="000000"/>
                <w:sz w:val="22"/>
              </w:rPr>
              <w:t>记录</w:t>
            </w:r>
            <w:r>
              <w:rPr>
                <w:rFonts w:ascii="Times New Roman" w:hAnsi="Times New Roman" w:eastAsia="仿宋_GB2312" w:cs="Times New Roman"/>
                <w:color w:val="000000"/>
                <w:sz w:val="22"/>
              </w:rPr>
              <w:t>等功能。</w:t>
            </w:r>
          </w:p>
        </w:tc>
        <w:tc>
          <w:tcPr>
            <w:tcW w:w="1342" w:type="dxa"/>
            <w:tcBorders>
              <w:top w:val="nil"/>
              <w:left w:val="nil"/>
              <w:bottom w:val="single" w:color="auto" w:sz="4" w:space="0"/>
              <w:right w:val="single" w:color="auto" w:sz="4" w:space="0"/>
            </w:tcBorders>
            <w:vAlign w:val="center"/>
          </w:tcPr>
          <w:p w14:paraId="371D6B2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0.97</w:t>
            </w:r>
          </w:p>
        </w:tc>
        <w:tc>
          <w:tcPr>
            <w:tcW w:w="1866" w:type="dxa"/>
            <w:tcBorders>
              <w:top w:val="nil"/>
              <w:left w:val="nil"/>
              <w:bottom w:val="single" w:color="auto" w:sz="4" w:space="0"/>
              <w:right w:val="single" w:color="auto" w:sz="4" w:space="0"/>
            </w:tcBorders>
            <w:vAlign w:val="center"/>
          </w:tcPr>
          <w:p w14:paraId="37395BF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44451C8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1FC5F189">
            <w:pPr>
              <w:widowControl/>
              <w:jc w:val="left"/>
              <w:rPr>
                <w:rFonts w:ascii="Times New Roman" w:hAnsi="Times New Roman" w:eastAsia="Times New Roman" w:cs="Times New Roman"/>
                <w:kern w:val="0"/>
                <w:sz w:val="20"/>
                <w:szCs w:val="20"/>
              </w:rPr>
            </w:pPr>
          </w:p>
        </w:tc>
      </w:tr>
      <w:tr w14:paraId="734E1EC1">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41AC28A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80</w:t>
            </w:r>
          </w:p>
        </w:tc>
        <w:tc>
          <w:tcPr>
            <w:tcW w:w="1981" w:type="dxa"/>
            <w:tcBorders>
              <w:top w:val="nil"/>
              <w:left w:val="nil"/>
              <w:bottom w:val="single" w:color="auto" w:sz="4" w:space="0"/>
              <w:right w:val="single" w:color="auto" w:sz="4" w:space="0"/>
            </w:tcBorders>
            <w:vAlign w:val="center"/>
          </w:tcPr>
          <w:p w14:paraId="0481DAB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“配单猫”服装工业互联网B2B云共享生态平台</w:t>
            </w:r>
          </w:p>
        </w:tc>
        <w:tc>
          <w:tcPr>
            <w:tcW w:w="945" w:type="dxa"/>
            <w:tcBorders>
              <w:top w:val="nil"/>
              <w:left w:val="nil"/>
              <w:bottom w:val="single" w:color="auto" w:sz="4" w:space="0"/>
              <w:right w:val="single" w:color="auto" w:sz="4" w:space="0"/>
            </w:tcBorders>
            <w:vAlign w:val="center"/>
          </w:tcPr>
          <w:p w14:paraId="6B4A75E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4A0F294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运用了物联网、大数据等新兴技术，帮助鞋服行业实现订单产能智能化精准匹配，推动订单、产能、服务、渠道等资源共享，以数字化中台为核心，搭建供应链生态系统。</w:t>
            </w:r>
          </w:p>
        </w:tc>
        <w:tc>
          <w:tcPr>
            <w:tcW w:w="1342" w:type="dxa"/>
            <w:tcBorders>
              <w:top w:val="nil"/>
              <w:left w:val="nil"/>
              <w:bottom w:val="single" w:color="auto" w:sz="4" w:space="0"/>
              <w:right w:val="single" w:color="auto" w:sz="4" w:space="0"/>
            </w:tcBorders>
            <w:vAlign w:val="center"/>
          </w:tcPr>
          <w:p w14:paraId="7BC8851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1.48</w:t>
            </w:r>
          </w:p>
        </w:tc>
        <w:tc>
          <w:tcPr>
            <w:tcW w:w="1866" w:type="dxa"/>
            <w:tcBorders>
              <w:top w:val="nil"/>
              <w:left w:val="nil"/>
              <w:bottom w:val="single" w:color="auto" w:sz="4" w:space="0"/>
              <w:right w:val="single" w:color="auto" w:sz="4" w:space="0"/>
            </w:tcBorders>
            <w:vAlign w:val="center"/>
          </w:tcPr>
          <w:p w14:paraId="3EC3F9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0FA0B29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5AD6E202">
            <w:pPr>
              <w:widowControl/>
              <w:jc w:val="left"/>
              <w:rPr>
                <w:rFonts w:ascii="Times New Roman" w:hAnsi="Times New Roman" w:eastAsia="Times New Roman" w:cs="Times New Roman"/>
                <w:kern w:val="0"/>
                <w:sz w:val="20"/>
                <w:szCs w:val="20"/>
              </w:rPr>
            </w:pPr>
          </w:p>
        </w:tc>
      </w:tr>
      <w:tr w14:paraId="32E70551">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A282E3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81</w:t>
            </w:r>
          </w:p>
        </w:tc>
        <w:tc>
          <w:tcPr>
            <w:tcW w:w="1981" w:type="dxa"/>
            <w:tcBorders>
              <w:top w:val="nil"/>
              <w:left w:val="nil"/>
              <w:bottom w:val="single" w:color="auto" w:sz="4" w:space="0"/>
              <w:right w:val="single" w:color="auto" w:sz="4" w:space="0"/>
            </w:tcBorders>
            <w:vAlign w:val="center"/>
          </w:tcPr>
          <w:p w14:paraId="2BB321D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丰泽区机器人产业园</w:t>
            </w:r>
          </w:p>
        </w:tc>
        <w:tc>
          <w:tcPr>
            <w:tcW w:w="945" w:type="dxa"/>
            <w:tcBorders>
              <w:top w:val="nil"/>
              <w:left w:val="nil"/>
              <w:bottom w:val="single" w:color="auto" w:sz="4" w:space="0"/>
              <w:right w:val="single" w:color="auto" w:sz="4" w:space="0"/>
            </w:tcBorders>
            <w:vAlign w:val="center"/>
          </w:tcPr>
          <w:p w14:paraId="172217A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64787F0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依托福建哈工大工研院、兵装集团特种机器人研发中心中试基地建设，计划建成集特种机器人研发、中试、销售等为一体的平台。</w:t>
            </w:r>
          </w:p>
        </w:tc>
        <w:tc>
          <w:tcPr>
            <w:tcW w:w="1342" w:type="dxa"/>
            <w:tcBorders>
              <w:top w:val="nil"/>
              <w:left w:val="nil"/>
              <w:bottom w:val="single" w:color="auto" w:sz="4" w:space="0"/>
              <w:right w:val="single" w:color="auto" w:sz="4" w:space="0"/>
            </w:tcBorders>
            <w:vAlign w:val="center"/>
          </w:tcPr>
          <w:p w14:paraId="0057B7B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091A5B4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316CEAD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49CBB6D7">
            <w:pPr>
              <w:widowControl/>
              <w:jc w:val="left"/>
              <w:rPr>
                <w:rFonts w:ascii="Times New Roman" w:hAnsi="Times New Roman" w:eastAsia="Times New Roman" w:cs="Times New Roman"/>
                <w:kern w:val="0"/>
                <w:sz w:val="20"/>
                <w:szCs w:val="20"/>
              </w:rPr>
            </w:pPr>
          </w:p>
        </w:tc>
      </w:tr>
      <w:tr w14:paraId="2CD793EC">
        <w:tblPrEx>
          <w:tblCellMar>
            <w:top w:w="0" w:type="dxa"/>
            <w:left w:w="108" w:type="dxa"/>
            <w:bottom w:w="0" w:type="dxa"/>
            <w:right w:w="108" w:type="dxa"/>
          </w:tblCellMar>
        </w:tblPrEx>
        <w:trPr>
          <w:trHeight w:val="1152" w:hRule="atLeast"/>
        </w:trPr>
        <w:tc>
          <w:tcPr>
            <w:tcW w:w="566" w:type="dxa"/>
            <w:tcBorders>
              <w:top w:val="single" w:color="auto" w:sz="4" w:space="0"/>
              <w:left w:val="single" w:color="auto" w:sz="4" w:space="0"/>
              <w:bottom w:val="single" w:color="auto" w:sz="4" w:space="0"/>
              <w:right w:val="single" w:color="auto" w:sz="4" w:space="0"/>
            </w:tcBorders>
            <w:vAlign w:val="center"/>
          </w:tcPr>
          <w:p w14:paraId="7BB6A50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82</w:t>
            </w:r>
          </w:p>
        </w:tc>
        <w:tc>
          <w:tcPr>
            <w:tcW w:w="1981" w:type="dxa"/>
            <w:tcBorders>
              <w:top w:val="single" w:color="auto" w:sz="4" w:space="0"/>
              <w:left w:val="nil"/>
              <w:bottom w:val="single" w:color="auto" w:sz="4" w:space="0"/>
              <w:right w:val="single" w:color="auto" w:sz="4" w:space="0"/>
            </w:tcBorders>
            <w:vAlign w:val="center"/>
          </w:tcPr>
          <w:p w14:paraId="24180D0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城市超级IP数字文创生态平台</w:t>
            </w:r>
          </w:p>
        </w:tc>
        <w:tc>
          <w:tcPr>
            <w:tcW w:w="945" w:type="dxa"/>
            <w:tcBorders>
              <w:top w:val="single" w:color="auto" w:sz="4" w:space="0"/>
              <w:left w:val="nil"/>
              <w:bottom w:val="single" w:color="auto" w:sz="4" w:space="0"/>
              <w:right w:val="single" w:color="auto" w:sz="4" w:space="0"/>
            </w:tcBorders>
            <w:vAlign w:val="center"/>
          </w:tcPr>
          <w:p w14:paraId="2E6B964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single" w:color="auto" w:sz="4" w:space="0"/>
              <w:left w:val="nil"/>
              <w:bottom w:val="single" w:color="auto" w:sz="4" w:space="0"/>
              <w:right w:val="single" w:color="auto" w:sz="4" w:space="0"/>
            </w:tcBorders>
            <w:vAlign w:val="center"/>
          </w:tcPr>
          <w:p w14:paraId="4ACB0CC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利用数字文创的力量探索产城融合以及产融结合的实践落地海丝沿线交流文化产品，通过数字动漫的内容生产为地方城市挖掘地方特色文化，通过海丝沿线国家的交流宣传，助推产业融合发展，最终实现一带一路文旅融合发展。</w:t>
            </w:r>
          </w:p>
        </w:tc>
        <w:tc>
          <w:tcPr>
            <w:tcW w:w="1342" w:type="dxa"/>
            <w:tcBorders>
              <w:top w:val="single" w:color="auto" w:sz="4" w:space="0"/>
              <w:left w:val="nil"/>
              <w:bottom w:val="single" w:color="auto" w:sz="4" w:space="0"/>
              <w:right w:val="single" w:color="auto" w:sz="4" w:space="0"/>
            </w:tcBorders>
            <w:vAlign w:val="center"/>
          </w:tcPr>
          <w:p w14:paraId="6BFC885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0.7</w:t>
            </w:r>
          </w:p>
        </w:tc>
        <w:tc>
          <w:tcPr>
            <w:tcW w:w="1866" w:type="dxa"/>
            <w:tcBorders>
              <w:top w:val="single" w:color="auto" w:sz="4" w:space="0"/>
              <w:left w:val="nil"/>
              <w:bottom w:val="single" w:color="auto" w:sz="4" w:space="0"/>
              <w:right w:val="single" w:color="auto" w:sz="4" w:space="0"/>
            </w:tcBorders>
            <w:vAlign w:val="center"/>
          </w:tcPr>
          <w:p w14:paraId="65B161A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single" w:color="auto" w:sz="4" w:space="0"/>
              <w:left w:val="nil"/>
              <w:bottom w:val="single" w:color="auto" w:sz="4" w:space="0"/>
              <w:right w:val="single" w:color="auto" w:sz="4" w:space="0"/>
            </w:tcBorders>
            <w:vAlign w:val="center"/>
          </w:tcPr>
          <w:p w14:paraId="3EC4564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5D5F1284">
            <w:pPr>
              <w:widowControl/>
              <w:jc w:val="left"/>
              <w:rPr>
                <w:rFonts w:ascii="Times New Roman" w:hAnsi="Times New Roman" w:eastAsia="Times New Roman" w:cs="Times New Roman"/>
                <w:kern w:val="0"/>
                <w:sz w:val="20"/>
                <w:szCs w:val="20"/>
              </w:rPr>
            </w:pPr>
          </w:p>
        </w:tc>
      </w:tr>
      <w:tr w14:paraId="1B1E1976">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7101E51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83</w:t>
            </w:r>
          </w:p>
        </w:tc>
        <w:tc>
          <w:tcPr>
            <w:tcW w:w="1981" w:type="dxa"/>
            <w:tcBorders>
              <w:top w:val="nil"/>
              <w:left w:val="nil"/>
              <w:bottom w:val="single" w:color="auto" w:sz="4" w:space="0"/>
              <w:right w:val="single" w:color="auto" w:sz="4" w:space="0"/>
            </w:tcBorders>
            <w:vAlign w:val="center"/>
          </w:tcPr>
          <w:p w14:paraId="5E9FCA7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传感智能制造产业基地</w:t>
            </w:r>
          </w:p>
        </w:tc>
        <w:tc>
          <w:tcPr>
            <w:tcW w:w="945" w:type="dxa"/>
            <w:tcBorders>
              <w:top w:val="nil"/>
              <w:left w:val="nil"/>
              <w:bottom w:val="single" w:color="auto" w:sz="4" w:space="0"/>
              <w:right w:val="single" w:color="auto" w:sz="4" w:space="0"/>
            </w:tcBorders>
            <w:vAlign w:val="center"/>
          </w:tcPr>
          <w:p w14:paraId="15B4754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238C479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规划用地1000亩，以泛在物联网、芯片、传感器、人工智能、工业互联网等智能制造为核心产业链，重点引进龙头企业，延伸产业链、打通上下游。</w:t>
            </w:r>
          </w:p>
        </w:tc>
        <w:tc>
          <w:tcPr>
            <w:tcW w:w="1342" w:type="dxa"/>
            <w:tcBorders>
              <w:top w:val="nil"/>
              <w:left w:val="nil"/>
              <w:bottom w:val="single" w:color="auto" w:sz="4" w:space="0"/>
              <w:right w:val="single" w:color="auto" w:sz="4" w:space="0"/>
            </w:tcBorders>
            <w:vAlign w:val="center"/>
          </w:tcPr>
          <w:p w14:paraId="1A6241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50</w:t>
            </w:r>
          </w:p>
        </w:tc>
        <w:tc>
          <w:tcPr>
            <w:tcW w:w="1866" w:type="dxa"/>
            <w:tcBorders>
              <w:top w:val="nil"/>
              <w:left w:val="nil"/>
              <w:bottom w:val="single" w:color="auto" w:sz="4" w:space="0"/>
              <w:right w:val="single" w:color="auto" w:sz="4" w:space="0"/>
            </w:tcBorders>
            <w:vAlign w:val="center"/>
          </w:tcPr>
          <w:p w14:paraId="744A30E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2020-2024</w:t>
            </w:r>
          </w:p>
        </w:tc>
        <w:tc>
          <w:tcPr>
            <w:tcW w:w="1145" w:type="dxa"/>
            <w:tcBorders>
              <w:top w:val="nil"/>
              <w:left w:val="nil"/>
              <w:bottom w:val="single" w:color="auto" w:sz="4" w:space="0"/>
              <w:right w:val="single" w:color="auto" w:sz="4" w:space="0"/>
            </w:tcBorders>
            <w:vAlign w:val="center"/>
          </w:tcPr>
          <w:p w14:paraId="266F8D8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55E006E3">
            <w:pPr>
              <w:widowControl/>
              <w:jc w:val="left"/>
              <w:rPr>
                <w:rFonts w:ascii="Times New Roman" w:hAnsi="Times New Roman" w:eastAsia="Times New Roman" w:cs="Times New Roman"/>
                <w:kern w:val="0"/>
                <w:sz w:val="20"/>
                <w:szCs w:val="20"/>
              </w:rPr>
            </w:pPr>
          </w:p>
        </w:tc>
      </w:tr>
      <w:tr w14:paraId="745BC56D">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1448D3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84</w:t>
            </w:r>
          </w:p>
        </w:tc>
        <w:tc>
          <w:tcPr>
            <w:tcW w:w="1981" w:type="dxa"/>
            <w:tcBorders>
              <w:top w:val="nil"/>
              <w:left w:val="nil"/>
              <w:bottom w:val="single" w:color="auto" w:sz="4" w:space="0"/>
              <w:right w:val="single" w:color="auto" w:sz="4" w:space="0"/>
            </w:tcBorders>
            <w:vAlign w:val="center"/>
          </w:tcPr>
          <w:p w14:paraId="4308691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云箭感知与测控技术创新研究院</w:t>
            </w:r>
          </w:p>
        </w:tc>
        <w:tc>
          <w:tcPr>
            <w:tcW w:w="945" w:type="dxa"/>
            <w:tcBorders>
              <w:top w:val="nil"/>
              <w:left w:val="nil"/>
              <w:bottom w:val="single" w:color="auto" w:sz="4" w:space="0"/>
              <w:right w:val="single" w:color="auto" w:sz="4" w:space="0"/>
            </w:tcBorders>
            <w:vAlign w:val="center"/>
          </w:tcPr>
          <w:p w14:paraId="33D99C7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45643CF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建设若干个MNEMS导航系统项目，打造军民融合产业领域的现代技术研发平台，建设成为国内领先的低成本资源测量感知系统研发与生产工艺基地。</w:t>
            </w:r>
          </w:p>
        </w:tc>
        <w:tc>
          <w:tcPr>
            <w:tcW w:w="1342" w:type="dxa"/>
            <w:tcBorders>
              <w:top w:val="nil"/>
              <w:left w:val="nil"/>
              <w:bottom w:val="single" w:color="auto" w:sz="4" w:space="0"/>
              <w:right w:val="single" w:color="auto" w:sz="4" w:space="0"/>
            </w:tcBorders>
            <w:vAlign w:val="center"/>
          </w:tcPr>
          <w:p w14:paraId="31883EE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1.8</w:t>
            </w:r>
          </w:p>
        </w:tc>
        <w:tc>
          <w:tcPr>
            <w:tcW w:w="1866" w:type="dxa"/>
            <w:tcBorders>
              <w:top w:val="nil"/>
              <w:left w:val="nil"/>
              <w:bottom w:val="single" w:color="auto" w:sz="4" w:space="0"/>
              <w:right w:val="single" w:color="auto" w:sz="4" w:space="0"/>
            </w:tcBorders>
            <w:vAlign w:val="center"/>
          </w:tcPr>
          <w:p w14:paraId="13E1F10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6FF2102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3AAFD46C">
            <w:pPr>
              <w:widowControl/>
              <w:jc w:val="left"/>
              <w:rPr>
                <w:rFonts w:ascii="Times New Roman" w:hAnsi="Times New Roman" w:eastAsia="Times New Roman" w:cs="Times New Roman"/>
                <w:kern w:val="0"/>
                <w:sz w:val="20"/>
                <w:szCs w:val="20"/>
              </w:rPr>
            </w:pPr>
          </w:p>
        </w:tc>
      </w:tr>
      <w:tr w14:paraId="25BC511E">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3C82F1F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85</w:t>
            </w:r>
          </w:p>
        </w:tc>
        <w:tc>
          <w:tcPr>
            <w:tcW w:w="1981" w:type="dxa"/>
            <w:tcBorders>
              <w:top w:val="nil"/>
              <w:left w:val="nil"/>
              <w:bottom w:val="single" w:color="auto" w:sz="4" w:space="0"/>
              <w:right w:val="single" w:color="auto" w:sz="4" w:space="0"/>
            </w:tcBorders>
            <w:vAlign w:val="center"/>
          </w:tcPr>
          <w:p w14:paraId="632FA9B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云知声智能科技项目</w:t>
            </w:r>
          </w:p>
        </w:tc>
        <w:tc>
          <w:tcPr>
            <w:tcW w:w="945" w:type="dxa"/>
            <w:tcBorders>
              <w:top w:val="nil"/>
              <w:left w:val="nil"/>
              <w:bottom w:val="single" w:color="auto" w:sz="4" w:space="0"/>
              <w:right w:val="single" w:color="auto" w:sz="4" w:space="0"/>
            </w:tcBorders>
            <w:vAlign w:val="center"/>
          </w:tcPr>
          <w:p w14:paraId="360D90F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59C76DE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项目拟建设泉州云知声人工智能产业园，包含人工智能产业应用展厅、泉州人工智能产业服务平台、云知声-泉州人工智能产业基金。</w:t>
            </w:r>
          </w:p>
        </w:tc>
        <w:tc>
          <w:tcPr>
            <w:tcW w:w="1342" w:type="dxa"/>
            <w:tcBorders>
              <w:top w:val="nil"/>
              <w:left w:val="nil"/>
              <w:bottom w:val="single" w:color="auto" w:sz="4" w:space="0"/>
              <w:right w:val="single" w:color="auto" w:sz="4" w:space="0"/>
            </w:tcBorders>
            <w:vAlign w:val="center"/>
          </w:tcPr>
          <w:p w14:paraId="5364607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0DF156E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673678B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14D31645">
            <w:pPr>
              <w:widowControl/>
              <w:jc w:val="left"/>
              <w:rPr>
                <w:rFonts w:ascii="Times New Roman" w:hAnsi="Times New Roman" w:eastAsia="Times New Roman" w:cs="Times New Roman"/>
                <w:kern w:val="0"/>
                <w:sz w:val="20"/>
                <w:szCs w:val="20"/>
              </w:rPr>
            </w:pPr>
          </w:p>
        </w:tc>
      </w:tr>
      <w:tr w14:paraId="3BBF4301">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133A2F7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86</w:t>
            </w:r>
          </w:p>
        </w:tc>
        <w:tc>
          <w:tcPr>
            <w:tcW w:w="1981" w:type="dxa"/>
            <w:tcBorders>
              <w:top w:val="nil"/>
              <w:left w:val="nil"/>
              <w:bottom w:val="single" w:color="auto" w:sz="4" w:space="0"/>
              <w:right w:val="single" w:color="auto" w:sz="4" w:space="0"/>
            </w:tcBorders>
            <w:vAlign w:val="center"/>
          </w:tcPr>
          <w:p w14:paraId="1B2DB97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洛江卫生用品智能制造基地</w:t>
            </w:r>
          </w:p>
        </w:tc>
        <w:tc>
          <w:tcPr>
            <w:tcW w:w="945" w:type="dxa"/>
            <w:tcBorders>
              <w:top w:val="nil"/>
              <w:left w:val="nil"/>
              <w:bottom w:val="single" w:color="auto" w:sz="4" w:space="0"/>
              <w:right w:val="single" w:color="auto" w:sz="4" w:space="0"/>
            </w:tcBorders>
            <w:vAlign w:val="center"/>
          </w:tcPr>
          <w:p w14:paraId="697D91E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6F04779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规划用地面积600亩，建设高标准生产厂房和全伺服自动化智能化生产流水线、研发和检测中心、卫生用品及医用材料制造、办公楼、智能物流中心等生产生活区块。</w:t>
            </w:r>
          </w:p>
        </w:tc>
        <w:tc>
          <w:tcPr>
            <w:tcW w:w="1342" w:type="dxa"/>
            <w:tcBorders>
              <w:top w:val="nil"/>
              <w:left w:val="nil"/>
              <w:bottom w:val="single" w:color="auto" w:sz="4" w:space="0"/>
              <w:right w:val="single" w:color="auto" w:sz="4" w:space="0"/>
            </w:tcBorders>
            <w:vAlign w:val="center"/>
          </w:tcPr>
          <w:p w14:paraId="39D1054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18</w:t>
            </w:r>
          </w:p>
        </w:tc>
        <w:tc>
          <w:tcPr>
            <w:tcW w:w="1866" w:type="dxa"/>
            <w:tcBorders>
              <w:top w:val="nil"/>
              <w:left w:val="nil"/>
              <w:bottom w:val="single" w:color="auto" w:sz="4" w:space="0"/>
              <w:right w:val="single" w:color="auto" w:sz="4" w:space="0"/>
            </w:tcBorders>
            <w:vAlign w:val="center"/>
          </w:tcPr>
          <w:p w14:paraId="3F4D01F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5BDE6D2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7E0171B3">
            <w:pPr>
              <w:widowControl/>
              <w:jc w:val="left"/>
              <w:rPr>
                <w:rFonts w:ascii="Times New Roman" w:hAnsi="Times New Roman" w:eastAsia="Times New Roman" w:cs="Times New Roman"/>
                <w:kern w:val="0"/>
                <w:sz w:val="20"/>
                <w:szCs w:val="20"/>
              </w:rPr>
            </w:pPr>
          </w:p>
        </w:tc>
      </w:tr>
      <w:tr w14:paraId="5F5CCAD4">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9A6D11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87</w:t>
            </w:r>
          </w:p>
        </w:tc>
        <w:tc>
          <w:tcPr>
            <w:tcW w:w="1981" w:type="dxa"/>
            <w:tcBorders>
              <w:top w:val="nil"/>
              <w:left w:val="nil"/>
              <w:bottom w:val="single" w:color="auto" w:sz="4" w:space="0"/>
              <w:right w:val="single" w:color="auto" w:sz="4" w:space="0"/>
            </w:tcBorders>
            <w:vAlign w:val="center"/>
          </w:tcPr>
          <w:p w14:paraId="1ED3997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铁拓信息化系统升级项目</w:t>
            </w:r>
          </w:p>
        </w:tc>
        <w:tc>
          <w:tcPr>
            <w:tcW w:w="945" w:type="dxa"/>
            <w:tcBorders>
              <w:top w:val="nil"/>
              <w:left w:val="nil"/>
              <w:bottom w:val="single" w:color="auto" w:sz="4" w:space="0"/>
              <w:right w:val="single" w:color="auto" w:sz="4" w:space="0"/>
            </w:tcBorders>
            <w:vAlign w:val="center"/>
          </w:tcPr>
          <w:p w14:paraId="67C9E64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22C4A51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项目计划引进先进的信息化软硬件设备，进行系统定制化开发，建立企业数据中心，可实现产品研发、项目管理和生产制造的信息共享与融合。</w:t>
            </w:r>
          </w:p>
        </w:tc>
        <w:tc>
          <w:tcPr>
            <w:tcW w:w="1342" w:type="dxa"/>
            <w:tcBorders>
              <w:top w:val="nil"/>
              <w:left w:val="nil"/>
              <w:bottom w:val="single" w:color="auto" w:sz="4" w:space="0"/>
              <w:right w:val="single" w:color="auto" w:sz="4" w:space="0"/>
            </w:tcBorders>
            <w:vAlign w:val="center"/>
          </w:tcPr>
          <w:p w14:paraId="34AE8CA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0.683315</w:t>
            </w:r>
          </w:p>
        </w:tc>
        <w:tc>
          <w:tcPr>
            <w:tcW w:w="1866" w:type="dxa"/>
            <w:tcBorders>
              <w:top w:val="nil"/>
              <w:left w:val="nil"/>
              <w:bottom w:val="single" w:color="auto" w:sz="4" w:space="0"/>
              <w:right w:val="single" w:color="auto" w:sz="4" w:space="0"/>
            </w:tcBorders>
            <w:vAlign w:val="center"/>
          </w:tcPr>
          <w:p w14:paraId="210E25B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72AC541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789A8E64">
            <w:pPr>
              <w:widowControl/>
              <w:jc w:val="left"/>
              <w:rPr>
                <w:rFonts w:ascii="Times New Roman" w:hAnsi="Times New Roman" w:eastAsia="Times New Roman" w:cs="Times New Roman"/>
                <w:kern w:val="0"/>
                <w:sz w:val="20"/>
                <w:szCs w:val="20"/>
              </w:rPr>
            </w:pPr>
          </w:p>
        </w:tc>
      </w:tr>
      <w:tr w14:paraId="6E4D24AC">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4AF2AD5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88</w:t>
            </w:r>
          </w:p>
        </w:tc>
        <w:tc>
          <w:tcPr>
            <w:tcW w:w="1981" w:type="dxa"/>
            <w:tcBorders>
              <w:top w:val="nil"/>
              <w:left w:val="nil"/>
              <w:bottom w:val="single" w:color="auto" w:sz="4" w:space="0"/>
              <w:right w:val="single" w:color="auto" w:sz="4" w:space="0"/>
            </w:tcBorders>
            <w:vAlign w:val="center"/>
          </w:tcPr>
          <w:p w14:paraId="57BD563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特步现代化智能物流仓储及生产车间项目</w:t>
            </w:r>
          </w:p>
        </w:tc>
        <w:tc>
          <w:tcPr>
            <w:tcW w:w="945" w:type="dxa"/>
            <w:tcBorders>
              <w:top w:val="nil"/>
              <w:left w:val="nil"/>
              <w:bottom w:val="single" w:color="auto" w:sz="4" w:space="0"/>
              <w:right w:val="single" w:color="auto" w:sz="4" w:space="0"/>
            </w:tcBorders>
            <w:vAlign w:val="center"/>
          </w:tcPr>
          <w:p w14:paraId="41AF892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71525DB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建筑面积约20.4万平方米，建设现代化智能物流仓储项目及现代化智能生产车间。</w:t>
            </w:r>
          </w:p>
        </w:tc>
        <w:tc>
          <w:tcPr>
            <w:tcW w:w="1342" w:type="dxa"/>
            <w:tcBorders>
              <w:top w:val="nil"/>
              <w:left w:val="nil"/>
              <w:bottom w:val="single" w:color="auto" w:sz="4" w:space="0"/>
              <w:right w:val="single" w:color="auto" w:sz="4" w:space="0"/>
            </w:tcBorders>
            <w:vAlign w:val="center"/>
          </w:tcPr>
          <w:p w14:paraId="771259C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w:t>
            </w:r>
          </w:p>
        </w:tc>
        <w:tc>
          <w:tcPr>
            <w:tcW w:w="1866" w:type="dxa"/>
            <w:tcBorders>
              <w:top w:val="nil"/>
              <w:left w:val="nil"/>
              <w:bottom w:val="single" w:color="auto" w:sz="4" w:space="0"/>
              <w:right w:val="single" w:color="auto" w:sz="4" w:space="0"/>
            </w:tcBorders>
            <w:vAlign w:val="center"/>
          </w:tcPr>
          <w:p w14:paraId="41A63C5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nil"/>
              <w:left w:val="nil"/>
              <w:bottom w:val="single" w:color="auto" w:sz="4" w:space="0"/>
              <w:right w:val="single" w:color="auto" w:sz="4" w:space="0"/>
            </w:tcBorders>
            <w:vAlign w:val="center"/>
          </w:tcPr>
          <w:p w14:paraId="719B75D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1667711F">
            <w:pPr>
              <w:widowControl/>
              <w:jc w:val="left"/>
              <w:rPr>
                <w:rFonts w:ascii="Times New Roman" w:hAnsi="Times New Roman" w:eastAsia="Times New Roman" w:cs="Times New Roman"/>
                <w:kern w:val="0"/>
                <w:sz w:val="20"/>
                <w:szCs w:val="20"/>
              </w:rPr>
            </w:pPr>
          </w:p>
        </w:tc>
      </w:tr>
      <w:tr w14:paraId="5562179B">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396659E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89</w:t>
            </w:r>
          </w:p>
        </w:tc>
        <w:tc>
          <w:tcPr>
            <w:tcW w:w="1981" w:type="dxa"/>
            <w:tcBorders>
              <w:top w:val="nil"/>
              <w:left w:val="nil"/>
              <w:bottom w:val="single" w:color="auto" w:sz="4" w:space="0"/>
              <w:right w:val="single" w:color="auto" w:sz="4" w:space="0"/>
            </w:tcBorders>
            <w:vAlign w:val="center"/>
          </w:tcPr>
          <w:p w14:paraId="7D0190F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石材行业智能制造项目</w:t>
            </w:r>
          </w:p>
        </w:tc>
        <w:tc>
          <w:tcPr>
            <w:tcW w:w="945" w:type="dxa"/>
            <w:tcBorders>
              <w:top w:val="nil"/>
              <w:left w:val="nil"/>
              <w:bottom w:val="single" w:color="auto" w:sz="4" w:space="0"/>
              <w:right w:val="single" w:color="auto" w:sz="4" w:space="0"/>
            </w:tcBorders>
            <w:vAlign w:val="center"/>
          </w:tcPr>
          <w:p w14:paraId="501CEB6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6D35072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通过智慧石材桥切机+智慧石材扫描仪+智慧石材ERP系统结合，改造石材产业生产线，实现石材行业的数字化转型和产业升级。</w:t>
            </w:r>
          </w:p>
        </w:tc>
        <w:tc>
          <w:tcPr>
            <w:tcW w:w="1342" w:type="dxa"/>
            <w:tcBorders>
              <w:top w:val="nil"/>
              <w:left w:val="nil"/>
              <w:bottom w:val="single" w:color="auto" w:sz="4" w:space="0"/>
              <w:right w:val="single" w:color="auto" w:sz="4" w:space="0"/>
            </w:tcBorders>
            <w:vAlign w:val="center"/>
          </w:tcPr>
          <w:p w14:paraId="344AA34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233D964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62A308E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5C13D8AD">
            <w:pPr>
              <w:widowControl/>
              <w:jc w:val="left"/>
              <w:rPr>
                <w:rFonts w:ascii="Times New Roman" w:hAnsi="Times New Roman" w:eastAsia="Times New Roman" w:cs="Times New Roman"/>
                <w:kern w:val="0"/>
                <w:sz w:val="20"/>
                <w:szCs w:val="20"/>
              </w:rPr>
            </w:pPr>
          </w:p>
        </w:tc>
      </w:tr>
      <w:tr w14:paraId="16738494">
        <w:tblPrEx>
          <w:tblCellMar>
            <w:top w:w="0" w:type="dxa"/>
            <w:left w:w="108" w:type="dxa"/>
            <w:bottom w:w="0" w:type="dxa"/>
            <w:right w:w="108" w:type="dxa"/>
          </w:tblCellMar>
        </w:tblPrEx>
        <w:trPr>
          <w:trHeight w:val="1152" w:hRule="atLeast"/>
        </w:trPr>
        <w:tc>
          <w:tcPr>
            <w:tcW w:w="566" w:type="dxa"/>
            <w:tcBorders>
              <w:top w:val="single" w:color="auto" w:sz="4" w:space="0"/>
              <w:left w:val="single" w:color="auto" w:sz="4" w:space="0"/>
              <w:bottom w:val="single" w:color="auto" w:sz="4" w:space="0"/>
              <w:right w:val="single" w:color="auto" w:sz="4" w:space="0"/>
            </w:tcBorders>
            <w:vAlign w:val="center"/>
          </w:tcPr>
          <w:p w14:paraId="17989A1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90</w:t>
            </w:r>
          </w:p>
        </w:tc>
        <w:tc>
          <w:tcPr>
            <w:tcW w:w="1981" w:type="dxa"/>
            <w:tcBorders>
              <w:top w:val="single" w:color="auto" w:sz="4" w:space="0"/>
              <w:left w:val="nil"/>
              <w:bottom w:val="single" w:color="auto" w:sz="4" w:space="0"/>
              <w:right w:val="single" w:color="auto" w:sz="4" w:space="0"/>
            </w:tcBorders>
            <w:vAlign w:val="center"/>
          </w:tcPr>
          <w:p w14:paraId="04ECF75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南安泛家居线上多功能平台</w:t>
            </w:r>
          </w:p>
        </w:tc>
        <w:tc>
          <w:tcPr>
            <w:tcW w:w="945" w:type="dxa"/>
            <w:tcBorders>
              <w:top w:val="single" w:color="auto" w:sz="4" w:space="0"/>
              <w:left w:val="nil"/>
              <w:bottom w:val="single" w:color="auto" w:sz="4" w:space="0"/>
              <w:right w:val="single" w:color="auto" w:sz="4" w:space="0"/>
            </w:tcBorders>
            <w:vAlign w:val="center"/>
          </w:tcPr>
          <w:p w14:paraId="5463DFF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single" w:color="auto" w:sz="4" w:space="0"/>
              <w:left w:val="nil"/>
              <w:bottom w:val="single" w:color="auto" w:sz="4" w:space="0"/>
              <w:right w:val="single" w:color="auto" w:sz="4" w:space="0"/>
            </w:tcBorders>
            <w:vAlign w:val="center"/>
          </w:tcPr>
          <w:p w14:paraId="4FC6C22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打造F2B2C的建材模式。一站式的线上多功能平台，平台以设计中心、信息中心、电商中心、金融中心、客户中心为主要模块。链接从厂家—总代—小商户—客户的服务全生态，帮助客户实现建材家居一站采。</w:t>
            </w:r>
          </w:p>
        </w:tc>
        <w:tc>
          <w:tcPr>
            <w:tcW w:w="1342" w:type="dxa"/>
            <w:tcBorders>
              <w:top w:val="single" w:color="auto" w:sz="4" w:space="0"/>
              <w:left w:val="nil"/>
              <w:bottom w:val="single" w:color="auto" w:sz="4" w:space="0"/>
              <w:right w:val="single" w:color="auto" w:sz="4" w:space="0"/>
            </w:tcBorders>
            <w:vAlign w:val="center"/>
          </w:tcPr>
          <w:p w14:paraId="0E2D692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single" w:color="auto" w:sz="4" w:space="0"/>
              <w:left w:val="nil"/>
              <w:bottom w:val="single" w:color="auto" w:sz="4" w:space="0"/>
              <w:right w:val="single" w:color="auto" w:sz="4" w:space="0"/>
            </w:tcBorders>
            <w:vAlign w:val="center"/>
          </w:tcPr>
          <w:p w14:paraId="3A8F78C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single" w:color="auto" w:sz="4" w:space="0"/>
              <w:left w:val="nil"/>
              <w:bottom w:val="single" w:color="auto" w:sz="4" w:space="0"/>
              <w:right w:val="single" w:color="auto" w:sz="4" w:space="0"/>
            </w:tcBorders>
            <w:vAlign w:val="center"/>
          </w:tcPr>
          <w:p w14:paraId="776CEA8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1DDFE327">
            <w:pPr>
              <w:widowControl/>
              <w:jc w:val="left"/>
              <w:rPr>
                <w:rFonts w:ascii="Times New Roman" w:hAnsi="Times New Roman" w:eastAsia="Times New Roman" w:cs="Times New Roman"/>
                <w:kern w:val="0"/>
                <w:sz w:val="20"/>
                <w:szCs w:val="20"/>
              </w:rPr>
            </w:pPr>
          </w:p>
        </w:tc>
      </w:tr>
      <w:tr w14:paraId="28133712">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67C5768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91</w:t>
            </w:r>
          </w:p>
        </w:tc>
        <w:tc>
          <w:tcPr>
            <w:tcW w:w="1981" w:type="dxa"/>
            <w:tcBorders>
              <w:top w:val="nil"/>
              <w:left w:val="nil"/>
              <w:bottom w:val="single" w:color="auto" w:sz="4" w:space="0"/>
              <w:right w:val="single" w:color="auto" w:sz="4" w:space="0"/>
            </w:tcBorders>
            <w:vAlign w:val="center"/>
          </w:tcPr>
          <w:p w14:paraId="71776E5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中影星光（安溪）电影小镇</w:t>
            </w:r>
          </w:p>
        </w:tc>
        <w:tc>
          <w:tcPr>
            <w:tcW w:w="945" w:type="dxa"/>
            <w:tcBorders>
              <w:top w:val="nil"/>
              <w:left w:val="nil"/>
              <w:bottom w:val="single" w:color="auto" w:sz="4" w:space="0"/>
              <w:right w:val="single" w:color="auto" w:sz="4" w:space="0"/>
            </w:tcBorders>
            <w:vAlign w:val="center"/>
          </w:tcPr>
          <w:p w14:paraId="3709C19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225BAA1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规划建设数字电影特色小镇,内容包括影视前期拍摄、影视后期制作、拍摄技术设备器材服务、影视外景地、影视旅游商业开发、影视艺员培训等功能中心。</w:t>
            </w:r>
          </w:p>
        </w:tc>
        <w:tc>
          <w:tcPr>
            <w:tcW w:w="1342" w:type="dxa"/>
            <w:tcBorders>
              <w:top w:val="nil"/>
              <w:left w:val="nil"/>
              <w:bottom w:val="single" w:color="auto" w:sz="4" w:space="0"/>
              <w:right w:val="single" w:color="auto" w:sz="4" w:space="0"/>
            </w:tcBorders>
            <w:vAlign w:val="center"/>
          </w:tcPr>
          <w:p w14:paraId="548CE64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nil"/>
              <w:left w:val="nil"/>
              <w:bottom w:val="single" w:color="auto" w:sz="4" w:space="0"/>
              <w:right w:val="single" w:color="auto" w:sz="4" w:space="0"/>
            </w:tcBorders>
            <w:vAlign w:val="center"/>
          </w:tcPr>
          <w:p w14:paraId="0206DB1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52E8DF6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4E1C2EA4">
            <w:pPr>
              <w:widowControl/>
              <w:jc w:val="left"/>
              <w:rPr>
                <w:rFonts w:ascii="Times New Roman" w:hAnsi="Times New Roman" w:eastAsia="Times New Roman" w:cs="Times New Roman"/>
                <w:kern w:val="0"/>
                <w:sz w:val="20"/>
                <w:szCs w:val="20"/>
              </w:rPr>
            </w:pPr>
          </w:p>
        </w:tc>
      </w:tr>
      <w:tr w14:paraId="0D2FDE29">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02C078B5">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92</w:t>
            </w:r>
          </w:p>
        </w:tc>
        <w:tc>
          <w:tcPr>
            <w:tcW w:w="1981" w:type="dxa"/>
            <w:tcBorders>
              <w:top w:val="nil"/>
              <w:left w:val="nil"/>
              <w:bottom w:val="single" w:color="auto" w:sz="4" w:space="0"/>
              <w:right w:val="single" w:color="auto" w:sz="4" w:space="0"/>
            </w:tcBorders>
            <w:vAlign w:val="center"/>
          </w:tcPr>
          <w:p w14:paraId="63D5BA1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永春智慧制造产业园</w:t>
            </w:r>
          </w:p>
        </w:tc>
        <w:tc>
          <w:tcPr>
            <w:tcW w:w="945" w:type="dxa"/>
            <w:tcBorders>
              <w:top w:val="nil"/>
              <w:left w:val="nil"/>
              <w:bottom w:val="single" w:color="auto" w:sz="4" w:space="0"/>
              <w:right w:val="single" w:color="auto" w:sz="4" w:space="0"/>
            </w:tcBorders>
            <w:vAlign w:val="center"/>
          </w:tcPr>
          <w:p w14:paraId="5965CA7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w:t>
            </w:r>
          </w:p>
        </w:tc>
        <w:tc>
          <w:tcPr>
            <w:tcW w:w="6233" w:type="dxa"/>
            <w:tcBorders>
              <w:top w:val="nil"/>
              <w:left w:val="nil"/>
              <w:bottom w:val="single" w:color="auto" w:sz="4" w:space="0"/>
              <w:right w:val="single" w:color="auto" w:sz="4" w:space="0"/>
            </w:tcBorders>
            <w:vAlign w:val="center"/>
          </w:tcPr>
          <w:p w14:paraId="3EDC6D0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项目以九牧集团主营产业为核心龙头，与德国西门子以及国内外多家知名企业合作，规划设计工业4.0智慧园区。</w:t>
            </w:r>
          </w:p>
        </w:tc>
        <w:tc>
          <w:tcPr>
            <w:tcW w:w="1342" w:type="dxa"/>
            <w:tcBorders>
              <w:top w:val="nil"/>
              <w:left w:val="nil"/>
              <w:bottom w:val="single" w:color="auto" w:sz="4" w:space="0"/>
              <w:right w:val="single" w:color="auto" w:sz="4" w:space="0"/>
            </w:tcBorders>
            <w:vAlign w:val="center"/>
          </w:tcPr>
          <w:p w14:paraId="1214022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10.5</w:t>
            </w:r>
          </w:p>
        </w:tc>
        <w:tc>
          <w:tcPr>
            <w:tcW w:w="1866" w:type="dxa"/>
            <w:tcBorders>
              <w:top w:val="nil"/>
              <w:left w:val="nil"/>
              <w:bottom w:val="single" w:color="auto" w:sz="4" w:space="0"/>
              <w:right w:val="single" w:color="auto" w:sz="4" w:space="0"/>
            </w:tcBorders>
            <w:vAlign w:val="center"/>
          </w:tcPr>
          <w:p w14:paraId="2E9C98E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47978C7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永春县人民政府</w:t>
            </w:r>
          </w:p>
        </w:tc>
        <w:tc>
          <w:tcPr>
            <w:tcW w:w="236" w:type="dxa"/>
            <w:vAlign w:val="center"/>
          </w:tcPr>
          <w:p w14:paraId="75B24017">
            <w:pPr>
              <w:widowControl/>
              <w:jc w:val="left"/>
              <w:rPr>
                <w:rFonts w:ascii="Times New Roman" w:hAnsi="Times New Roman" w:eastAsia="Times New Roman" w:cs="Times New Roman"/>
                <w:kern w:val="0"/>
                <w:sz w:val="20"/>
                <w:szCs w:val="20"/>
              </w:rPr>
            </w:pPr>
          </w:p>
        </w:tc>
      </w:tr>
      <w:tr w14:paraId="5EDBE637">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288C693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93</w:t>
            </w:r>
          </w:p>
        </w:tc>
        <w:tc>
          <w:tcPr>
            <w:tcW w:w="1981" w:type="dxa"/>
            <w:tcBorders>
              <w:top w:val="nil"/>
              <w:left w:val="nil"/>
              <w:bottom w:val="single" w:color="auto" w:sz="4" w:space="0"/>
              <w:right w:val="single" w:color="auto" w:sz="4" w:space="0"/>
            </w:tcBorders>
            <w:vAlign w:val="center"/>
          </w:tcPr>
          <w:p w14:paraId="41575A2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泉港石化科技众创园</w:t>
            </w:r>
          </w:p>
        </w:tc>
        <w:tc>
          <w:tcPr>
            <w:tcW w:w="945" w:type="dxa"/>
            <w:tcBorders>
              <w:top w:val="nil"/>
              <w:left w:val="nil"/>
              <w:bottom w:val="single" w:color="auto" w:sz="4" w:space="0"/>
              <w:right w:val="single" w:color="auto" w:sz="4" w:space="0"/>
            </w:tcBorders>
            <w:vAlign w:val="center"/>
          </w:tcPr>
          <w:p w14:paraId="6D24D5E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w:t>
            </w:r>
          </w:p>
        </w:tc>
        <w:tc>
          <w:tcPr>
            <w:tcW w:w="6233" w:type="dxa"/>
            <w:tcBorders>
              <w:top w:val="nil"/>
              <w:left w:val="nil"/>
              <w:bottom w:val="single" w:color="auto" w:sz="4" w:space="0"/>
              <w:right w:val="single" w:color="auto" w:sz="4" w:space="0"/>
            </w:tcBorders>
            <w:vAlign w:val="center"/>
          </w:tcPr>
          <w:p w14:paraId="6A17B1B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石化科技众创园及配套工程建设。众创园共占地105亩，建设厂房30000平方米，办公楼8000平方米；园区主要发展石化新材料产业，配套建设物联网、信息产业等服务众创园。</w:t>
            </w:r>
          </w:p>
        </w:tc>
        <w:tc>
          <w:tcPr>
            <w:tcW w:w="1342" w:type="dxa"/>
            <w:tcBorders>
              <w:top w:val="nil"/>
              <w:left w:val="nil"/>
              <w:bottom w:val="single" w:color="auto" w:sz="4" w:space="0"/>
              <w:right w:val="single" w:color="auto" w:sz="4" w:space="0"/>
            </w:tcBorders>
            <w:vAlign w:val="center"/>
          </w:tcPr>
          <w:p w14:paraId="4DB5FAB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00FEAC3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2CF94D0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泉港区人民政府</w:t>
            </w:r>
          </w:p>
        </w:tc>
        <w:tc>
          <w:tcPr>
            <w:tcW w:w="236" w:type="dxa"/>
            <w:vAlign w:val="center"/>
          </w:tcPr>
          <w:p w14:paraId="5B6DCB03">
            <w:pPr>
              <w:widowControl/>
              <w:jc w:val="left"/>
              <w:rPr>
                <w:rFonts w:ascii="Times New Roman" w:hAnsi="Times New Roman" w:eastAsia="Times New Roman" w:cs="Times New Roman"/>
                <w:kern w:val="0"/>
                <w:sz w:val="20"/>
                <w:szCs w:val="20"/>
              </w:rPr>
            </w:pPr>
          </w:p>
        </w:tc>
      </w:tr>
      <w:tr w14:paraId="37B4FCEE">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1234C97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94</w:t>
            </w:r>
          </w:p>
        </w:tc>
        <w:tc>
          <w:tcPr>
            <w:tcW w:w="1981" w:type="dxa"/>
            <w:tcBorders>
              <w:top w:val="nil"/>
              <w:left w:val="nil"/>
              <w:bottom w:val="single" w:color="auto" w:sz="4" w:space="0"/>
              <w:right w:val="single" w:color="auto" w:sz="4" w:space="0"/>
            </w:tcBorders>
            <w:vAlign w:val="center"/>
          </w:tcPr>
          <w:p w14:paraId="686D3D3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中国陶瓷产业互联网数字平台</w:t>
            </w:r>
          </w:p>
        </w:tc>
        <w:tc>
          <w:tcPr>
            <w:tcW w:w="945" w:type="dxa"/>
            <w:tcBorders>
              <w:top w:val="nil"/>
              <w:left w:val="nil"/>
              <w:bottom w:val="single" w:color="auto" w:sz="4" w:space="0"/>
              <w:right w:val="single" w:color="auto" w:sz="4" w:space="0"/>
            </w:tcBorders>
            <w:vAlign w:val="center"/>
          </w:tcPr>
          <w:p w14:paraId="734682C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w:t>
            </w:r>
          </w:p>
        </w:tc>
        <w:tc>
          <w:tcPr>
            <w:tcW w:w="6233" w:type="dxa"/>
            <w:tcBorders>
              <w:top w:val="nil"/>
              <w:left w:val="nil"/>
              <w:bottom w:val="single" w:color="auto" w:sz="4" w:space="0"/>
              <w:right w:val="single" w:color="auto" w:sz="4" w:space="0"/>
            </w:tcBorders>
            <w:vAlign w:val="center"/>
          </w:tcPr>
          <w:p w14:paraId="798295A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成中国陶瓷产业互联网数字平台，建设基于区块链和人工智能的中国白名品鉴赏及拍卖业务系统，创新陶瓷产品溯源、艺术品收藏、交易、流通、展示、交流等应用模式。打造瓷泥集采交易平台，掌控高端瓷泥话语权。推动建立陶瓷产业信用体系，实现陶瓷供应链金融破局。</w:t>
            </w:r>
          </w:p>
        </w:tc>
        <w:tc>
          <w:tcPr>
            <w:tcW w:w="1342" w:type="dxa"/>
            <w:tcBorders>
              <w:top w:val="nil"/>
              <w:left w:val="nil"/>
              <w:bottom w:val="single" w:color="auto" w:sz="4" w:space="0"/>
              <w:right w:val="single" w:color="auto" w:sz="4" w:space="0"/>
            </w:tcBorders>
            <w:vAlign w:val="center"/>
          </w:tcPr>
          <w:p w14:paraId="0A80506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44B5BC2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67879C0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德化县人民政府</w:t>
            </w:r>
          </w:p>
        </w:tc>
        <w:tc>
          <w:tcPr>
            <w:tcW w:w="236" w:type="dxa"/>
            <w:vAlign w:val="center"/>
          </w:tcPr>
          <w:p w14:paraId="338B0E21">
            <w:pPr>
              <w:widowControl/>
              <w:jc w:val="left"/>
              <w:rPr>
                <w:rFonts w:ascii="Times New Roman" w:hAnsi="Times New Roman" w:eastAsia="Times New Roman" w:cs="Times New Roman"/>
                <w:kern w:val="0"/>
                <w:sz w:val="20"/>
                <w:szCs w:val="20"/>
              </w:rPr>
            </w:pPr>
          </w:p>
        </w:tc>
      </w:tr>
      <w:tr w14:paraId="4B037788">
        <w:tblPrEx>
          <w:tblCellMar>
            <w:top w:w="0" w:type="dxa"/>
            <w:left w:w="108" w:type="dxa"/>
            <w:bottom w:w="0" w:type="dxa"/>
            <w:right w:w="108" w:type="dxa"/>
          </w:tblCellMar>
        </w:tblPrEx>
        <w:trPr>
          <w:trHeight w:val="1321" w:hRule="atLeast"/>
        </w:trPr>
        <w:tc>
          <w:tcPr>
            <w:tcW w:w="566" w:type="dxa"/>
            <w:tcBorders>
              <w:top w:val="nil"/>
              <w:left w:val="single" w:color="auto" w:sz="4" w:space="0"/>
              <w:bottom w:val="single" w:color="auto" w:sz="4" w:space="0"/>
              <w:right w:val="single" w:color="auto" w:sz="4" w:space="0"/>
            </w:tcBorders>
            <w:vAlign w:val="center"/>
          </w:tcPr>
          <w:p w14:paraId="1B54B44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95</w:t>
            </w:r>
          </w:p>
        </w:tc>
        <w:tc>
          <w:tcPr>
            <w:tcW w:w="1981" w:type="dxa"/>
            <w:tcBorders>
              <w:top w:val="nil"/>
              <w:left w:val="nil"/>
              <w:bottom w:val="single" w:color="auto" w:sz="4" w:space="0"/>
              <w:right w:val="single" w:color="auto" w:sz="4" w:space="0"/>
            </w:tcBorders>
            <w:vAlign w:val="center"/>
          </w:tcPr>
          <w:p w14:paraId="2BBDD47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智能供应链运营管理平台</w:t>
            </w:r>
          </w:p>
        </w:tc>
        <w:tc>
          <w:tcPr>
            <w:tcW w:w="945" w:type="dxa"/>
            <w:tcBorders>
              <w:top w:val="nil"/>
              <w:left w:val="nil"/>
              <w:bottom w:val="single" w:color="auto" w:sz="4" w:space="0"/>
              <w:right w:val="single" w:color="auto" w:sz="4" w:space="0"/>
            </w:tcBorders>
            <w:vAlign w:val="center"/>
          </w:tcPr>
          <w:p w14:paraId="63C0599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25A8EEA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本项目通过打造OMS（订单管理系统）、TMS（运输管理系统）、WMS（仓储管理系统）、LPMS（园区管理系统）、FMS（财务管理系统）等系统，帮助用户建立完善、高效、实时的供应链管理平台。</w:t>
            </w:r>
          </w:p>
        </w:tc>
        <w:tc>
          <w:tcPr>
            <w:tcW w:w="1342" w:type="dxa"/>
            <w:tcBorders>
              <w:top w:val="nil"/>
              <w:left w:val="nil"/>
              <w:bottom w:val="single" w:color="auto" w:sz="4" w:space="0"/>
              <w:right w:val="single" w:color="auto" w:sz="4" w:space="0"/>
            </w:tcBorders>
            <w:vAlign w:val="center"/>
          </w:tcPr>
          <w:p w14:paraId="5FC16D5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0.35</w:t>
            </w:r>
          </w:p>
        </w:tc>
        <w:tc>
          <w:tcPr>
            <w:tcW w:w="1866" w:type="dxa"/>
            <w:tcBorders>
              <w:top w:val="nil"/>
              <w:left w:val="nil"/>
              <w:bottom w:val="single" w:color="auto" w:sz="4" w:space="0"/>
              <w:right w:val="single" w:color="auto" w:sz="4" w:space="0"/>
            </w:tcBorders>
            <w:vAlign w:val="center"/>
          </w:tcPr>
          <w:p w14:paraId="389A0E3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2019-2022</w:t>
            </w:r>
          </w:p>
        </w:tc>
        <w:tc>
          <w:tcPr>
            <w:tcW w:w="1145" w:type="dxa"/>
            <w:tcBorders>
              <w:top w:val="nil"/>
              <w:left w:val="nil"/>
              <w:bottom w:val="single" w:color="auto" w:sz="4" w:space="0"/>
              <w:right w:val="single" w:color="auto" w:sz="4" w:space="0"/>
            </w:tcBorders>
            <w:vAlign w:val="center"/>
          </w:tcPr>
          <w:p w14:paraId="199DDDB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039BEBF9">
            <w:pPr>
              <w:widowControl/>
              <w:jc w:val="left"/>
              <w:rPr>
                <w:rFonts w:ascii="Times New Roman" w:hAnsi="Times New Roman" w:eastAsia="Times New Roman" w:cs="Times New Roman"/>
                <w:kern w:val="0"/>
                <w:sz w:val="20"/>
                <w:szCs w:val="20"/>
              </w:rPr>
            </w:pPr>
          </w:p>
        </w:tc>
      </w:tr>
      <w:tr w14:paraId="6AE5FB55">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445543B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96</w:t>
            </w:r>
          </w:p>
        </w:tc>
        <w:tc>
          <w:tcPr>
            <w:tcW w:w="1981" w:type="dxa"/>
            <w:tcBorders>
              <w:top w:val="nil"/>
              <w:left w:val="nil"/>
              <w:bottom w:val="single" w:color="auto" w:sz="4" w:space="0"/>
              <w:right w:val="single" w:color="auto" w:sz="4" w:space="0"/>
            </w:tcBorders>
            <w:vAlign w:val="center"/>
          </w:tcPr>
          <w:p w14:paraId="550C8DE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基于5G+MEC组网的厂区应用</w:t>
            </w:r>
          </w:p>
        </w:tc>
        <w:tc>
          <w:tcPr>
            <w:tcW w:w="945" w:type="dxa"/>
            <w:tcBorders>
              <w:top w:val="nil"/>
              <w:left w:val="nil"/>
              <w:bottom w:val="single" w:color="auto" w:sz="4" w:space="0"/>
              <w:right w:val="single" w:color="auto" w:sz="4" w:space="0"/>
            </w:tcBorders>
            <w:vAlign w:val="center"/>
          </w:tcPr>
          <w:p w14:paraId="3F0124B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0680CC9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利用5G+MEC技术（低延时,高宽带,广连接,边缘计算等特性）对厂区进行网络改造、系统建设及多场景应用，实现全连接工厂实时生产优化，持续提升生产经营管理效率、提升产品质量及价值、加速商业模式创新。</w:t>
            </w:r>
          </w:p>
        </w:tc>
        <w:tc>
          <w:tcPr>
            <w:tcW w:w="1342" w:type="dxa"/>
            <w:tcBorders>
              <w:top w:val="nil"/>
              <w:left w:val="nil"/>
              <w:bottom w:val="single" w:color="auto" w:sz="4" w:space="0"/>
              <w:right w:val="single" w:color="auto" w:sz="4" w:space="0"/>
            </w:tcBorders>
            <w:vAlign w:val="center"/>
          </w:tcPr>
          <w:p w14:paraId="463AEA0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0.32</w:t>
            </w:r>
          </w:p>
        </w:tc>
        <w:tc>
          <w:tcPr>
            <w:tcW w:w="1866" w:type="dxa"/>
            <w:tcBorders>
              <w:top w:val="nil"/>
              <w:left w:val="nil"/>
              <w:bottom w:val="single" w:color="auto" w:sz="4" w:space="0"/>
              <w:right w:val="single" w:color="auto" w:sz="4" w:space="0"/>
            </w:tcBorders>
            <w:vAlign w:val="center"/>
          </w:tcPr>
          <w:p w14:paraId="46C8D7B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2BB477D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3A8A0287">
            <w:pPr>
              <w:widowControl/>
              <w:jc w:val="left"/>
              <w:rPr>
                <w:rFonts w:ascii="Times New Roman" w:hAnsi="Times New Roman" w:eastAsia="Times New Roman" w:cs="Times New Roman"/>
                <w:kern w:val="0"/>
                <w:sz w:val="20"/>
                <w:szCs w:val="20"/>
              </w:rPr>
            </w:pPr>
          </w:p>
        </w:tc>
      </w:tr>
      <w:tr w14:paraId="0CFCDB2F">
        <w:tblPrEx>
          <w:tblCellMar>
            <w:top w:w="0" w:type="dxa"/>
            <w:left w:w="108" w:type="dxa"/>
            <w:bottom w:w="0" w:type="dxa"/>
            <w:right w:w="108" w:type="dxa"/>
          </w:tblCellMar>
        </w:tblPrEx>
        <w:trPr>
          <w:trHeight w:val="1152" w:hRule="atLeast"/>
        </w:trPr>
        <w:tc>
          <w:tcPr>
            <w:tcW w:w="566" w:type="dxa"/>
            <w:tcBorders>
              <w:top w:val="single" w:color="auto" w:sz="4" w:space="0"/>
              <w:left w:val="single" w:color="auto" w:sz="4" w:space="0"/>
              <w:bottom w:val="single" w:color="auto" w:sz="4" w:space="0"/>
              <w:right w:val="single" w:color="auto" w:sz="4" w:space="0"/>
            </w:tcBorders>
            <w:vAlign w:val="center"/>
          </w:tcPr>
          <w:p w14:paraId="1229BC6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97</w:t>
            </w:r>
          </w:p>
        </w:tc>
        <w:tc>
          <w:tcPr>
            <w:tcW w:w="1981" w:type="dxa"/>
            <w:tcBorders>
              <w:top w:val="single" w:color="auto" w:sz="4" w:space="0"/>
              <w:left w:val="nil"/>
              <w:bottom w:val="single" w:color="auto" w:sz="4" w:space="0"/>
              <w:right w:val="single" w:color="auto" w:sz="4" w:space="0"/>
            </w:tcBorders>
            <w:vAlign w:val="center"/>
          </w:tcPr>
          <w:p w14:paraId="5F184C3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中科（中石）光芯片项目</w:t>
            </w:r>
          </w:p>
        </w:tc>
        <w:tc>
          <w:tcPr>
            <w:tcW w:w="945" w:type="dxa"/>
            <w:tcBorders>
              <w:top w:val="single" w:color="auto" w:sz="4" w:space="0"/>
              <w:left w:val="nil"/>
              <w:bottom w:val="single" w:color="auto" w:sz="4" w:space="0"/>
              <w:right w:val="single" w:color="auto" w:sz="4" w:space="0"/>
            </w:tcBorders>
            <w:vAlign w:val="center"/>
          </w:tcPr>
          <w:p w14:paraId="60B0D61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single" w:color="auto" w:sz="4" w:space="0"/>
              <w:left w:val="nil"/>
              <w:bottom w:val="single" w:color="auto" w:sz="4" w:space="0"/>
              <w:right w:val="single" w:color="auto" w:sz="4" w:space="0"/>
            </w:tcBorders>
            <w:vAlign w:val="center"/>
          </w:tcPr>
          <w:p w14:paraId="34AF611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新建厂房4000平方米，新增一条完整的从外延、芯片、到器件的工艺生产线，配置相应的检测、试验专用仪器设备，以及所需的配套附属设施，项目建成后，形成年生产1000万颗各类光芯片的生产能力。</w:t>
            </w:r>
          </w:p>
        </w:tc>
        <w:tc>
          <w:tcPr>
            <w:tcW w:w="1342" w:type="dxa"/>
            <w:tcBorders>
              <w:top w:val="single" w:color="auto" w:sz="4" w:space="0"/>
              <w:left w:val="nil"/>
              <w:bottom w:val="single" w:color="auto" w:sz="4" w:space="0"/>
              <w:right w:val="single" w:color="auto" w:sz="4" w:space="0"/>
            </w:tcBorders>
            <w:vAlign w:val="center"/>
          </w:tcPr>
          <w:p w14:paraId="4438BAE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w:t>
            </w:r>
          </w:p>
        </w:tc>
        <w:tc>
          <w:tcPr>
            <w:tcW w:w="1866" w:type="dxa"/>
            <w:tcBorders>
              <w:top w:val="single" w:color="auto" w:sz="4" w:space="0"/>
              <w:left w:val="nil"/>
              <w:bottom w:val="single" w:color="auto" w:sz="4" w:space="0"/>
              <w:right w:val="single" w:color="auto" w:sz="4" w:space="0"/>
            </w:tcBorders>
            <w:vAlign w:val="center"/>
          </w:tcPr>
          <w:p w14:paraId="339A429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single" w:color="auto" w:sz="4" w:space="0"/>
              <w:left w:val="nil"/>
              <w:bottom w:val="single" w:color="auto" w:sz="4" w:space="0"/>
              <w:right w:val="single" w:color="auto" w:sz="4" w:space="0"/>
            </w:tcBorders>
            <w:vAlign w:val="center"/>
          </w:tcPr>
          <w:p w14:paraId="436B23F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535ADD02">
            <w:pPr>
              <w:widowControl/>
              <w:jc w:val="left"/>
              <w:rPr>
                <w:rFonts w:ascii="Times New Roman" w:hAnsi="Times New Roman" w:eastAsia="Times New Roman" w:cs="Times New Roman"/>
                <w:kern w:val="0"/>
                <w:sz w:val="20"/>
                <w:szCs w:val="20"/>
              </w:rPr>
            </w:pPr>
          </w:p>
        </w:tc>
      </w:tr>
      <w:tr w14:paraId="2603ECD8">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C7AC41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98</w:t>
            </w:r>
          </w:p>
        </w:tc>
        <w:tc>
          <w:tcPr>
            <w:tcW w:w="1981" w:type="dxa"/>
            <w:tcBorders>
              <w:top w:val="nil"/>
              <w:left w:val="nil"/>
              <w:bottom w:val="single" w:color="auto" w:sz="4" w:space="0"/>
              <w:right w:val="single" w:color="auto" w:sz="4" w:space="0"/>
            </w:tcBorders>
            <w:vAlign w:val="center"/>
          </w:tcPr>
          <w:p w14:paraId="64F7296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惠安城南中心工业园区慧芯高端芯片项目</w:t>
            </w:r>
          </w:p>
        </w:tc>
        <w:tc>
          <w:tcPr>
            <w:tcW w:w="945" w:type="dxa"/>
            <w:tcBorders>
              <w:top w:val="nil"/>
              <w:left w:val="nil"/>
              <w:bottom w:val="single" w:color="auto" w:sz="4" w:space="0"/>
              <w:right w:val="single" w:color="auto" w:sz="4" w:space="0"/>
            </w:tcBorders>
            <w:vAlign w:val="center"/>
          </w:tcPr>
          <w:p w14:paraId="552E9B0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1AB2161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建筑面积6万平方米，建设超净间、办公室、员工宿舍、动力车间、废水处理站及相关配套设施。</w:t>
            </w:r>
          </w:p>
        </w:tc>
        <w:tc>
          <w:tcPr>
            <w:tcW w:w="1342" w:type="dxa"/>
            <w:tcBorders>
              <w:top w:val="nil"/>
              <w:left w:val="nil"/>
              <w:bottom w:val="single" w:color="auto" w:sz="4" w:space="0"/>
              <w:right w:val="single" w:color="auto" w:sz="4" w:space="0"/>
            </w:tcBorders>
            <w:vAlign w:val="center"/>
          </w:tcPr>
          <w:p w14:paraId="3538064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nil"/>
              <w:left w:val="nil"/>
              <w:bottom w:val="single" w:color="auto" w:sz="4" w:space="0"/>
              <w:right w:val="single" w:color="auto" w:sz="4" w:space="0"/>
            </w:tcBorders>
            <w:vAlign w:val="center"/>
          </w:tcPr>
          <w:p w14:paraId="569A772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03DF66D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31DBB7DC">
            <w:pPr>
              <w:widowControl/>
              <w:jc w:val="left"/>
              <w:rPr>
                <w:rFonts w:ascii="Times New Roman" w:hAnsi="Times New Roman" w:eastAsia="Times New Roman" w:cs="Times New Roman"/>
                <w:kern w:val="0"/>
                <w:sz w:val="20"/>
                <w:szCs w:val="20"/>
              </w:rPr>
            </w:pPr>
          </w:p>
        </w:tc>
      </w:tr>
      <w:tr w14:paraId="12809AC8">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BE13A6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99</w:t>
            </w:r>
          </w:p>
        </w:tc>
        <w:tc>
          <w:tcPr>
            <w:tcW w:w="1981" w:type="dxa"/>
            <w:tcBorders>
              <w:top w:val="nil"/>
              <w:left w:val="nil"/>
              <w:bottom w:val="single" w:color="auto" w:sz="4" w:space="0"/>
              <w:right w:val="single" w:color="auto" w:sz="4" w:space="0"/>
            </w:tcBorders>
            <w:vAlign w:val="center"/>
          </w:tcPr>
          <w:p w14:paraId="302A810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美岭水泥智能技改项目</w:t>
            </w:r>
          </w:p>
        </w:tc>
        <w:tc>
          <w:tcPr>
            <w:tcW w:w="945" w:type="dxa"/>
            <w:tcBorders>
              <w:top w:val="nil"/>
              <w:left w:val="nil"/>
              <w:bottom w:val="single" w:color="auto" w:sz="4" w:space="0"/>
              <w:right w:val="single" w:color="auto" w:sz="4" w:space="0"/>
            </w:tcBorders>
            <w:vAlign w:val="center"/>
          </w:tcPr>
          <w:p w14:paraId="02E2224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w:t>
            </w:r>
          </w:p>
        </w:tc>
        <w:tc>
          <w:tcPr>
            <w:tcW w:w="6233" w:type="dxa"/>
            <w:tcBorders>
              <w:top w:val="nil"/>
              <w:left w:val="nil"/>
              <w:bottom w:val="single" w:color="auto" w:sz="4" w:space="0"/>
              <w:right w:val="single" w:color="auto" w:sz="4" w:space="0"/>
            </w:tcBorders>
            <w:vAlign w:val="center"/>
          </w:tcPr>
          <w:p w14:paraId="1DB29D1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拟分批投资5000万元用于水泥旋窑熟料智能节能改造和堆场扩建项目智能技改项目，目前已建成3个5G基站，指标置换手续办理完成，新生产线方案设计中。</w:t>
            </w:r>
          </w:p>
        </w:tc>
        <w:tc>
          <w:tcPr>
            <w:tcW w:w="1342" w:type="dxa"/>
            <w:tcBorders>
              <w:top w:val="nil"/>
              <w:left w:val="nil"/>
              <w:bottom w:val="single" w:color="auto" w:sz="4" w:space="0"/>
              <w:right w:val="single" w:color="auto" w:sz="4" w:space="0"/>
            </w:tcBorders>
            <w:vAlign w:val="center"/>
          </w:tcPr>
          <w:p w14:paraId="60D33C7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5FDC6AB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4B0A5B1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永春县人民政府</w:t>
            </w:r>
          </w:p>
        </w:tc>
        <w:tc>
          <w:tcPr>
            <w:tcW w:w="236" w:type="dxa"/>
            <w:vAlign w:val="center"/>
          </w:tcPr>
          <w:p w14:paraId="0767300B">
            <w:pPr>
              <w:widowControl/>
              <w:jc w:val="left"/>
              <w:rPr>
                <w:rFonts w:ascii="Times New Roman" w:hAnsi="Times New Roman" w:eastAsia="Times New Roman" w:cs="Times New Roman"/>
                <w:kern w:val="0"/>
                <w:sz w:val="20"/>
                <w:szCs w:val="20"/>
              </w:rPr>
            </w:pPr>
          </w:p>
        </w:tc>
      </w:tr>
      <w:tr w14:paraId="0ACEE1E8">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FD4491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100</w:t>
            </w:r>
          </w:p>
        </w:tc>
        <w:tc>
          <w:tcPr>
            <w:tcW w:w="1981" w:type="dxa"/>
            <w:tcBorders>
              <w:top w:val="nil"/>
              <w:left w:val="nil"/>
              <w:bottom w:val="single" w:color="auto" w:sz="4" w:space="0"/>
              <w:right w:val="single" w:color="auto" w:sz="4" w:space="0"/>
            </w:tcBorders>
            <w:vAlign w:val="center"/>
          </w:tcPr>
          <w:p w14:paraId="27FB785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中闽建研绿色建筑智能制造产业基地项目</w:t>
            </w:r>
          </w:p>
        </w:tc>
        <w:tc>
          <w:tcPr>
            <w:tcW w:w="945" w:type="dxa"/>
            <w:tcBorders>
              <w:top w:val="nil"/>
              <w:left w:val="nil"/>
              <w:bottom w:val="single" w:color="auto" w:sz="4" w:space="0"/>
              <w:right w:val="single" w:color="auto" w:sz="4" w:space="0"/>
            </w:tcBorders>
            <w:vAlign w:val="center"/>
          </w:tcPr>
          <w:p w14:paraId="087D346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w:t>
            </w:r>
          </w:p>
        </w:tc>
        <w:tc>
          <w:tcPr>
            <w:tcW w:w="6233" w:type="dxa"/>
            <w:tcBorders>
              <w:top w:val="nil"/>
              <w:left w:val="nil"/>
              <w:bottom w:val="single" w:color="auto" w:sz="4" w:space="0"/>
              <w:right w:val="single" w:color="auto" w:sz="4" w:space="0"/>
            </w:tcBorders>
            <w:vAlign w:val="center"/>
          </w:tcPr>
          <w:p w14:paraId="48A4509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项目集研发、设计、生产、销售等功能于一体的现代化绿色智能制造产业基地。共建设4条智能化流水线，为市场提供高品质的各类预制建筑构件，设计产能为年产10万立方米预制建筑构件。</w:t>
            </w:r>
          </w:p>
        </w:tc>
        <w:tc>
          <w:tcPr>
            <w:tcW w:w="1342" w:type="dxa"/>
            <w:tcBorders>
              <w:top w:val="nil"/>
              <w:left w:val="nil"/>
              <w:bottom w:val="single" w:color="auto" w:sz="4" w:space="0"/>
              <w:right w:val="single" w:color="auto" w:sz="4" w:space="0"/>
            </w:tcBorders>
            <w:vAlign w:val="center"/>
          </w:tcPr>
          <w:p w14:paraId="1BB1A3D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w:t>
            </w:r>
          </w:p>
        </w:tc>
        <w:tc>
          <w:tcPr>
            <w:tcW w:w="1866" w:type="dxa"/>
            <w:tcBorders>
              <w:top w:val="nil"/>
              <w:left w:val="nil"/>
              <w:bottom w:val="single" w:color="auto" w:sz="4" w:space="0"/>
              <w:right w:val="single" w:color="auto" w:sz="4" w:space="0"/>
            </w:tcBorders>
            <w:vAlign w:val="center"/>
          </w:tcPr>
          <w:p w14:paraId="3223768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3702A93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永春县人民政府</w:t>
            </w:r>
          </w:p>
        </w:tc>
        <w:tc>
          <w:tcPr>
            <w:tcW w:w="236" w:type="dxa"/>
            <w:vAlign w:val="center"/>
          </w:tcPr>
          <w:p w14:paraId="3FE7B0DE">
            <w:pPr>
              <w:widowControl/>
              <w:jc w:val="left"/>
              <w:rPr>
                <w:rFonts w:ascii="Times New Roman" w:hAnsi="Times New Roman" w:eastAsia="Times New Roman" w:cs="Times New Roman"/>
                <w:kern w:val="0"/>
                <w:sz w:val="20"/>
                <w:szCs w:val="20"/>
              </w:rPr>
            </w:pPr>
          </w:p>
        </w:tc>
      </w:tr>
      <w:tr w14:paraId="57CEA561">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756B47B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101</w:t>
            </w:r>
          </w:p>
        </w:tc>
        <w:tc>
          <w:tcPr>
            <w:tcW w:w="1981" w:type="dxa"/>
            <w:tcBorders>
              <w:top w:val="nil"/>
              <w:left w:val="nil"/>
              <w:bottom w:val="single" w:color="auto" w:sz="4" w:space="0"/>
              <w:right w:val="single" w:color="auto" w:sz="4" w:space="0"/>
            </w:tcBorders>
            <w:vAlign w:val="center"/>
          </w:tcPr>
          <w:p w14:paraId="4F6AC92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5G+9one平台</w:t>
            </w:r>
          </w:p>
        </w:tc>
        <w:tc>
          <w:tcPr>
            <w:tcW w:w="945" w:type="dxa"/>
            <w:tcBorders>
              <w:top w:val="nil"/>
              <w:left w:val="nil"/>
              <w:bottom w:val="single" w:color="auto" w:sz="4" w:space="0"/>
              <w:right w:val="single" w:color="auto" w:sz="4" w:space="0"/>
            </w:tcBorders>
            <w:vAlign w:val="center"/>
          </w:tcPr>
          <w:p w14:paraId="51FD918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2A9DF76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移动泉州分公司将联合中国移动各产研院的力量，落地“9 one平台”，面向行业提供“一揽子”方案，布局九大行业平台，为客户和合作伙伴进行“5G</w:t>
            </w:r>
            <w:r>
              <w:rPr>
                <w:rFonts w:ascii="Times New Roman" w:hAnsi="Times New Roman" w:eastAsia="宋体" w:cs="Times New Roman"/>
                <w:color w:val="000000"/>
                <w:sz w:val="22"/>
              </w:rPr>
              <w:t>﹢</w:t>
            </w:r>
            <w:r>
              <w:rPr>
                <w:rFonts w:ascii="Times New Roman" w:hAnsi="Times New Roman" w:eastAsia="仿宋_GB2312" w:cs="Times New Roman"/>
                <w:color w:val="000000"/>
                <w:sz w:val="22"/>
              </w:rPr>
              <w:t>AICDE”一站式赋能，为客户提供端到端一体化交付能力。</w:t>
            </w:r>
          </w:p>
        </w:tc>
        <w:tc>
          <w:tcPr>
            <w:tcW w:w="1342" w:type="dxa"/>
            <w:tcBorders>
              <w:top w:val="nil"/>
              <w:left w:val="nil"/>
              <w:bottom w:val="single" w:color="auto" w:sz="4" w:space="0"/>
              <w:right w:val="single" w:color="auto" w:sz="4" w:space="0"/>
            </w:tcBorders>
            <w:vAlign w:val="center"/>
          </w:tcPr>
          <w:p w14:paraId="57541E2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nil"/>
              <w:left w:val="nil"/>
              <w:bottom w:val="single" w:color="auto" w:sz="4" w:space="0"/>
              <w:right w:val="single" w:color="auto" w:sz="4" w:space="0"/>
            </w:tcBorders>
            <w:vAlign w:val="center"/>
          </w:tcPr>
          <w:p w14:paraId="52CAD90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085EA40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75044A63">
            <w:pPr>
              <w:widowControl/>
              <w:jc w:val="left"/>
              <w:rPr>
                <w:rFonts w:ascii="Times New Roman" w:hAnsi="Times New Roman" w:eastAsia="Times New Roman" w:cs="Times New Roman"/>
                <w:kern w:val="0"/>
                <w:sz w:val="20"/>
                <w:szCs w:val="20"/>
              </w:rPr>
            </w:pPr>
          </w:p>
        </w:tc>
      </w:tr>
      <w:tr w14:paraId="15F48341">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AC94A0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102</w:t>
            </w:r>
          </w:p>
        </w:tc>
        <w:tc>
          <w:tcPr>
            <w:tcW w:w="1981" w:type="dxa"/>
            <w:tcBorders>
              <w:top w:val="nil"/>
              <w:left w:val="nil"/>
              <w:bottom w:val="single" w:color="auto" w:sz="4" w:space="0"/>
              <w:right w:val="single" w:color="auto" w:sz="4" w:space="0"/>
            </w:tcBorders>
            <w:vAlign w:val="center"/>
          </w:tcPr>
          <w:p w14:paraId="350C3CE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卫生用品高端智能装备生产扩建项目</w:t>
            </w:r>
          </w:p>
        </w:tc>
        <w:tc>
          <w:tcPr>
            <w:tcW w:w="945" w:type="dxa"/>
            <w:tcBorders>
              <w:top w:val="nil"/>
              <w:left w:val="nil"/>
              <w:bottom w:val="single" w:color="auto" w:sz="4" w:space="0"/>
              <w:right w:val="single" w:color="auto" w:sz="4" w:space="0"/>
            </w:tcBorders>
            <w:vAlign w:val="center"/>
          </w:tcPr>
          <w:p w14:paraId="5A0A2A6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217D8E1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项目对公司原有车间进行改造及租赁闲置厂房6000平方米，新增数控卧式车床、数控雕铣机、卧式加工中心等自动化生产设备，新增一次性卫生用品高端智能装备4台（套）。</w:t>
            </w:r>
          </w:p>
        </w:tc>
        <w:tc>
          <w:tcPr>
            <w:tcW w:w="1342" w:type="dxa"/>
            <w:tcBorders>
              <w:top w:val="nil"/>
              <w:left w:val="nil"/>
              <w:bottom w:val="single" w:color="auto" w:sz="4" w:space="0"/>
              <w:right w:val="single" w:color="auto" w:sz="4" w:space="0"/>
            </w:tcBorders>
            <w:vAlign w:val="center"/>
          </w:tcPr>
          <w:p w14:paraId="32337F6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0.105</w:t>
            </w:r>
          </w:p>
        </w:tc>
        <w:tc>
          <w:tcPr>
            <w:tcW w:w="1866" w:type="dxa"/>
            <w:tcBorders>
              <w:top w:val="nil"/>
              <w:left w:val="nil"/>
              <w:bottom w:val="single" w:color="auto" w:sz="4" w:space="0"/>
              <w:right w:val="single" w:color="auto" w:sz="4" w:space="0"/>
            </w:tcBorders>
            <w:vAlign w:val="center"/>
          </w:tcPr>
          <w:p w14:paraId="2B9E39B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nil"/>
              <w:left w:val="nil"/>
              <w:bottom w:val="single" w:color="auto" w:sz="4" w:space="0"/>
              <w:right w:val="single" w:color="auto" w:sz="4" w:space="0"/>
            </w:tcBorders>
            <w:vAlign w:val="center"/>
          </w:tcPr>
          <w:p w14:paraId="4BEB0FE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12A22F77">
            <w:pPr>
              <w:widowControl/>
              <w:jc w:val="left"/>
              <w:rPr>
                <w:rFonts w:ascii="Times New Roman" w:hAnsi="Times New Roman" w:eastAsia="Times New Roman" w:cs="Times New Roman"/>
                <w:kern w:val="0"/>
                <w:sz w:val="20"/>
                <w:szCs w:val="20"/>
              </w:rPr>
            </w:pPr>
          </w:p>
        </w:tc>
      </w:tr>
      <w:tr w14:paraId="482388BE">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4270A00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103</w:t>
            </w:r>
          </w:p>
        </w:tc>
        <w:tc>
          <w:tcPr>
            <w:tcW w:w="1981" w:type="dxa"/>
            <w:tcBorders>
              <w:top w:val="nil"/>
              <w:left w:val="nil"/>
              <w:bottom w:val="single" w:color="auto" w:sz="4" w:space="0"/>
              <w:right w:val="single" w:color="auto" w:sz="4" w:space="0"/>
            </w:tcBorders>
            <w:vAlign w:val="center"/>
          </w:tcPr>
          <w:p w14:paraId="0D7D430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水资源监控管理系统开发与应用</w:t>
            </w:r>
          </w:p>
        </w:tc>
        <w:tc>
          <w:tcPr>
            <w:tcW w:w="945" w:type="dxa"/>
            <w:tcBorders>
              <w:top w:val="nil"/>
              <w:left w:val="nil"/>
              <w:bottom w:val="single" w:color="auto" w:sz="4" w:space="0"/>
              <w:right w:val="single" w:color="auto" w:sz="4" w:space="0"/>
            </w:tcBorders>
            <w:vAlign w:val="center"/>
          </w:tcPr>
          <w:p w14:paraId="72D9EBA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4C08CAC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水资源监控装置，系公司开发集水流量、温度、压力计量，设备电力监测，异常、故障、安防报警，数据无线远传功能于一身的集成性监控装置，并配套完善的用户管理软件（可实现数据查询，异常查询、智能控制，付费管理等功能）。产品广泛应用于城市供水、农业灌溉、水利工程、水政水资源等行业。</w:t>
            </w:r>
          </w:p>
        </w:tc>
        <w:tc>
          <w:tcPr>
            <w:tcW w:w="1342" w:type="dxa"/>
            <w:tcBorders>
              <w:top w:val="nil"/>
              <w:left w:val="nil"/>
              <w:bottom w:val="single" w:color="auto" w:sz="4" w:space="0"/>
              <w:right w:val="single" w:color="auto" w:sz="4" w:space="0"/>
            </w:tcBorders>
            <w:vAlign w:val="center"/>
          </w:tcPr>
          <w:p w14:paraId="6E555C3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37166B6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49EE673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4C2C972F">
            <w:pPr>
              <w:widowControl/>
              <w:jc w:val="left"/>
              <w:rPr>
                <w:rFonts w:ascii="Times New Roman" w:hAnsi="Times New Roman" w:eastAsia="Times New Roman" w:cs="Times New Roman"/>
                <w:kern w:val="0"/>
                <w:sz w:val="20"/>
                <w:szCs w:val="20"/>
              </w:rPr>
            </w:pPr>
          </w:p>
        </w:tc>
      </w:tr>
      <w:tr w14:paraId="4C681D89">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7DDC96B9">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104</w:t>
            </w:r>
          </w:p>
        </w:tc>
        <w:tc>
          <w:tcPr>
            <w:tcW w:w="1981" w:type="dxa"/>
            <w:tcBorders>
              <w:top w:val="single" w:color="auto" w:sz="4" w:space="0"/>
              <w:left w:val="nil"/>
              <w:bottom w:val="single" w:color="auto" w:sz="4" w:space="0"/>
              <w:right w:val="single" w:color="auto" w:sz="4" w:space="0"/>
            </w:tcBorders>
            <w:vAlign w:val="center"/>
          </w:tcPr>
          <w:p w14:paraId="6CE9133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淘淘巷（智慧社区）</w:t>
            </w:r>
          </w:p>
        </w:tc>
        <w:tc>
          <w:tcPr>
            <w:tcW w:w="945" w:type="dxa"/>
            <w:tcBorders>
              <w:top w:val="single" w:color="auto" w:sz="4" w:space="0"/>
              <w:left w:val="nil"/>
              <w:bottom w:val="single" w:color="auto" w:sz="4" w:space="0"/>
              <w:right w:val="single" w:color="auto" w:sz="4" w:space="0"/>
            </w:tcBorders>
            <w:vAlign w:val="center"/>
          </w:tcPr>
          <w:p w14:paraId="05B22CC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single" w:color="auto" w:sz="4" w:space="0"/>
              <w:left w:val="nil"/>
              <w:bottom w:val="single" w:color="auto" w:sz="4" w:space="0"/>
              <w:right w:val="single" w:color="auto" w:sz="4" w:space="0"/>
            </w:tcBorders>
            <w:vAlign w:val="center"/>
          </w:tcPr>
          <w:p w14:paraId="183B45F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社区零售、远程教育、远程医疗、房屋租赁、房屋改造、社区便民，帮助淘淘巷商户线上线下新零售，帮助高山社区实现科技赋能。</w:t>
            </w:r>
          </w:p>
        </w:tc>
        <w:tc>
          <w:tcPr>
            <w:tcW w:w="1342" w:type="dxa"/>
            <w:tcBorders>
              <w:top w:val="single" w:color="auto" w:sz="4" w:space="0"/>
              <w:left w:val="nil"/>
              <w:bottom w:val="single" w:color="auto" w:sz="4" w:space="0"/>
              <w:right w:val="single" w:color="auto" w:sz="4" w:space="0"/>
            </w:tcBorders>
            <w:vAlign w:val="center"/>
          </w:tcPr>
          <w:p w14:paraId="47FC69B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single" w:color="auto" w:sz="4" w:space="0"/>
              <w:left w:val="nil"/>
              <w:bottom w:val="single" w:color="auto" w:sz="4" w:space="0"/>
              <w:right w:val="single" w:color="auto" w:sz="4" w:space="0"/>
            </w:tcBorders>
            <w:vAlign w:val="center"/>
          </w:tcPr>
          <w:p w14:paraId="57650E3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single" w:color="auto" w:sz="4" w:space="0"/>
              <w:left w:val="nil"/>
              <w:bottom w:val="single" w:color="auto" w:sz="4" w:space="0"/>
              <w:right w:val="single" w:color="auto" w:sz="4" w:space="0"/>
            </w:tcBorders>
            <w:vAlign w:val="center"/>
          </w:tcPr>
          <w:p w14:paraId="1F1A73F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057F027C">
            <w:pPr>
              <w:widowControl/>
              <w:jc w:val="left"/>
              <w:rPr>
                <w:rFonts w:ascii="Times New Roman" w:hAnsi="Times New Roman" w:eastAsia="Times New Roman" w:cs="Times New Roman"/>
                <w:kern w:val="0"/>
                <w:sz w:val="20"/>
                <w:szCs w:val="20"/>
              </w:rPr>
            </w:pPr>
          </w:p>
        </w:tc>
      </w:tr>
      <w:tr w14:paraId="4C7B24AB">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612BAC8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105</w:t>
            </w:r>
          </w:p>
        </w:tc>
        <w:tc>
          <w:tcPr>
            <w:tcW w:w="1981" w:type="dxa"/>
            <w:tcBorders>
              <w:top w:val="nil"/>
              <w:left w:val="nil"/>
              <w:bottom w:val="single" w:color="auto" w:sz="4" w:space="0"/>
              <w:right w:val="single" w:color="auto" w:sz="4" w:space="0"/>
            </w:tcBorders>
            <w:vAlign w:val="center"/>
          </w:tcPr>
          <w:p w14:paraId="67BC6E0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“成迹”平台</w:t>
            </w:r>
          </w:p>
        </w:tc>
        <w:tc>
          <w:tcPr>
            <w:tcW w:w="945" w:type="dxa"/>
            <w:tcBorders>
              <w:top w:val="nil"/>
              <w:left w:val="nil"/>
              <w:bottom w:val="single" w:color="auto" w:sz="4" w:space="0"/>
              <w:right w:val="single" w:color="auto" w:sz="4" w:space="0"/>
            </w:tcBorders>
            <w:vAlign w:val="center"/>
          </w:tcPr>
          <w:p w14:paraId="524FF19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2B9C0CF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一个中心、两个应用即成迹平台（儿童成长轨迹）、家校通、培训通，帮助学校、培训机关、家长实现消息互联互通，帮助家长关注儿童成长轨迹。</w:t>
            </w:r>
          </w:p>
        </w:tc>
        <w:tc>
          <w:tcPr>
            <w:tcW w:w="1342" w:type="dxa"/>
            <w:tcBorders>
              <w:top w:val="nil"/>
              <w:left w:val="nil"/>
              <w:bottom w:val="single" w:color="auto" w:sz="4" w:space="0"/>
              <w:right w:val="single" w:color="auto" w:sz="4" w:space="0"/>
            </w:tcBorders>
            <w:vAlign w:val="center"/>
          </w:tcPr>
          <w:p w14:paraId="531C0D2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1023786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53EE568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52C236AE">
            <w:pPr>
              <w:widowControl/>
              <w:jc w:val="left"/>
              <w:rPr>
                <w:rFonts w:ascii="Times New Roman" w:hAnsi="Times New Roman" w:eastAsia="Times New Roman" w:cs="Times New Roman"/>
                <w:kern w:val="0"/>
                <w:sz w:val="20"/>
                <w:szCs w:val="20"/>
              </w:rPr>
            </w:pPr>
          </w:p>
        </w:tc>
      </w:tr>
      <w:tr w14:paraId="6E5D2690">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4630D0B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106</w:t>
            </w:r>
          </w:p>
        </w:tc>
        <w:tc>
          <w:tcPr>
            <w:tcW w:w="1981" w:type="dxa"/>
            <w:tcBorders>
              <w:top w:val="nil"/>
              <w:left w:val="nil"/>
              <w:bottom w:val="single" w:color="auto" w:sz="4" w:space="0"/>
              <w:right w:val="single" w:color="auto" w:sz="4" w:space="0"/>
            </w:tcBorders>
            <w:vAlign w:val="center"/>
          </w:tcPr>
          <w:p w14:paraId="6761E4B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天地汇智能公路港项目</w:t>
            </w:r>
          </w:p>
        </w:tc>
        <w:tc>
          <w:tcPr>
            <w:tcW w:w="945" w:type="dxa"/>
            <w:tcBorders>
              <w:top w:val="nil"/>
              <w:left w:val="nil"/>
              <w:bottom w:val="single" w:color="auto" w:sz="4" w:space="0"/>
              <w:right w:val="single" w:color="auto" w:sz="4" w:space="0"/>
            </w:tcBorders>
            <w:vAlign w:val="center"/>
          </w:tcPr>
          <w:p w14:paraId="215E6FC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61433B2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拟注册公司入驻孵化基地，建设视觉定位打标机产线项目，按不同波段激光器分为光纤、紫外、CO2材质等，每台价格6—13万元不等，客户可根据自身需求购买整套打标设备或购买视觉硬件对旧机器进行改装（改装费约3万元），可提高产能及效益。</w:t>
            </w:r>
          </w:p>
        </w:tc>
        <w:tc>
          <w:tcPr>
            <w:tcW w:w="1342" w:type="dxa"/>
            <w:tcBorders>
              <w:top w:val="nil"/>
              <w:left w:val="nil"/>
              <w:bottom w:val="single" w:color="auto" w:sz="4" w:space="0"/>
              <w:right w:val="single" w:color="auto" w:sz="4" w:space="0"/>
            </w:tcBorders>
            <w:vAlign w:val="center"/>
          </w:tcPr>
          <w:p w14:paraId="329CD44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277C1DE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2022-2025</w:t>
            </w:r>
          </w:p>
        </w:tc>
        <w:tc>
          <w:tcPr>
            <w:tcW w:w="1145" w:type="dxa"/>
            <w:tcBorders>
              <w:top w:val="nil"/>
              <w:left w:val="nil"/>
              <w:bottom w:val="single" w:color="auto" w:sz="4" w:space="0"/>
              <w:right w:val="single" w:color="auto" w:sz="4" w:space="0"/>
            </w:tcBorders>
            <w:vAlign w:val="center"/>
          </w:tcPr>
          <w:p w14:paraId="6F65D69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4AE654A4">
            <w:pPr>
              <w:widowControl/>
              <w:jc w:val="left"/>
              <w:rPr>
                <w:rFonts w:ascii="Times New Roman" w:hAnsi="Times New Roman" w:eastAsia="Times New Roman" w:cs="Times New Roman"/>
                <w:kern w:val="0"/>
                <w:sz w:val="20"/>
                <w:szCs w:val="20"/>
              </w:rPr>
            </w:pPr>
          </w:p>
        </w:tc>
      </w:tr>
      <w:tr w14:paraId="50CFB006">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32E2E7C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107</w:t>
            </w:r>
          </w:p>
        </w:tc>
        <w:tc>
          <w:tcPr>
            <w:tcW w:w="1981" w:type="dxa"/>
            <w:tcBorders>
              <w:top w:val="nil"/>
              <w:left w:val="nil"/>
              <w:bottom w:val="single" w:color="auto" w:sz="4" w:space="0"/>
              <w:right w:val="single" w:color="auto" w:sz="4" w:space="0"/>
            </w:tcBorders>
            <w:vAlign w:val="center"/>
          </w:tcPr>
          <w:p w14:paraId="6654784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北京星闪世图空间大数据及智慧城市应用项目</w:t>
            </w:r>
          </w:p>
        </w:tc>
        <w:tc>
          <w:tcPr>
            <w:tcW w:w="945" w:type="dxa"/>
            <w:tcBorders>
              <w:top w:val="nil"/>
              <w:left w:val="nil"/>
              <w:bottom w:val="single" w:color="auto" w:sz="4" w:space="0"/>
              <w:right w:val="single" w:color="auto" w:sz="4" w:space="0"/>
            </w:tcBorders>
            <w:vAlign w:val="center"/>
          </w:tcPr>
          <w:p w14:paraId="67BFCE3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w:t>
            </w:r>
          </w:p>
        </w:tc>
        <w:tc>
          <w:tcPr>
            <w:tcW w:w="6233" w:type="dxa"/>
            <w:tcBorders>
              <w:top w:val="nil"/>
              <w:left w:val="nil"/>
              <w:bottom w:val="single" w:color="auto" w:sz="4" w:space="0"/>
              <w:right w:val="single" w:color="auto" w:sz="4" w:space="0"/>
            </w:tcBorders>
            <w:vAlign w:val="center"/>
          </w:tcPr>
          <w:p w14:paraId="3DCF164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高新技术企业，入驻东园镇泉台人力资源服务产业园，租用200平方米办公场所，在泉州投资设立独立法人的控股子公司，项目主要用于建设三维空间智能系统软硬件集成基地与智慧城市解决方案营销中心。</w:t>
            </w:r>
          </w:p>
        </w:tc>
        <w:tc>
          <w:tcPr>
            <w:tcW w:w="1342" w:type="dxa"/>
            <w:tcBorders>
              <w:top w:val="nil"/>
              <w:left w:val="nil"/>
              <w:bottom w:val="single" w:color="auto" w:sz="4" w:space="0"/>
              <w:right w:val="single" w:color="auto" w:sz="4" w:space="0"/>
            </w:tcBorders>
            <w:vAlign w:val="center"/>
          </w:tcPr>
          <w:p w14:paraId="25158F4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w:t>
            </w:r>
          </w:p>
        </w:tc>
        <w:tc>
          <w:tcPr>
            <w:tcW w:w="1866" w:type="dxa"/>
            <w:tcBorders>
              <w:top w:val="nil"/>
              <w:left w:val="nil"/>
              <w:bottom w:val="single" w:color="auto" w:sz="4" w:space="0"/>
              <w:right w:val="single" w:color="auto" w:sz="4" w:space="0"/>
            </w:tcBorders>
            <w:vAlign w:val="center"/>
          </w:tcPr>
          <w:p w14:paraId="078835E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475F251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泉州台商投资区管委会</w:t>
            </w:r>
          </w:p>
        </w:tc>
        <w:tc>
          <w:tcPr>
            <w:tcW w:w="236" w:type="dxa"/>
            <w:vAlign w:val="center"/>
          </w:tcPr>
          <w:p w14:paraId="530D20E9">
            <w:pPr>
              <w:widowControl/>
              <w:jc w:val="left"/>
              <w:rPr>
                <w:rFonts w:ascii="Times New Roman" w:hAnsi="Times New Roman" w:eastAsia="Times New Roman" w:cs="Times New Roman"/>
                <w:kern w:val="0"/>
                <w:sz w:val="20"/>
                <w:szCs w:val="20"/>
              </w:rPr>
            </w:pPr>
          </w:p>
        </w:tc>
      </w:tr>
      <w:tr w14:paraId="7CFF1AE9">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1F25F46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108</w:t>
            </w:r>
          </w:p>
        </w:tc>
        <w:tc>
          <w:tcPr>
            <w:tcW w:w="1981" w:type="dxa"/>
            <w:tcBorders>
              <w:top w:val="nil"/>
              <w:left w:val="nil"/>
              <w:bottom w:val="single" w:color="auto" w:sz="4" w:space="0"/>
              <w:right w:val="single" w:color="auto" w:sz="4" w:space="0"/>
            </w:tcBorders>
            <w:vAlign w:val="center"/>
          </w:tcPr>
          <w:p w14:paraId="28AF3B3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领SHOW天地“短视频+直播”基地</w:t>
            </w:r>
          </w:p>
        </w:tc>
        <w:tc>
          <w:tcPr>
            <w:tcW w:w="945" w:type="dxa"/>
            <w:tcBorders>
              <w:top w:val="nil"/>
              <w:left w:val="nil"/>
              <w:bottom w:val="single" w:color="auto" w:sz="4" w:space="0"/>
              <w:right w:val="single" w:color="auto" w:sz="4" w:space="0"/>
            </w:tcBorders>
            <w:vAlign w:val="center"/>
          </w:tcPr>
          <w:p w14:paraId="50697CA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1326341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该项目选址于海西国家级广告园（泉州园）领SHOW天地创意区，园区占地198亩，拟打造成泉州短视频、直播基地产业链条完整闭环、生活配套完善、产业集聚力强的短视频+直播基地；拟打造直播间与品牌馆，建成后可为园区电商、直播企业降本增效、提高选品能力，</w:t>
            </w:r>
            <w:r>
              <w:rPr>
                <w:rFonts w:hint="eastAsia" w:ascii="Times New Roman" w:hAnsi="Times New Roman" w:eastAsia="仿宋_GB2312" w:cs="Times New Roman"/>
                <w:color w:val="000000"/>
                <w:sz w:val="22"/>
              </w:rPr>
              <w:t>助力</w:t>
            </w:r>
            <w:r>
              <w:rPr>
                <w:rFonts w:ascii="Times New Roman" w:hAnsi="Times New Roman" w:eastAsia="仿宋_GB2312" w:cs="Times New Roman"/>
                <w:color w:val="000000"/>
                <w:sz w:val="22"/>
              </w:rPr>
              <w:t>直播企业在基地的发展壮大。</w:t>
            </w:r>
          </w:p>
        </w:tc>
        <w:tc>
          <w:tcPr>
            <w:tcW w:w="1342" w:type="dxa"/>
            <w:tcBorders>
              <w:top w:val="nil"/>
              <w:left w:val="nil"/>
              <w:bottom w:val="single" w:color="auto" w:sz="4" w:space="0"/>
              <w:right w:val="single" w:color="auto" w:sz="4" w:space="0"/>
            </w:tcBorders>
            <w:vAlign w:val="center"/>
          </w:tcPr>
          <w:p w14:paraId="0B1CF75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w:t>
            </w:r>
          </w:p>
        </w:tc>
        <w:tc>
          <w:tcPr>
            <w:tcW w:w="1866" w:type="dxa"/>
            <w:tcBorders>
              <w:top w:val="nil"/>
              <w:left w:val="nil"/>
              <w:bottom w:val="single" w:color="auto" w:sz="4" w:space="0"/>
              <w:right w:val="single" w:color="auto" w:sz="4" w:space="0"/>
            </w:tcBorders>
            <w:vAlign w:val="center"/>
          </w:tcPr>
          <w:p w14:paraId="4749081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14B9349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0FC2FEC2">
            <w:pPr>
              <w:widowControl/>
              <w:jc w:val="left"/>
              <w:rPr>
                <w:rFonts w:ascii="Times New Roman" w:hAnsi="Times New Roman" w:eastAsia="Times New Roman" w:cs="Times New Roman"/>
                <w:kern w:val="0"/>
                <w:sz w:val="20"/>
                <w:szCs w:val="20"/>
              </w:rPr>
            </w:pPr>
          </w:p>
        </w:tc>
      </w:tr>
      <w:tr w14:paraId="27B9ED2A">
        <w:tblPrEx>
          <w:tblCellMar>
            <w:top w:w="0" w:type="dxa"/>
            <w:left w:w="108" w:type="dxa"/>
            <w:bottom w:w="0" w:type="dxa"/>
            <w:right w:w="108" w:type="dxa"/>
          </w:tblCellMar>
        </w:tblPrEx>
        <w:trPr>
          <w:trHeight w:val="708" w:hRule="atLeast"/>
        </w:trPr>
        <w:tc>
          <w:tcPr>
            <w:tcW w:w="566" w:type="dxa"/>
            <w:tcBorders>
              <w:top w:val="single" w:color="auto" w:sz="4" w:space="0"/>
              <w:left w:val="single" w:color="auto" w:sz="4" w:space="0"/>
              <w:bottom w:val="single" w:color="auto" w:sz="4" w:space="0"/>
              <w:right w:val="single" w:color="auto" w:sz="4" w:space="0"/>
            </w:tcBorders>
            <w:vAlign w:val="center"/>
          </w:tcPr>
          <w:p w14:paraId="72D3F62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109</w:t>
            </w:r>
          </w:p>
        </w:tc>
        <w:tc>
          <w:tcPr>
            <w:tcW w:w="1981" w:type="dxa"/>
            <w:tcBorders>
              <w:top w:val="single" w:color="auto" w:sz="4" w:space="0"/>
              <w:left w:val="nil"/>
              <w:bottom w:val="single" w:color="auto" w:sz="4" w:space="0"/>
              <w:right w:val="single" w:color="auto" w:sz="4" w:space="0"/>
            </w:tcBorders>
            <w:vAlign w:val="center"/>
          </w:tcPr>
          <w:p w14:paraId="223C6EB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智能园区运营管理平台</w:t>
            </w:r>
          </w:p>
        </w:tc>
        <w:tc>
          <w:tcPr>
            <w:tcW w:w="945" w:type="dxa"/>
            <w:tcBorders>
              <w:top w:val="single" w:color="auto" w:sz="4" w:space="0"/>
              <w:left w:val="nil"/>
              <w:bottom w:val="single" w:color="auto" w:sz="4" w:space="0"/>
              <w:right w:val="single" w:color="auto" w:sz="4" w:space="0"/>
            </w:tcBorders>
            <w:vAlign w:val="center"/>
          </w:tcPr>
          <w:p w14:paraId="3F37A56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single" w:color="auto" w:sz="4" w:space="0"/>
              <w:left w:val="nil"/>
              <w:bottom w:val="single" w:color="auto" w:sz="4" w:space="0"/>
              <w:right w:val="single" w:color="auto" w:sz="4" w:space="0"/>
            </w:tcBorders>
            <w:vAlign w:val="center"/>
          </w:tcPr>
          <w:p w14:paraId="2740A09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通过信息技术、物联网技术、自动控制技术、传感器技术、数据分析与挖掘技术支撑物流园区业务活动的综合系统，通过数据采集，数据驱动，信息链接实现仓储、运输、配送等物流各环节互联互通，进而延伸至所有业务场景数字化。基于业务数字化，实现全过程透明可追溯，为客户输出多元化数据支持，帮助客户实时掌握货品状态，为客户提供入场离场的控制、运作线路的选择、库存水平的确定、库区库位的决策、补货时机的把握、自动分拣的运行、备库备货的时机等关键问题的深度分析与决策支持。项目实施完成后，预计智能园区整体运营效率提升1倍以上。</w:t>
            </w:r>
          </w:p>
        </w:tc>
        <w:tc>
          <w:tcPr>
            <w:tcW w:w="1342" w:type="dxa"/>
            <w:tcBorders>
              <w:top w:val="single" w:color="auto" w:sz="4" w:space="0"/>
              <w:left w:val="nil"/>
              <w:bottom w:val="single" w:color="auto" w:sz="4" w:space="0"/>
              <w:right w:val="single" w:color="auto" w:sz="4" w:space="0"/>
            </w:tcBorders>
            <w:vAlign w:val="center"/>
          </w:tcPr>
          <w:p w14:paraId="1463609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0.28</w:t>
            </w:r>
          </w:p>
        </w:tc>
        <w:tc>
          <w:tcPr>
            <w:tcW w:w="1866" w:type="dxa"/>
            <w:tcBorders>
              <w:top w:val="single" w:color="auto" w:sz="4" w:space="0"/>
              <w:left w:val="nil"/>
              <w:bottom w:val="single" w:color="auto" w:sz="4" w:space="0"/>
              <w:right w:val="single" w:color="auto" w:sz="4" w:space="0"/>
            </w:tcBorders>
            <w:vAlign w:val="center"/>
          </w:tcPr>
          <w:p w14:paraId="4130D3A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single" w:color="auto" w:sz="4" w:space="0"/>
              <w:left w:val="nil"/>
              <w:bottom w:val="single" w:color="auto" w:sz="4" w:space="0"/>
              <w:right w:val="single" w:color="auto" w:sz="4" w:space="0"/>
            </w:tcBorders>
            <w:vAlign w:val="center"/>
          </w:tcPr>
          <w:p w14:paraId="6D68701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1F0F0695">
            <w:pPr>
              <w:widowControl/>
              <w:jc w:val="left"/>
              <w:rPr>
                <w:rFonts w:ascii="Times New Roman" w:hAnsi="Times New Roman" w:eastAsia="Times New Roman" w:cs="Times New Roman"/>
                <w:kern w:val="0"/>
                <w:sz w:val="20"/>
                <w:szCs w:val="20"/>
              </w:rPr>
            </w:pPr>
          </w:p>
        </w:tc>
      </w:tr>
      <w:tr w14:paraId="280E8E90">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2EFDD27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110</w:t>
            </w:r>
          </w:p>
        </w:tc>
        <w:tc>
          <w:tcPr>
            <w:tcW w:w="1981" w:type="dxa"/>
            <w:tcBorders>
              <w:top w:val="single" w:color="auto" w:sz="4" w:space="0"/>
              <w:left w:val="nil"/>
              <w:bottom w:val="single" w:color="auto" w:sz="4" w:space="0"/>
              <w:right w:val="single" w:color="auto" w:sz="4" w:space="0"/>
            </w:tcBorders>
            <w:vAlign w:val="center"/>
          </w:tcPr>
          <w:p w14:paraId="3F8F01F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智慧海洋（祥芝渔港公司渔港智能检测与综合管理平台）</w:t>
            </w:r>
          </w:p>
        </w:tc>
        <w:tc>
          <w:tcPr>
            <w:tcW w:w="945" w:type="dxa"/>
            <w:tcBorders>
              <w:top w:val="single" w:color="auto" w:sz="4" w:space="0"/>
              <w:left w:val="nil"/>
              <w:bottom w:val="single" w:color="auto" w:sz="4" w:space="0"/>
              <w:right w:val="single" w:color="auto" w:sz="4" w:space="0"/>
            </w:tcBorders>
            <w:vAlign w:val="center"/>
          </w:tcPr>
          <w:p w14:paraId="223F298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single" w:color="auto" w:sz="4" w:space="0"/>
              <w:left w:val="nil"/>
              <w:bottom w:val="single" w:color="auto" w:sz="4" w:space="0"/>
              <w:right w:val="single" w:color="auto" w:sz="4" w:space="0"/>
            </w:tcBorders>
            <w:vAlign w:val="center"/>
          </w:tcPr>
          <w:p w14:paraId="4739F9D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渔港管理系统建设，通过该系统平台实现智能调度渔港内的车辆、渔船、维护渔船有序靠泊、渔货装货秩序、管理渔船和船员、实时保障船只安全及船员的生命健康等。</w:t>
            </w:r>
          </w:p>
        </w:tc>
        <w:tc>
          <w:tcPr>
            <w:tcW w:w="1342" w:type="dxa"/>
            <w:tcBorders>
              <w:top w:val="single" w:color="auto" w:sz="4" w:space="0"/>
              <w:left w:val="nil"/>
              <w:bottom w:val="single" w:color="auto" w:sz="4" w:space="0"/>
              <w:right w:val="single" w:color="auto" w:sz="4" w:space="0"/>
            </w:tcBorders>
            <w:vAlign w:val="center"/>
          </w:tcPr>
          <w:p w14:paraId="3F30331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0.15</w:t>
            </w:r>
          </w:p>
        </w:tc>
        <w:tc>
          <w:tcPr>
            <w:tcW w:w="1866" w:type="dxa"/>
            <w:tcBorders>
              <w:top w:val="single" w:color="auto" w:sz="4" w:space="0"/>
              <w:left w:val="nil"/>
              <w:bottom w:val="single" w:color="auto" w:sz="4" w:space="0"/>
              <w:right w:val="single" w:color="auto" w:sz="4" w:space="0"/>
            </w:tcBorders>
            <w:vAlign w:val="center"/>
          </w:tcPr>
          <w:p w14:paraId="37E94E0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single" w:color="auto" w:sz="4" w:space="0"/>
              <w:left w:val="nil"/>
              <w:bottom w:val="single" w:color="auto" w:sz="4" w:space="0"/>
              <w:right w:val="single" w:color="auto" w:sz="4" w:space="0"/>
            </w:tcBorders>
            <w:vAlign w:val="center"/>
          </w:tcPr>
          <w:p w14:paraId="0FD48AA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629CF4B9">
            <w:pPr>
              <w:widowControl/>
              <w:jc w:val="left"/>
              <w:rPr>
                <w:rFonts w:ascii="Times New Roman" w:hAnsi="Times New Roman" w:eastAsia="Times New Roman" w:cs="Times New Roman"/>
                <w:kern w:val="0"/>
                <w:sz w:val="20"/>
                <w:szCs w:val="20"/>
              </w:rPr>
            </w:pPr>
          </w:p>
        </w:tc>
      </w:tr>
      <w:tr w14:paraId="6C49B406">
        <w:tblPrEx>
          <w:tblCellMar>
            <w:top w:w="0" w:type="dxa"/>
            <w:left w:w="108" w:type="dxa"/>
            <w:bottom w:w="0" w:type="dxa"/>
            <w:right w:w="108" w:type="dxa"/>
          </w:tblCellMar>
        </w:tblPrEx>
        <w:trPr>
          <w:trHeight w:val="1728" w:hRule="atLeast"/>
        </w:trPr>
        <w:tc>
          <w:tcPr>
            <w:tcW w:w="566" w:type="dxa"/>
            <w:tcBorders>
              <w:top w:val="nil"/>
              <w:left w:val="single" w:color="auto" w:sz="4" w:space="0"/>
              <w:bottom w:val="single" w:color="auto" w:sz="4" w:space="0"/>
              <w:right w:val="single" w:color="auto" w:sz="4" w:space="0"/>
            </w:tcBorders>
            <w:vAlign w:val="center"/>
          </w:tcPr>
          <w:p w14:paraId="6D65AA8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111</w:t>
            </w:r>
          </w:p>
        </w:tc>
        <w:tc>
          <w:tcPr>
            <w:tcW w:w="1981" w:type="dxa"/>
            <w:tcBorders>
              <w:top w:val="nil"/>
              <w:left w:val="nil"/>
              <w:bottom w:val="single" w:color="auto" w:sz="4" w:space="0"/>
              <w:right w:val="single" w:color="auto" w:sz="4" w:space="0"/>
            </w:tcBorders>
            <w:vAlign w:val="center"/>
          </w:tcPr>
          <w:p w14:paraId="69E9C58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小滴哥网络科技公务出行平台</w:t>
            </w:r>
          </w:p>
        </w:tc>
        <w:tc>
          <w:tcPr>
            <w:tcW w:w="945" w:type="dxa"/>
            <w:tcBorders>
              <w:top w:val="nil"/>
              <w:left w:val="nil"/>
              <w:bottom w:val="single" w:color="auto" w:sz="4" w:space="0"/>
              <w:right w:val="single" w:color="auto" w:sz="4" w:space="0"/>
            </w:tcBorders>
            <w:vAlign w:val="center"/>
          </w:tcPr>
          <w:p w14:paraId="7844D0E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20C0877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公务出行平台于2016年11月份开发完毕开始投入运营，主要为政企单位提供公务出行服务，通过“一张网”的信息化管理，打破信息孤岛，实现公务车的统一管理和调度，降本增效。目前服务范围覆盖省内外多地，平台各地服务管理的车辆总数已达3万多台，每日派车订单已超5000单，服务单位超8000家，用户数量超14万。</w:t>
            </w:r>
          </w:p>
        </w:tc>
        <w:tc>
          <w:tcPr>
            <w:tcW w:w="1342" w:type="dxa"/>
            <w:tcBorders>
              <w:top w:val="nil"/>
              <w:left w:val="nil"/>
              <w:bottom w:val="single" w:color="auto" w:sz="4" w:space="0"/>
              <w:right w:val="single" w:color="auto" w:sz="4" w:space="0"/>
            </w:tcBorders>
            <w:vAlign w:val="center"/>
          </w:tcPr>
          <w:p w14:paraId="6390CAA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0.2476</w:t>
            </w:r>
          </w:p>
        </w:tc>
        <w:tc>
          <w:tcPr>
            <w:tcW w:w="1866" w:type="dxa"/>
            <w:tcBorders>
              <w:top w:val="nil"/>
              <w:left w:val="nil"/>
              <w:bottom w:val="single" w:color="auto" w:sz="4" w:space="0"/>
              <w:right w:val="single" w:color="auto" w:sz="4" w:space="0"/>
            </w:tcBorders>
            <w:vAlign w:val="center"/>
          </w:tcPr>
          <w:p w14:paraId="517EDE7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6B8DD73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0C9D21D9">
            <w:pPr>
              <w:widowControl/>
              <w:jc w:val="left"/>
              <w:rPr>
                <w:rFonts w:ascii="Times New Roman" w:hAnsi="Times New Roman" w:eastAsia="Times New Roman" w:cs="Times New Roman"/>
                <w:kern w:val="0"/>
                <w:sz w:val="20"/>
                <w:szCs w:val="20"/>
              </w:rPr>
            </w:pPr>
          </w:p>
        </w:tc>
      </w:tr>
      <w:tr w14:paraId="488C88B7">
        <w:tblPrEx>
          <w:tblCellMar>
            <w:top w:w="0" w:type="dxa"/>
            <w:left w:w="108" w:type="dxa"/>
            <w:bottom w:w="0" w:type="dxa"/>
            <w:right w:w="108" w:type="dxa"/>
          </w:tblCellMar>
        </w:tblPrEx>
        <w:trPr>
          <w:trHeight w:val="1728" w:hRule="atLeast"/>
        </w:trPr>
        <w:tc>
          <w:tcPr>
            <w:tcW w:w="566" w:type="dxa"/>
            <w:tcBorders>
              <w:top w:val="nil"/>
              <w:left w:val="single" w:color="auto" w:sz="4" w:space="0"/>
              <w:bottom w:val="single" w:color="auto" w:sz="4" w:space="0"/>
              <w:right w:val="single" w:color="auto" w:sz="4" w:space="0"/>
            </w:tcBorders>
            <w:vAlign w:val="center"/>
          </w:tcPr>
          <w:p w14:paraId="7A68F68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112</w:t>
            </w:r>
          </w:p>
        </w:tc>
        <w:tc>
          <w:tcPr>
            <w:tcW w:w="1981" w:type="dxa"/>
            <w:tcBorders>
              <w:top w:val="nil"/>
              <w:left w:val="nil"/>
              <w:bottom w:val="single" w:color="auto" w:sz="4" w:space="0"/>
              <w:right w:val="single" w:color="auto" w:sz="4" w:space="0"/>
            </w:tcBorders>
            <w:vAlign w:val="center"/>
          </w:tcPr>
          <w:p w14:paraId="402B65C3">
            <w:pPr>
              <w:rPr>
                <w:rFonts w:ascii="Times New Roman" w:hAnsi="Times New Roman" w:eastAsia="仿宋_GB2312" w:cs="Times New Roman"/>
                <w:sz w:val="22"/>
              </w:rPr>
            </w:pPr>
            <w:r>
              <w:rPr>
                <w:rFonts w:ascii="Times New Roman" w:hAnsi="Times New Roman" w:eastAsia="仿宋_GB2312" w:cs="Times New Roman"/>
                <w:sz w:val="22"/>
              </w:rPr>
              <w:t>尚食云链工业互联网服务平台</w:t>
            </w:r>
          </w:p>
        </w:tc>
        <w:tc>
          <w:tcPr>
            <w:tcW w:w="945" w:type="dxa"/>
            <w:tcBorders>
              <w:top w:val="nil"/>
              <w:left w:val="nil"/>
              <w:bottom w:val="single" w:color="auto" w:sz="4" w:space="0"/>
              <w:right w:val="single" w:color="auto" w:sz="4" w:space="0"/>
            </w:tcBorders>
            <w:vAlign w:val="center"/>
          </w:tcPr>
          <w:p w14:paraId="21217692">
            <w:pPr>
              <w:jc w:val="center"/>
              <w:rPr>
                <w:rFonts w:ascii="Times New Roman" w:hAnsi="Times New Roman" w:eastAsia="仿宋_GB2312" w:cs="Times New Roman"/>
                <w:sz w:val="22"/>
              </w:rPr>
            </w:pPr>
            <w:r>
              <w:rPr>
                <w:rFonts w:ascii="Times New Roman" w:hAnsi="Times New Roman" w:eastAsia="仿宋_GB2312" w:cs="Times New Roman"/>
                <w:sz w:val="22"/>
              </w:rPr>
              <w:t>丰泽区</w:t>
            </w:r>
          </w:p>
        </w:tc>
        <w:tc>
          <w:tcPr>
            <w:tcW w:w="6233" w:type="dxa"/>
            <w:tcBorders>
              <w:top w:val="nil"/>
              <w:left w:val="nil"/>
              <w:bottom w:val="single" w:color="auto" w:sz="4" w:space="0"/>
              <w:right w:val="single" w:color="auto" w:sz="4" w:space="0"/>
            </w:tcBorders>
            <w:vAlign w:val="center"/>
          </w:tcPr>
          <w:p w14:paraId="146CCA4A">
            <w:pPr>
              <w:rPr>
                <w:rFonts w:ascii="Times New Roman" w:hAnsi="Times New Roman" w:eastAsia="仿宋_GB2312" w:cs="Times New Roman"/>
                <w:sz w:val="22"/>
              </w:rPr>
            </w:pPr>
            <w:r>
              <w:rPr>
                <w:rFonts w:ascii="Times New Roman" w:hAnsi="Times New Roman" w:eastAsia="仿宋_GB2312" w:cs="Times New Roman"/>
                <w:sz w:val="22"/>
              </w:rPr>
              <w:t>“尚食云链”食品工业互联网服务平台由食品工业数字化建设、“食尚云采”食品原辅材料交易平台、综合业务服务以及“食尚商学院”食品行业总裁班四部分组成，依托互联网、云计算、大数据、区块链等先进的信息技术进行数据化、精细化管理，为食品企业技术改造升级提供数据支撑，整合优化产业供应链，保障食品安全，全面提升泉州市食品行业在全国的市场竞争力。</w:t>
            </w:r>
          </w:p>
        </w:tc>
        <w:tc>
          <w:tcPr>
            <w:tcW w:w="1342" w:type="dxa"/>
            <w:tcBorders>
              <w:top w:val="nil"/>
              <w:left w:val="nil"/>
              <w:bottom w:val="single" w:color="auto" w:sz="4" w:space="0"/>
              <w:right w:val="single" w:color="auto" w:sz="4" w:space="0"/>
            </w:tcBorders>
            <w:vAlign w:val="center"/>
          </w:tcPr>
          <w:p w14:paraId="7D8E78C1">
            <w:pPr>
              <w:jc w:val="center"/>
              <w:rPr>
                <w:rFonts w:ascii="Times New Roman" w:hAnsi="Times New Roman" w:eastAsia="仿宋_GB2312" w:cs="Times New Roman"/>
                <w:sz w:val="22"/>
              </w:rPr>
            </w:pPr>
            <w:r>
              <w:rPr>
                <w:rFonts w:ascii="Times New Roman" w:hAnsi="Times New Roman" w:eastAsia="仿宋_GB2312" w:cs="Times New Roman"/>
                <w:sz w:val="22"/>
              </w:rPr>
              <w:t>2</w:t>
            </w:r>
          </w:p>
        </w:tc>
        <w:tc>
          <w:tcPr>
            <w:tcW w:w="1866" w:type="dxa"/>
            <w:tcBorders>
              <w:top w:val="nil"/>
              <w:left w:val="nil"/>
              <w:bottom w:val="single" w:color="auto" w:sz="4" w:space="0"/>
              <w:right w:val="single" w:color="auto" w:sz="4" w:space="0"/>
            </w:tcBorders>
            <w:vAlign w:val="center"/>
          </w:tcPr>
          <w:p w14:paraId="7CFBFBC1">
            <w:pPr>
              <w:jc w:val="center"/>
              <w:rPr>
                <w:rFonts w:ascii="Times New Roman" w:hAnsi="Times New Roman" w:eastAsia="仿宋_GB2312" w:cs="Times New Roman"/>
                <w:sz w:val="22"/>
              </w:rPr>
            </w:pPr>
            <w:r>
              <w:rPr>
                <w:rFonts w:ascii="Times New Roman" w:hAnsi="Times New Roman" w:eastAsia="仿宋_GB2312" w:cs="Times New Roman"/>
                <w:sz w:val="22"/>
              </w:rPr>
              <w:t>2021-2025</w:t>
            </w:r>
          </w:p>
        </w:tc>
        <w:tc>
          <w:tcPr>
            <w:tcW w:w="1145" w:type="dxa"/>
            <w:tcBorders>
              <w:top w:val="nil"/>
              <w:left w:val="nil"/>
              <w:bottom w:val="single" w:color="auto" w:sz="4" w:space="0"/>
              <w:right w:val="single" w:color="auto" w:sz="4" w:space="0"/>
            </w:tcBorders>
            <w:vAlign w:val="center"/>
          </w:tcPr>
          <w:p w14:paraId="70117ECA">
            <w:pPr>
              <w:jc w:val="center"/>
              <w:rPr>
                <w:rFonts w:ascii="Times New Roman" w:hAnsi="Times New Roman" w:eastAsia="仿宋_GB2312" w:cs="Times New Roman"/>
                <w:sz w:val="22"/>
              </w:rPr>
            </w:pPr>
            <w:r>
              <w:rPr>
                <w:rFonts w:ascii="Times New Roman" w:hAnsi="Times New Roman" w:eastAsia="仿宋_GB2312" w:cs="Times New Roman"/>
                <w:sz w:val="22"/>
              </w:rPr>
              <w:t>丰泽区人民政府</w:t>
            </w:r>
          </w:p>
        </w:tc>
        <w:tc>
          <w:tcPr>
            <w:tcW w:w="236" w:type="dxa"/>
            <w:vAlign w:val="center"/>
          </w:tcPr>
          <w:p w14:paraId="6432EBE4">
            <w:pPr>
              <w:widowControl/>
              <w:jc w:val="left"/>
              <w:rPr>
                <w:rFonts w:ascii="Times New Roman" w:hAnsi="Times New Roman" w:eastAsia="Times New Roman" w:cs="Times New Roman"/>
                <w:kern w:val="0"/>
                <w:sz w:val="20"/>
                <w:szCs w:val="20"/>
              </w:rPr>
            </w:pPr>
          </w:p>
        </w:tc>
      </w:tr>
      <w:tr w14:paraId="76385636">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A788C5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113</w:t>
            </w:r>
          </w:p>
        </w:tc>
        <w:tc>
          <w:tcPr>
            <w:tcW w:w="1981" w:type="dxa"/>
            <w:tcBorders>
              <w:top w:val="nil"/>
              <w:left w:val="nil"/>
              <w:bottom w:val="single" w:color="auto" w:sz="4" w:space="0"/>
              <w:right w:val="single" w:color="auto" w:sz="4" w:space="0"/>
            </w:tcBorders>
            <w:vAlign w:val="center"/>
          </w:tcPr>
          <w:p w14:paraId="70EB1367">
            <w:pPr>
              <w:rPr>
                <w:rFonts w:ascii="Times New Roman" w:hAnsi="Times New Roman" w:eastAsia="仿宋_GB2312" w:cs="Times New Roman"/>
                <w:sz w:val="22"/>
              </w:rPr>
            </w:pPr>
            <w:r>
              <w:rPr>
                <w:rFonts w:ascii="Times New Roman" w:hAnsi="Times New Roman" w:eastAsia="仿宋_GB2312" w:cs="Times New Roman"/>
                <w:sz w:val="22"/>
              </w:rPr>
              <w:t>时誉高精科技项目</w:t>
            </w:r>
          </w:p>
        </w:tc>
        <w:tc>
          <w:tcPr>
            <w:tcW w:w="945" w:type="dxa"/>
            <w:tcBorders>
              <w:top w:val="nil"/>
              <w:left w:val="nil"/>
              <w:bottom w:val="single" w:color="auto" w:sz="4" w:space="0"/>
              <w:right w:val="single" w:color="auto" w:sz="4" w:space="0"/>
            </w:tcBorders>
            <w:vAlign w:val="center"/>
          </w:tcPr>
          <w:p w14:paraId="6667A880">
            <w:pPr>
              <w:jc w:val="center"/>
              <w:rPr>
                <w:rFonts w:ascii="Times New Roman" w:hAnsi="Times New Roman" w:eastAsia="仿宋_GB2312" w:cs="Times New Roman"/>
                <w:sz w:val="22"/>
              </w:rPr>
            </w:pPr>
            <w:r>
              <w:rPr>
                <w:rFonts w:ascii="Times New Roman" w:hAnsi="Times New Roman" w:eastAsia="仿宋_GB2312" w:cs="Times New Roman"/>
                <w:sz w:val="22"/>
              </w:rPr>
              <w:t>洛江区</w:t>
            </w:r>
          </w:p>
        </w:tc>
        <w:tc>
          <w:tcPr>
            <w:tcW w:w="6233" w:type="dxa"/>
            <w:tcBorders>
              <w:top w:val="nil"/>
              <w:left w:val="nil"/>
              <w:bottom w:val="single" w:color="auto" w:sz="4" w:space="0"/>
              <w:right w:val="single" w:color="auto" w:sz="4" w:space="0"/>
            </w:tcBorders>
            <w:vAlign w:val="center"/>
          </w:tcPr>
          <w:p w14:paraId="04D8B942">
            <w:pPr>
              <w:rPr>
                <w:rFonts w:ascii="Times New Roman" w:hAnsi="Times New Roman" w:eastAsia="仿宋_GB2312" w:cs="Times New Roman"/>
                <w:sz w:val="22"/>
              </w:rPr>
            </w:pPr>
            <w:r>
              <w:rPr>
                <w:rFonts w:ascii="Times New Roman" w:hAnsi="Times New Roman" w:eastAsia="仿宋_GB2312" w:cs="Times New Roman"/>
                <w:sz w:val="22"/>
              </w:rPr>
              <w:t>项目拟建设厂房10000平方米，用于生产销售电子产品，调光器，温控器，智能家居，计算机软件开发，汽车电子等。</w:t>
            </w:r>
          </w:p>
        </w:tc>
        <w:tc>
          <w:tcPr>
            <w:tcW w:w="1342" w:type="dxa"/>
            <w:tcBorders>
              <w:top w:val="nil"/>
              <w:left w:val="nil"/>
              <w:bottom w:val="single" w:color="auto" w:sz="4" w:space="0"/>
              <w:right w:val="single" w:color="auto" w:sz="4" w:space="0"/>
            </w:tcBorders>
            <w:vAlign w:val="center"/>
          </w:tcPr>
          <w:p w14:paraId="073DAF27">
            <w:pPr>
              <w:jc w:val="center"/>
              <w:rPr>
                <w:rFonts w:ascii="Times New Roman" w:hAnsi="Times New Roman" w:eastAsia="仿宋_GB2312" w:cs="Times New Roman"/>
                <w:sz w:val="22"/>
              </w:rPr>
            </w:pPr>
            <w:r>
              <w:rPr>
                <w:rFonts w:ascii="Times New Roman" w:hAnsi="Times New Roman" w:eastAsia="仿宋_GB2312" w:cs="Times New Roman"/>
                <w:sz w:val="22"/>
              </w:rPr>
              <w:t>3</w:t>
            </w:r>
          </w:p>
        </w:tc>
        <w:tc>
          <w:tcPr>
            <w:tcW w:w="1866" w:type="dxa"/>
            <w:tcBorders>
              <w:top w:val="nil"/>
              <w:left w:val="nil"/>
              <w:bottom w:val="single" w:color="auto" w:sz="4" w:space="0"/>
              <w:right w:val="single" w:color="auto" w:sz="4" w:space="0"/>
            </w:tcBorders>
            <w:vAlign w:val="center"/>
          </w:tcPr>
          <w:p w14:paraId="2A4D4C5D">
            <w:pPr>
              <w:jc w:val="center"/>
              <w:rPr>
                <w:rFonts w:ascii="Times New Roman" w:hAnsi="Times New Roman" w:eastAsia="仿宋_GB2312" w:cs="Times New Roman"/>
                <w:sz w:val="22"/>
              </w:rPr>
            </w:pPr>
            <w:r>
              <w:rPr>
                <w:rFonts w:ascii="Times New Roman" w:hAnsi="Times New Roman" w:eastAsia="仿宋_GB2312" w:cs="Times New Roman"/>
                <w:sz w:val="22"/>
              </w:rPr>
              <w:t>2022-2024</w:t>
            </w:r>
          </w:p>
        </w:tc>
        <w:tc>
          <w:tcPr>
            <w:tcW w:w="1145" w:type="dxa"/>
            <w:tcBorders>
              <w:top w:val="nil"/>
              <w:left w:val="nil"/>
              <w:bottom w:val="single" w:color="auto" w:sz="4" w:space="0"/>
              <w:right w:val="single" w:color="auto" w:sz="4" w:space="0"/>
            </w:tcBorders>
            <w:vAlign w:val="center"/>
          </w:tcPr>
          <w:p w14:paraId="3E312708">
            <w:pPr>
              <w:jc w:val="center"/>
              <w:rPr>
                <w:rFonts w:ascii="Times New Roman" w:hAnsi="Times New Roman" w:eastAsia="仿宋_GB2312" w:cs="Times New Roman"/>
                <w:sz w:val="22"/>
              </w:rPr>
            </w:pPr>
            <w:r>
              <w:rPr>
                <w:rFonts w:ascii="Times New Roman" w:hAnsi="Times New Roman" w:eastAsia="仿宋_GB2312" w:cs="Times New Roman"/>
                <w:sz w:val="22"/>
              </w:rPr>
              <w:t>洛江区人民政府</w:t>
            </w:r>
          </w:p>
        </w:tc>
        <w:tc>
          <w:tcPr>
            <w:tcW w:w="236" w:type="dxa"/>
            <w:vAlign w:val="center"/>
          </w:tcPr>
          <w:p w14:paraId="55E1B162">
            <w:pPr>
              <w:widowControl/>
              <w:jc w:val="left"/>
              <w:rPr>
                <w:rFonts w:ascii="Times New Roman" w:hAnsi="Times New Roman" w:eastAsia="Times New Roman" w:cs="Times New Roman"/>
                <w:kern w:val="0"/>
                <w:sz w:val="20"/>
                <w:szCs w:val="20"/>
              </w:rPr>
            </w:pPr>
          </w:p>
        </w:tc>
      </w:tr>
      <w:tr w14:paraId="39743506">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35BE8CC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114</w:t>
            </w:r>
          </w:p>
        </w:tc>
        <w:tc>
          <w:tcPr>
            <w:tcW w:w="1981" w:type="dxa"/>
            <w:tcBorders>
              <w:top w:val="nil"/>
              <w:left w:val="nil"/>
              <w:bottom w:val="single" w:color="auto" w:sz="4" w:space="0"/>
              <w:right w:val="single" w:color="auto" w:sz="4" w:space="0"/>
            </w:tcBorders>
            <w:vAlign w:val="center"/>
          </w:tcPr>
          <w:p w14:paraId="1EEF265C">
            <w:pPr>
              <w:rPr>
                <w:rFonts w:ascii="Times New Roman" w:hAnsi="Times New Roman" w:eastAsia="仿宋_GB2312" w:cs="Times New Roman"/>
                <w:sz w:val="22"/>
              </w:rPr>
            </w:pPr>
            <w:r>
              <w:rPr>
                <w:rFonts w:ascii="Times New Roman" w:hAnsi="Times New Roman" w:eastAsia="仿宋_GB2312" w:cs="Times New Roman"/>
                <w:sz w:val="22"/>
              </w:rPr>
              <w:t>芯片用化学机械CMP</w:t>
            </w:r>
          </w:p>
        </w:tc>
        <w:tc>
          <w:tcPr>
            <w:tcW w:w="945" w:type="dxa"/>
            <w:tcBorders>
              <w:top w:val="nil"/>
              <w:left w:val="nil"/>
              <w:bottom w:val="single" w:color="auto" w:sz="4" w:space="0"/>
              <w:right w:val="single" w:color="auto" w:sz="4" w:space="0"/>
            </w:tcBorders>
            <w:vAlign w:val="center"/>
          </w:tcPr>
          <w:p w14:paraId="6BCEB1B0">
            <w:pPr>
              <w:jc w:val="center"/>
              <w:rPr>
                <w:rFonts w:ascii="Times New Roman" w:hAnsi="Times New Roman" w:eastAsia="仿宋_GB2312" w:cs="Times New Roman"/>
                <w:sz w:val="22"/>
              </w:rPr>
            </w:pPr>
            <w:r>
              <w:rPr>
                <w:rFonts w:ascii="Times New Roman" w:hAnsi="Times New Roman" w:eastAsia="仿宋_GB2312" w:cs="Times New Roman"/>
                <w:sz w:val="22"/>
              </w:rPr>
              <w:t>石狮市</w:t>
            </w:r>
          </w:p>
        </w:tc>
        <w:tc>
          <w:tcPr>
            <w:tcW w:w="6233" w:type="dxa"/>
            <w:tcBorders>
              <w:top w:val="nil"/>
              <w:left w:val="nil"/>
              <w:bottom w:val="single" w:color="auto" w:sz="4" w:space="0"/>
              <w:right w:val="single" w:color="auto" w:sz="4" w:space="0"/>
            </w:tcBorders>
            <w:vAlign w:val="center"/>
          </w:tcPr>
          <w:p w14:paraId="268F1A6C">
            <w:pPr>
              <w:rPr>
                <w:rFonts w:ascii="Times New Roman" w:hAnsi="Times New Roman" w:eastAsia="仿宋_GB2312" w:cs="Times New Roman"/>
                <w:sz w:val="22"/>
              </w:rPr>
            </w:pPr>
            <w:r>
              <w:rPr>
                <w:rFonts w:ascii="Times New Roman" w:hAnsi="Times New Roman" w:eastAsia="仿宋_GB2312" w:cs="Times New Roman"/>
                <w:sz w:val="22"/>
              </w:rPr>
              <w:t>项目总投资2亿元，拟与广州市中山大学合作，由中山大学提供技术支持，投资生产芯片用化学机械CMP，年产值2亿元，年纳税800万元。</w:t>
            </w:r>
          </w:p>
        </w:tc>
        <w:tc>
          <w:tcPr>
            <w:tcW w:w="1342" w:type="dxa"/>
            <w:tcBorders>
              <w:top w:val="nil"/>
              <w:left w:val="nil"/>
              <w:bottom w:val="single" w:color="auto" w:sz="4" w:space="0"/>
              <w:right w:val="single" w:color="auto" w:sz="4" w:space="0"/>
            </w:tcBorders>
            <w:vAlign w:val="center"/>
          </w:tcPr>
          <w:p w14:paraId="231D4297">
            <w:pPr>
              <w:jc w:val="center"/>
              <w:rPr>
                <w:rFonts w:ascii="Times New Roman" w:hAnsi="Times New Roman" w:eastAsia="仿宋_GB2312" w:cs="Times New Roman"/>
                <w:sz w:val="22"/>
              </w:rPr>
            </w:pPr>
            <w:r>
              <w:rPr>
                <w:rFonts w:ascii="Times New Roman" w:hAnsi="Times New Roman" w:eastAsia="仿宋_GB2312" w:cs="Times New Roman"/>
                <w:sz w:val="22"/>
              </w:rPr>
              <w:t>2</w:t>
            </w:r>
          </w:p>
        </w:tc>
        <w:tc>
          <w:tcPr>
            <w:tcW w:w="1866" w:type="dxa"/>
            <w:tcBorders>
              <w:top w:val="nil"/>
              <w:left w:val="nil"/>
              <w:bottom w:val="single" w:color="auto" w:sz="4" w:space="0"/>
              <w:right w:val="single" w:color="auto" w:sz="4" w:space="0"/>
            </w:tcBorders>
            <w:vAlign w:val="center"/>
          </w:tcPr>
          <w:p w14:paraId="271E2CC8">
            <w:pPr>
              <w:jc w:val="center"/>
              <w:rPr>
                <w:rFonts w:ascii="Times New Roman" w:hAnsi="Times New Roman" w:eastAsia="仿宋_GB2312" w:cs="Times New Roman"/>
                <w:sz w:val="22"/>
              </w:rPr>
            </w:pPr>
            <w:r>
              <w:rPr>
                <w:rFonts w:ascii="Times New Roman" w:hAnsi="Times New Roman" w:eastAsia="仿宋_GB2312" w:cs="Times New Roman"/>
                <w:sz w:val="22"/>
              </w:rPr>
              <w:t>2022-2024</w:t>
            </w:r>
          </w:p>
        </w:tc>
        <w:tc>
          <w:tcPr>
            <w:tcW w:w="1145" w:type="dxa"/>
            <w:tcBorders>
              <w:top w:val="nil"/>
              <w:left w:val="nil"/>
              <w:bottom w:val="single" w:color="auto" w:sz="4" w:space="0"/>
              <w:right w:val="single" w:color="auto" w:sz="4" w:space="0"/>
            </w:tcBorders>
            <w:vAlign w:val="center"/>
          </w:tcPr>
          <w:p w14:paraId="6B52CB4B">
            <w:pPr>
              <w:jc w:val="center"/>
              <w:rPr>
                <w:rFonts w:ascii="Times New Roman" w:hAnsi="Times New Roman" w:eastAsia="仿宋_GB2312" w:cs="Times New Roman"/>
                <w:sz w:val="22"/>
              </w:rPr>
            </w:pPr>
            <w:r>
              <w:rPr>
                <w:rFonts w:ascii="Times New Roman" w:hAnsi="Times New Roman" w:eastAsia="仿宋_GB2312" w:cs="Times New Roman"/>
                <w:sz w:val="22"/>
              </w:rPr>
              <w:t>石狮市人民政府</w:t>
            </w:r>
          </w:p>
        </w:tc>
        <w:tc>
          <w:tcPr>
            <w:tcW w:w="236" w:type="dxa"/>
            <w:vAlign w:val="center"/>
          </w:tcPr>
          <w:p w14:paraId="31526487">
            <w:pPr>
              <w:widowControl/>
              <w:jc w:val="left"/>
              <w:rPr>
                <w:rFonts w:ascii="Times New Roman" w:hAnsi="Times New Roman" w:eastAsia="Times New Roman" w:cs="Times New Roman"/>
                <w:kern w:val="0"/>
                <w:sz w:val="20"/>
                <w:szCs w:val="20"/>
              </w:rPr>
            </w:pPr>
          </w:p>
        </w:tc>
      </w:tr>
      <w:tr w14:paraId="67803EA0">
        <w:tblPrEx>
          <w:tblCellMar>
            <w:top w:w="0" w:type="dxa"/>
            <w:left w:w="108" w:type="dxa"/>
            <w:bottom w:w="0" w:type="dxa"/>
            <w:right w:w="108" w:type="dxa"/>
          </w:tblCellMar>
        </w:tblPrEx>
        <w:trPr>
          <w:trHeight w:val="1440" w:hRule="atLeast"/>
        </w:trPr>
        <w:tc>
          <w:tcPr>
            <w:tcW w:w="566" w:type="dxa"/>
            <w:tcBorders>
              <w:top w:val="single" w:color="auto" w:sz="4" w:space="0"/>
              <w:left w:val="single" w:color="auto" w:sz="4" w:space="0"/>
              <w:bottom w:val="single" w:color="auto" w:sz="4" w:space="0"/>
              <w:right w:val="single" w:color="auto" w:sz="4" w:space="0"/>
            </w:tcBorders>
            <w:vAlign w:val="center"/>
          </w:tcPr>
          <w:p w14:paraId="68E9CBA9">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115</w:t>
            </w:r>
          </w:p>
        </w:tc>
        <w:tc>
          <w:tcPr>
            <w:tcW w:w="1981" w:type="dxa"/>
            <w:tcBorders>
              <w:top w:val="single" w:color="auto" w:sz="4" w:space="0"/>
              <w:left w:val="nil"/>
              <w:bottom w:val="single" w:color="auto" w:sz="4" w:space="0"/>
              <w:right w:val="single" w:color="auto" w:sz="4" w:space="0"/>
            </w:tcBorders>
            <w:vAlign w:val="center"/>
          </w:tcPr>
          <w:p w14:paraId="3497E653">
            <w:pPr>
              <w:rPr>
                <w:rFonts w:ascii="Times New Roman" w:hAnsi="Times New Roman" w:eastAsia="仿宋_GB2312" w:cs="Times New Roman"/>
                <w:sz w:val="22"/>
              </w:rPr>
            </w:pPr>
            <w:r>
              <w:rPr>
                <w:rFonts w:ascii="Times New Roman" w:hAnsi="Times New Roman" w:eastAsia="仿宋_GB2312" w:cs="Times New Roman"/>
                <w:sz w:val="22"/>
              </w:rPr>
              <w:t>跨理检测项目</w:t>
            </w:r>
          </w:p>
        </w:tc>
        <w:tc>
          <w:tcPr>
            <w:tcW w:w="945" w:type="dxa"/>
            <w:tcBorders>
              <w:top w:val="single" w:color="auto" w:sz="4" w:space="0"/>
              <w:left w:val="nil"/>
              <w:bottom w:val="single" w:color="auto" w:sz="4" w:space="0"/>
              <w:right w:val="single" w:color="auto" w:sz="4" w:space="0"/>
            </w:tcBorders>
            <w:vAlign w:val="center"/>
          </w:tcPr>
          <w:p w14:paraId="775BC378">
            <w:pPr>
              <w:jc w:val="center"/>
              <w:rPr>
                <w:rFonts w:ascii="Times New Roman" w:hAnsi="Times New Roman" w:eastAsia="仿宋_GB2312" w:cs="Times New Roman"/>
                <w:sz w:val="22"/>
              </w:rPr>
            </w:pPr>
            <w:r>
              <w:rPr>
                <w:rFonts w:ascii="Times New Roman" w:hAnsi="Times New Roman" w:eastAsia="仿宋_GB2312" w:cs="Times New Roman"/>
                <w:sz w:val="22"/>
              </w:rPr>
              <w:t>晋江市</w:t>
            </w:r>
          </w:p>
        </w:tc>
        <w:tc>
          <w:tcPr>
            <w:tcW w:w="6233" w:type="dxa"/>
            <w:tcBorders>
              <w:top w:val="single" w:color="auto" w:sz="4" w:space="0"/>
              <w:left w:val="nil"/>
              <w:bottom w:val="single" w:color="auto" w:sz="4" w:space="0"/>
              <w:right w:val="single" w:color="auto" w:sz="4" w:space="0"/>
            </w:tcBorders>
            <w:vAlign w:val="center"/>
          </w:tcPr>
          <w:p w14:paraId="1A687C7A">
            <w:pPr>
              <w:rPr>
                <w:rFonts w:ascii="Times New Roman" w:hAnsi="Times New Roman" w:eastAsia="仿宋_GB2312" w:cs="Times New Roman"/>
                <w:sz w:val="22"/>
              </w:rPr>
            </w:pPr>
            <w:r>
              <w:rPr>
                <w:rFonts w:ascii="Times New Roman" w:hAnsi="Times New Roman" w:eastAsia="仿宋_GB2312" w:cs="Times New Roman"/>
                <w:sz w:val="22"/>
              </w:rPr>
              <w:t>由世界500强高管海归博士晋江乡贤蔡庆铭（具备CNAS审核员及国家级CMA审核员资格）投资。拟在各产业集群就近建设科技服务“便利店”，就近为社会企业提供检验检测、质量认证、计量测试、标准化、企业管理咨询、软件和信息技术等现代科技服务，促进企业升级转型。</w:t>
            </w:r>
          </w:p>
        </w:tc>
        <w:tc>
          <w:tcPr>
            <w:tcW w:w="1342" w:type="dxa"/>
            <w:tcBorders>
              <w:top w:val="single" w:color="auto" w:sz="4" w:space="0"/>
              <w:left w:val="nil"/>
              <w:bottom w:val="single" w:color="auto" w:sz="4" w:space="0"/>
              <w:right w:val="single" w:color="auto" w:sz="4" w:space="0"/>
            </w:tcBorders>
            <w:vAlign w:val="center"/>
          </w:tcPr>
          <w:p w14:paraId="52BDCCB7">
            <w:pPr>
              <w:jc w:val="center"/>
              <w:rPr>
                <w:rFonts w:ascii="Times New Roman" w:hAnsi="Times New Roman" w:eastAsia="仿宋_GB2312" w:cs="Times New Roman"/>
                <w:sz w:val="22"/>
              </w:rPr>
            </w:pPr>
            <w:r>
              <w:rPr>
                <w:rFonts w:ascii="Times New Roman" w:hAnsi="Times New Roman" w:eastAsia="仿宋_GB2312" w:cs="Times New Roman"/>
                <w:sz w:val="22"/>
              </w:rPr>
              <w:t>2</w:t>
            </w:r>
          </w:p>
        </w:tc>
        <w:tc>
          <w:tcPr>
            <w:tcW w:w="1866" w:type="dxa"/>
            <w:tcBorders>
              <w:top w:val="single" w:color="auto" w:sz="4" w:space="0"/>
              <w:left w:val="nil"/>
              <w:bottom w:val="single" w:color="auto" w:sz="4" w:space="0"/>
              <w:right w:val="single" w:color="auto" w:sz="4" w:space="0"/>
            </w:tcBorders>
            <w:vAlign w:val="center"/>
          </w:tcPr>
          <w:p w14:paraId="62B02666">
            <w:pPr>
              <w:jc w:val="center"/>
              <w:rPr>
                <w:rFonts w:ascii="Times New Roman" w:hAnsi="Times New Roman" w:eastAsia="仿宋_GB2312" w:cs="Times New Roman"/>
                <w:sz w:val="22"/>
              </w:rPr>
            </w:pPr>
            <w:r>
              <w:rPr>
                <w:rFonts w:ascii="Times New Roman" w:hAnsi="Times New Roman" w:eastAsia="仿宋_GB2312" w:cs="Times New Roman"/>
                <w:sz w:val="22"/>
              </w:rPr>
              <w:t>2022-2023</w:t>
            </w:r>
          </w:p>
        </w:tc>
        <w:tc>
          <w:tcPr>
            <w:tcW w:w="1145" w:type="dxa"/>
            <w:tcBorders>
              <w:top w:val="single" w:color="auto" w:sz="4" w:space="0"/>
              <w:left w:val="nil"/>
              <w:bottom w:val="single" w:color="auto" w:sz="4" w:space="0"/>
              <w:right w:val="single" w:color="auto" w:sz="4" w:space="0"/>
            </w:tcBorders>
            <w:vAlign w:val="center"/>
          </w:tcPr>
          <w:p w14:paraId="46BB524B">
            <w:pPr>
              <w:jc w:val="center"/>
              <w:rPr>
                <w:rFonts w:ascii="Times New Roman" w:hAnsi="Times New Roman" w:eastAsia="仿宋_GB2312" w:cs="Times New Roman"/>
                <w:sz w:val="22"/>
              </w:rPr>
            </w:pPr>
            <w:r>
              <w:rPr>
                <w:rFonts w:ascii="Times New Roman" w:hAnsi="Times New Roman" w:eastAsia="仿宋_GB2312" w:cs="Times New Roman"/>
                <w:sz w:val="22"/>
              </w:rPr>
              <w:t>晋江市人民政府</w:t>
            </w:r>
          </w:p>
        </w:tc>
        <w:tc>
          <w:tcPr>
            <w:tcW w:w="236" w:type="dxa"/>
            <w:vAlign w:val="center"/>
          </w:tcPr>
          <w:p w14:paraId="62EC55E0">
            <w:pPr>
              <w:widowControl/>
              <w:jc w:val="left"/>
              <w:rPr>
                <w:rFonts w:ascii="Times New Roman" w:hAnsi="Times New Roman" w:eastAsia="Times New Roman" w:cs="Times New Roman"/>
                <w:kern w:val="0"/>
                <w:sz w:val="20"/>
                <w:szCs w:val="20"/>
              </w:rPr>
            </w:pPr>
          </w:p>
        </w:tc>
      </w:tr>
      <w:tr w14:paraId="2C072736">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47B2975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116</w:t>
            </w:r>
          </w:p>
        </w:tc>
        <w:tc>
          <w:tcPr>
            <w:tcW w:w="1981" w:type="dxa"/>
            <w:tcBorders>
              <w:top w:val="nil"/>
              <w:left w:val="nil"/>
              <w:bottom w:val="single" w:color="auto" w:sz="4" w:space="0"/>
              <w:right w:val="single" w:color="auto" w:sz="4" w:space="0"/>
            </w:tcBorders>
            <w:vAlign w:val="center"/>
          </w:tcPr>
          <w:p w14:paraId="7149B99F">
            <w:pPr>
              <w:rPr>
                <w:rFonts w:ascii="Times New Roman" w:hAnsi="Times New Roman" w:eastAsia="仿宋_GB2312" w:cs="Times New Roman"/>
                <w:sz w:val="22"/>
              </w:rPr>
            </w:pPr>
            <w:r>
              <w:rPr>
                <w:rFonts w:ascii="Times New Roman" w:hAnsi="Times New Roman" w:eastAsia="仿宋_GB2312" w:cs="Times New Roman"/>
                <w:sz w:val="22"/>
              </w:rPr>
              <w:t>洛江数字经济产业园（华为产业数字化创新孵化中心）项目</w:t>
            </w:r>
          </w:p>
        </w:tc>
        <w:tc>
          <w:tcPr>
            <w:tcW w:w="945" w:type="dxa"/>
            <w:tcBorders>
              <w:top w:val="nil"/>
              <w:left w:val="nil"/>
              <w:bottom w:val="single" w:color="auto" w:sz="4" w:space="0"/>
              <w:right w:val="single" w:color="auto" w:sz="4" w:space="0"/>
            </w:tcBorders>
            <w:vAlign w:val="center"/>
          </w:tcPr>
          <w:p w14:paraId="662FF2AB">
            <w:pPr>
              <w:jc w:val="center"/>
              <w:rPr>
                <w:rFonts w:ascii="Times New Roman" w:hAnsi="Times New Roman" w:eastAsia="仿宋_GB2312" w:cs="Times New Roman"/>
                <w:sz w:val="22"/>
              </w:rPr>
            </w:pPr>
            <w:r>
              <w:rPr>
                <w:rFonts w:ascii="Times New Roman" w:hAnsi="Times New Roman" w:eastAsia="仿宋_GB2312" w:cs="Times New Roman"/>
                <w:sz w:val="22"/>
              </w:rPr>
              <w:t>洛江区</w:t>
            </w:r>
          </w:p>
        </w:tc>
        <w:tc>
          <w:tcPr>
            <w:tcW w:w="6233" w:type="dxa"/>
            <w:tcBorders>
              <w:top w:val="nil"/>
              <w:left w:val="nil"/>
              <w:bottom w:val="single" w:color="auto" w:sz="4" w:space="0"/>
              <w:right w:val="single" w:color="auto" w:sz="4" w:space="0"/>
            </w:tcBorders>
            <w:vAlign w:val="center"/>
          </w:tcPr>
          <w:p w14:paraId="7A746694">
            <w:pPr>
              <w:rPr>
                <w:rFonts w:ascii="Times New Roman" w:hAnsi="Times New Roman" w:eastAsia="仿宋_GB2312" w:cs="Times New Roman"/>
                <w:sz w:val="22"/>
              </w:rPr>
            </w:pPr>
            <w:r>
              <w:rPr>
                <w:rFonts w:ascii="Times New Roman" w:hAnsi="Times New Roman" w:eastAsia="仿宋_GB2312" w:cs="Times New Roman"/>
                <w:sz w:val="22"/>
              </w:rPr>
              <w:t>项目占地82亩，拟建设洛江数字经济产业园，与华为公司共建“华为（洛江）产业数字化创新孵化中心”，依托华为品牌能力和在5G、AI、智能制造、工业互联网等先进技术，开展数字经济产业、5G智慧工厂等项目建设，打造一批产业数字化创新应用标杆企业，助推洛江产业数字化转型升级。</w:t>
            </w:r>
          </w:p>
        </w:tc>
        <w:tc>
          <w:tcPr>
            <w:tcW w:w="1342" w:type="dxa"/>
            <w:tcBorders>
              <w:top w:val="nil"/>
              <w:left w:val="nil"/>
              <w:bottom w:val="single" w:color="auto" w:sz="4" w:space="0"/>
              <w:right w:val="single" w:color="auto" w:sz="4" w:space="0"/>
            </w:tcBorders>
            <w:vAlign w:val="center"/>
          </w:tcPr>
          <w:p w14:paraId="094F95AC">
            <w:pPr>
              <w:jc w:val="center"/>
              <w:rPr>
                <w:rFonts w:ascii="Times New Roman" w:hAnsi="Times New Roman" w:eastAsia="仿宋_GB2312" w:cs="Times New Roman"/>
                <w:sz w:val="22"/>
              </w:rPr>
            </w:pPr>
            <w:r>
              <w:rPr>
                <w:rFonts w:ascii="Times New Roman" w:hAnsi="Times New Roman" w:eastAsia="仿宋_GB2312" w:cs="Times New Roman"/>
                <w:sz w:val="22"/>
              </w:rPr>
              <w:t>6</w:t>
            </w:r>
          </w:p>
        </w:tc>
        <w:tc>
          <w:tcPr>
            <w:tcW w:w="1866" w:type="dxa"/>
            <w:tcBorders>
              <w:top w:val="nil"/>
              <w:left w:val="nil"/>
              <w:bottom w:val="single" w:color="auto" w:sz="4" w:space="0"/>
              <w:right w:val="single" w:color="auto" w:sz="4" w:space="0"/>
            </w:tcBorders>
            <w:vAlign w:val="center"/>
          </w:tcPr>
          <w:p w14:paraId="5144B1E6">
            <w:pPr>
              <w:jc w:val="center"/>
              <w:rPr>
                <w:rFonts w:ascii="Times New Roman" w:hAnsi="Times New Roman" w:eastAsia="仿宋_GB2312" w:cs="Times New Roman"/>
                <w:sz w:val="22"/>
              </w:rPr>
            </w:pPr>
            <w:r>
              <w:rPr>
                <w:rFonts w:ascii="Times New Roman" w:hAnsi="Times New Roman" w:eastAsia="仿宋_GB2312" w:cs="Times New Roman"/>
                <w:sz w:val="22"/>
              </w:rPr>
              <w:t>2023-2025</w:t>
            </w:r>
          </w:p>
        </w:tc>
        <w:tc>
          <w:tcPr>
            <w:tcW w:w="1145" w:type="dxa"/>
            <w:tcBorders>
              <w:top w:val="nil"/>
              <w:left w:val="nil"/>
              <w:bottom w:val="single" w:color="auto" w:sz="4" w:space="0"/>
              <w:right w:val="single" w:color="auto" w:sz="4" w:space="0"/>
            </w:tcBorders>
            <w:vAlign w:val="center"/>
          </w:tcPr>
          <w:p w14:paraId="47915A04">
            <w:pPr>
              <w:jc w:val="center"/>
              <w:rPr>
                <w:rFonts w:ascii="Times New Roman" w:hAnsi="Times New Roman" w:eastAsia="仿宋_GB2312" w:cs="Times New Roman"/>
                <w:sz w:val="22"/>
              </w:rPr>
            </w:pPr>
            <w:r>
              <w:rPr>
                <w:rFonts w:ascii="Times New Roman" w:hAnsi="Times New Roman" w:eastAsia="仿宋_GB2312" w:cs="Times New Roman"/>
                <w:sz w:val="22"/>
              </w:rPr>
              <w:t>洛江区人民政府</w:t>
            </w:r>
          </w:p>
        </w:tc>
        <w:tc>
          <w:tcPr>
            <w:tcW w:w="236" w:type="dxa"/>
            <w:vAlign w:val="center"/>
          </w:tcPr>
          <w:p w14:paraId="3BC13015">
            <w:pPr>
              <w:widowControl/>
              <w:jc w:val="left"/>
              <w:rPr>
                <w:rFonts w:ascii="Times New Roman" w:hAnsi="Times New Roman" w:eastAsia="Times New Roman" w:cs="Times New Roman"/>
                <w:kern w:val="0"/>
                <w:sz w:val="20"/>
                <w:szCs w:val="20"/>
              </w:rPr>
            </w:pPr>
          </w:p>
        </w:tc>
      </w:tr>
      <w:tr w14:paraId="269E14EE">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A9B453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117</w:t>
            </w:r>
          </w:p>
        </w:tc>
        <w:tc>
          <w:tcPr>
            <w:tcW w:w="1981" w:type="dxa"/>
            <w:tcBorders>
              <w:top w:val="nil"/>
              <w:left w:val="nil"/>
              <w:bottom w:val="single" w:color="auto" w:sz="4" w:space="0"/>
              <w:right w:val="single" w:color="auto" w:sz="4" w:space="0"/>
            </w:tcBorders>
            <w:vAlign w:val="center"/>
          </w:tcPr>
          <w:p w14:paraId="7FCC012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晋江工业产业大数据平台</w:t>
            </w:r>
          </w:p>
        </w:tc>
        <w:tc>
          <w:tcPr>
            <w:tcW w:w="945" w:type="dxa"/>
            <w:tcBorders>
              <w:top w:val="nil"/>
              <w:left w:val="nil"/>
              <w:bottom w:val="single" w:color="auto" w:sz="4" w:space="0"/>
              <w:right w:val="single" w:color="auto" w:sz="4" w:space="0"/>
            </w:tcBorders>
            <w:vAlign w:val="center"/>
          </w:tcPr>
          <w:p w14:paraId="0963A7A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67E84BF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建设涵盖SAP海丝工业互联网（泉州）创新中心和华为（晋江）工业互联网云孵化中心的晋江工业产业大数据企业端平台，服务推动企业两化融合，为企业提供海量数据资源。</w:t>
            </w:r>
          </w:p>
        </w:tc>
        <w:tc>
          <w:tcPr>
            <w:tcW w:w="1342" w:type="dxa"/>
            <w:tcBorders>
              <w:top w:val="nil"/>
              <w:left w:val="nil"/>
              <w:bottom w:val="single" w:color="auto" w:sz="4" w:space="0"/>
              <w:right w:val="single" w:color="auto" w:sz="4" w:space="0"/>
            </w:tcBorders>
            <w:vAlign w:val="center"/>
          </w:tcPr>
          <w:p w14:paraId="625D26A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48C96BD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500C752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56A3566C">
            <w:pPr>
              <w:widowControl/>
              <w:jc w:val="left"/>
              <w:rPr>
                <w:rFonts w:ascii="Times New Roman" w:hAnsi="Times New Roman" w:eastAsia="Times New Roman" w:cs="Times New Roman"/>
                <w:kern w:val="0"/>
                <w:sz w:val="20"/>
                <w:szCs w:val="20"/>
              </w:rPr>
            </w:pPr>
          </w:p>
        </w:tc>
      </w:tr>
      <w:tr w14:paraId="61ADF302">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29DDBF7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118</w:t>
            </w:r>
          </w:p>
        </w:tc>
        <w:tc>
          <w:tcPr>
            <w:tcW w:w="1981" w:type="dxa"/>
            <w:tcBorders>
              <w:top w:val="nil"/>
              <w:left w:val="nil"/>
              <w:bottom w:val="single" w:color="auto" w:sz="4" w:space="0"/>
              <w:right w:val="single" w:color="auto" w:sz="4" w:space="0"/>
            </w:tcBorders>
            <w:vAlign w:val="center"/>
          </w:tcPr>
          <w:p w14:paraId="709BF05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石材大数据平台</w:t>
            </w:r>
          </w:p>
        </w:tc>
        <w:tc>
          <w:tcPr>
            <w:tcW w:w="945" w:type="dxa"/>
            <w:tcBorders>
              <w:top w:val="nil"/>
              <w:left w:val="nil"/>
              <w:bottom w:val="single" w:color="auto" w:sz="4" w:space="0"/>
              <w:right w:val="single" w:color="auto" w:sz="4" w:space="0"/>
            </w:tcBorders>
            <w:vAlign w:val="center"/>
          </w:tcPr>
          <w:p w14:paraId="0D84956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1136986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立石材制品和石材供应链数字化标准体系，建设石材工业互联网标识节点，研发石材大数据业务中台，开发石材应用机理模型，开放石材APP创新生态，开展石材产业SaaS服务，夯实石材产业数字化转型的基础，掌控石材产业转型升级的核心动能。</w:t>
            </w:r>
          </w:p>
        </w:tc>
        <w:tc>
          <w:tcPr>
            <w:tcW w:w="1342" w:type="dxa"/>
            <w:tcBorders>
              <w:top w:val="nil"/>
              <w:left w:val="nil"/>
              <w:bottom w:val="single" w:color="auto" w:sz="4" w:space="0"/>
              <w:right w:val="single" w:color="auto" w:sz="4" w:space="0"/>
            </w:tcBorders>
            <w:vAlign w:val="center"/>
          </w:tcPr>
          <w:p w14:paraId="6D49FAE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79E4F8D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4739D27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699F6513">
            <w:pPr>
              <w:widowControl/>
              <w:jc w:val="left"/>
              <w:rPr>
                <w:rFonts w:ascii="Times New Roman" w:hAnsi="Times New Roman" w:eastAsia="Times New Roman" w:cs="Times New Roman"/>
                <w:kern w:val="0"/>
                <w:sz w:val="20"/>
                <w:szCs w:val="20"/>
              </w:rPr>
            </w:pPr>
          </w:p>
        </w:tc>
      </w:tr>
      <w:tr w14:paraId="4FC9C3E5">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0839C53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119</w:t>
            </w:r>
          </w:p>
        </w:tc>
        <w:tc>
          <w:tcPr>
            <w:tcW w:w="1981" w:type="dxa"/>
            <w:tcBorders>
              <w:top w:val="nil"/>
              <w:left w:val="nil"/>
              <w:bottom w:val="single" w:color="auto" w:sz="4" w:space="0"/>
              <w:right w:val="single" w:color="auto" w:sz="4" w:space="0"/>
            </w:tcBorders>
            <w:vAlign w:val="center"/>
          </w:tcPr>
          <w:p w14:paraId="26C5F5B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“兑了么”互联网平台</w:t>
            </w:r>
          </w:p>
        </w:tc>
        <w:tc>
          <w:tcPr>
            <w:tcW w:w="945" w:type="dxa"/>
            <w:tcBorders>
              <w:top w:val="nil"/>
              <w:left w:val="nil"/>
              <w:bottom w:val="single" w:color="auto" w:sz="4" w:space="0"/>
              <w:right w:val="single" w:color="auto" w:sz="4" w:space="0"/>
            </w:tcBorders>
            <w:vAlign w:val="center"/>
          </w:tcPr>
          <w:p w14:paraId="06FA83B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51CBEBA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上接有积分的单位，下接可兑换和消费积分的线上或线下商家，为消费者提供实时实地积分兑换与消费服务的互联网平台。</w:t>
            </w:r>
          </w:p>
        </w:tc>
        <w:tc>
          <w:tcPr>
            <w:tcW w:w="1342" w:type="dxa"/>
            <w:tcBorders>
              <w:top w:val="nil"/>
              <w:left w:val="nil"/>
              <w:bottom w:val="single" w:color="auto" w:sz="4" w:space="0"/>
              <w:right w:val="single" w:color="auto" w:sz="4" w:space="0"/>
            </w:tcBorders>
            <w:vAlign w:val="center"/>
          </w:tcPr>
          <w:p w14:paraId="608CCE2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w:t>
            </w:r>
          </w:p>
        </w:tc>
        <w:tc>
          <w:tcPr>
            <w:tcW w:w="1866" w:type="dxa"/>
            <w:tcBorders>
              <w:top w:val="nil"/>
              <w:left w:val="nil"/>
              <w:bottom w:val="single" w:color="auto" w:sz="4" w:space="0"/>
              <w:right w:val="single" w:color="auto" w:sz="4" w:space="0"/>
            </w:tcBorders>
            <w:vAlign w:val="center"/>
          </w:tcPr>
          <w:p w14:paraId="4DF0FD5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3105500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73652B71">
            <w:pPr>
              <w:widowControl/>
              <w:jc w:val="left"/>
              <w:rPr>
                <w:rFonts w:ascii="Times New Roman" w:hAnsi="Times New Roman" w:eastAsia="Times New Roman" w:cs="Times New Roman"/>
                <w:kern w:val="0"/>
                <w:sz w:val="20"/>
                <w:szCs w:val="20"/>
              </w:rPr>
            </w:pPr>
          </w:p>
        </w:tc>
      </w:tr>
      <w:tr w14:paraId="7A1C5ADC">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32C7965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120</w:t>
            </w:r>
          </w:p>
        </w:tc>
        <w:tc>
          <w:tcPr>
            <w:tcW w:w="1981" w:type="dxa"/>
            <w:tcBorders>
              <w:top w:val="nil"/>
              <w:left w:val="nil"/>
              <w:bottom w:val="single" w:color="auto" w:sz="4" w:space="0"/>
              <w:right w:val="single" w:color="auto" w:sz="4" w:space="0"/>
            </w:tcBorders>
            <w:vAlign w:val="center"/>
          </w:tcPr>
          <w:p w14:paraId="4B46A20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信泰数字化运营平台</w:t>
            </w:r>
          </w:p>
        </w:tc>
        <w:tc>
          <w:tcPr>
            <w:tcW w:w="945" w:type="dxa"/>
            <w:tcBorders>
              <w:top w:val="nil"/>
              <w:left w:val="nil"/>
              <w:bottom w:val="single" w:color="auto" w:sz="4" w:space="0"/>
              <w:right w:val="single" w:color="auto" w:sz="4" w:space="0"/>
            </w:tcBorders>
            <w:vAlign w:val="center"/>
          </w:tcPr>
          <w:p w14:paraId="7C67390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nil"/>
              <w:left w:val="nil"/>
              <w:bottom w:val="single" w:color="auto" w:sz="4" w:space="0"/>
              <w:right w:val="single" w:color="auto" w:sz="4" w:space="0"/>
            </w:tcBorders>
            <w:vAlign w:val="center"/>
          </w:tcPr>
          <w:p w14:paraId="3808F12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信泰数字化运营平台通过物联网、大数据、云计算等技术进行平台模式创新、平台系统创新、平台技术创新，大幅度改善了集团流程、优化供应链决策、支持集团供应链和商业模式创新，能够助力于纺织行业、鞋业制造行业、智能可穿戴行业进行产业数字化升级，打造企业核心竞争能力。</w:t>
            </w:r>
          </w:p>
        </w:tc>
        <w:tc>
          <w:tcPr>
            <w:tcW w:w="1342" w:type="dxa"/>
            <w:tcBorders>
              <w:top w:val="nil"/>
              <w:left w:val="nil"/>
              <w:bottom w:val="single" w:color="auto" w:sz="4" w:space="0"/>
              <w:right w:val="single" w:color="auto" w:sz="4" w:space="0"/>
            </w:tcBorders>
            <w:vAlign w:val="center"/>
          </w:tcPr>
          <w:p w14:paraId="200B91C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655B714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6C47545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196CD35C">
            <w:pPr>
              <w:widowControl/>
              <w:jc w:val="left"/>
              <w:rPr>
                <w:rFonts w:ascii="Times New Roman" w:hAnsi="Times New Roman" w:eastAsia="Times New Roman" w:cs="Times New Roman"/>
                <w:kern w:val="0"/>
                <w:sz w:val="20"/>
                <w:szCs w:val="20"/>
              </w:rPr>
            </w:pPr>
          </w:p>
        </w:tc>
      </w:tr>
      <w:tr w14:paraId="57BD4A04">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2A38C2A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121</w:t>
            </w:r>
          </w:p>
        </w:tc>
        <w:tc>
          <w:tcPr>
            <w:tcW w:w="1981" w:type="dxa"/>
            <w:tcBorders>
              <w:top w:val="single" w:color="auto" w:sz="4" w:space="0"/>
              <w:left w:val="nil"/>
              <w:bottom w:val="single" w:color="auto" w:sz="4" w:space="0"/>
              <w:right w:val="single" w:color="auto" w:sz="4" w:space="0"/>
            </w:tcBorders>
            <w:vAlign w:val="center"/>
          </w:tcPr>
          <w:p w14:paraId="1DC3276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供应链金融</w:t>
            </w:r>
            <w:r>
              <w:rPr>
                <w:rFonts w:ascii="Times New Roman" w:hAnsi="Times New Roman" w:eastAsia="仿宋_GB2312" w:cs="Times New Roman"/>
                <w:color w:val="000000"/>
                <w:sz w:val="22"/>
              </w:rPr>
              <w:br w:type="textWrapping"/>
            </w:r>
            <w:r>
              <w:rPr>
                <w:rFonts w:ascii="Times New Roman" w:hAnsi="Times New Roman" w:eastAsia="仿宋_GB2312" w:cs="Times New Roman"/>
                <w:color w:val="000000"/>
                <w:sz w:val="22"/>
              </w:rPr>
              <w:t>“互联网+票据”</w:t>
            </w:r>
          </w:p>
        </w:tc>
        <w:tc>
          <w:tcPr>
            <w:tcW w:w="945" w:type="dxa"/>
            <w:tcBorders>
              <w:top w:val="single" w:color="auto" w:sz="4" w:space="0"/>
              <w:left w:val="nil"/>
              <w:bottom w:val="single" w:color="auto" w:sz="4" w:space="0"/>
              <w:right w:val="single" w:color="auto" w:sz="4" w:space="0"/>
            </w:tcBorders>
            <w:vAlign w:val="center"/>
          </w:tcPr>
          <w:p w14:paraId="3A93A0A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w:t>
            </w:r>
          </w:p>
        </w:tc>
        <w:tc>
          <w:tcPr>
            <w:tcW w:w="6233" w:type="dxa"/>
            <w:tcBorders>
              <w:top w:val="single" w:color="auto" w:sz="4" w:space="0"/>
              <w:left w:val="nil"/>
              <w:bottom w:val="single" w:color="auto" w:sz="4" w:space="0"/>
              <w:right w:val="single" w:color="auto" w:sz="4" w:space="0"/>
            </w:tcBorders>
            <w:vAlign w:val="center"/>
          </w:tcPr>
          <w:p w14:paraId="2F87B2E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依托供应链核心企业信用、真实交易背景和实物流，资金流，信息流闭环，为上下游企业提供无需抵押担保的“平台+金融+保险+企业”的具有民营企业特色的普惠金融。</w:t>
            </w:r>
          </w:p>
        </w:tc>
        <w:tc>
          <w:tcPr>
            <w:tcW w:w="1342" w:type="dxa"/>
            <w:tcBorders>
              <w:top w:val="single" w:color="auto" w:sz="4" w:space="0"/>
              <w:left w:val="nil"/>
              <w:bottom w:val="single" w:color="auto" w:sz="4" w:space="0"/>
              <w:right w:val="single" w:color="auto" w:sz="4" w:space="0"/>
            </w:tcBorders>
            <w:vAlign w:val="center"/>
          </w:tcPr>
          <w:p w14:paraId="34BB66E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1.00 </w:t>
            </w:r>
          </w:p>
        </w:tc>
        <w:tc>
          <w:tcPr>
            <w:tcW w:w="1866" w:type="dxa"/>
            <w:tcBorders>
              <w:top w:val="single" w:color="auto" w:sz="4" w:space="0"/>
              <w:left w:val="nil"/>
              <w:bottom w:val="single" w:color="auto" w:sz="4" w:space="0"/>
              <w:right w:val="single" w:color="auto" w:sz="4" w:space="0"/>
            </w:tcBorders>
            <w:vAlign w:val="center"/>
          </w:tcPr>
          <w:p w14:paraId="704EB62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2019-2025</w:t>
            </w:r>
          </w:p>
        </w:tc>
        <w:tc>
          <w:tcPr>
            <w:tcW w:w="1145" w:type="dxa"/>
            <w:tcBorders>
              <w:top w:val="single" w:color="auto" w:sz="4" w:space="0"/>
              <w:left w:val="nil"/>
              <w:bottom w:val="single" w:color="auto" w:sz="4" w:space="0"/>
              <w:right w:val="single" w:color="auto" w:sz="4" w:space="0"/>
            </w:tcBorders>
            <w:vAlign w:val="center"/>
          </w:tcPr>
          <w:p w14:paraId="339FDA7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晋江市人民政府</w:t>
            </w:r>
          </w:p>
        </w:tc>
        <w:tc>
          <w:tcPr>
            <w:tcW w:w="236" w:type="dxa"/>
            <w:vAlign w:val="center"/>
          </w:tcPr>
          <w:p w14:paraId="0C96007A">
            <w:pPr>
              <w:widowControl/>
              <w:jc w:val="left"/>
              <w:rPr>
                <w:rFonts w:ascii="Times New Roman" w:hAnsi="Times New Roman" w:eastAsia="Times New Roman" w:cs="Times New Roman"/>
                <w:kern w:val="0"/>
                <w:sz w:val="20"/>
                <w:szCs w:val="20"/>
              </w:rPr>
            </w:pPr>
          </w:p>
        </w:tc>
      </w:tr>
      <w:tr w14:paraId="62FB02B5">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6918C2C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122</w:t>
            </w:r>
          </w:p>
        </w:tc>
        <w:tc>
          <w:tcPr>
            <w:tcW w:w="1981" w:type="dxa"/>
            <w:tcBorders>
              <w:top w:val="nil"/>
              <w:left w:val="nil"/>
              <w:bottom w:val="single" w:color="auto" w:sz="4" w:space="0"/>
              <w:right w:val="single" w:color="auto" w:sz="4" w:space="0"/>
            </w:tcBorders>
            <w:vAlign w:val="center"/>
          </w:tcPr>
          <w:p w14:paraId="567F179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新华大数据</w:t>
            </w:r>
          </w:p>
        </w:tc>
        <w:tc>
          <w:tcPr>
            <w:tcW w:w="945" w:type="dxa"/>
            <w:tcBorders>
              <w:top w:val="nil"/>
              <w:left w:val="nil"/>
              <w:bottom w:val="single" w:color="auto" w:sz="4" w:space="0"/>
              <w:right w:val="single" w:color="auto" w:sz="4" w:space="0"/>
            </w:tcBorders>
            <w:vAlign w:val="center"/>
          </w:tcPr>
          <w:p w14:paraId="33219FF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32706D1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平台依托遍布全球的新闻信息采集和服务网络，以及云技术、大数据、人工智能等先进技术，汇聚新华丝路、新华信用、新华舆情、新华AI等系统，为全球各大用户提供信息服务。</w:t>
            </w:r>
          </w:p>
        </w:tc>
        <w:tc>
          <w:tcPr>
            <w:tcW w:w="1342" w:type="dxa"/>
            <w:tcBorders>
              <w:top w:val="nil"/>
              <w:left w:val="nil"/>
              <w:bottom w:val="single" w:color="auto" w:sz="4" w:space="0"/>
              <w:right w:val="single" w:color="auto" w:sz="4" w:space="0"/>
            </w:tcBorders>
            <w:vAlign w:val="center"/>
          </w:tcPr>
          <w:p w14:paraId="3415BD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26D07F2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nil"/>
              <w:left w:val="nil"/>
              <w:bottom w:val="single" w:color="auto" w:sz="4" w:space="0"/>
              <w:right w:val="single" w:color="auto" w:sz="4" w:space="0"/>
            </w:tcBorders>
            <w:vAlign w:val="center"/>
          </w:tcPr>
          <w:p w14:paraId="7652AEA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4AD0790F">
            <w:pPr>
              <w:widowControl/>
              <w:jc w:val="left"/>
              <w:rPr>
                <w:rFonts w:ascii="Times New Roman" w:hAnsi="Times New Roman" w:eastAsia="Times New Roman" w:cs="Times New Roman"/>
                <w:kern w:val="0"/>
                <w:sz w:val="20"/>
                <w:szCs w:val="20"/>
              </w:rPr>
            </w:pPr>
          </w:p>
        </w:tc>
      </w:tr>
      <w:tr w14:paraId="7E3E66EC">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61CBF92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123</w:t>
            </w:r>
          </w:p>
        </w:tc>
        <w:tc>
          <w:tcPr>
            <w:tcW w:w="1981" w:type="dxa"/>
            <w:tcBorders>
              <w:top w:val="nil"/>
              <w:left w:val="nil"/>
              <w:bottom w:val="single" w:color="auto" w:sz="4" w:space="0"/>
              <w:right w:val="single" w:color="auto" w:sz="4" w:space="0"/>
            </w:tcBorders>
            <w:vAlign w:val="center"/>
          </w:tcPr>
          <w:p w14:paraId="5D9082F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司雷农业大数据</w:t>
            </w:r>
          </w:p>
        </w:tc>
        <w:tc>
          <w:tcPr>
            <w:tcW w:w="945" w:type="dxa"/>
            <w:tcBorders>
              <w:top w:val="nil"/>
              <w:left w:val="nil"/>
              <w:bottom w:val="single" w:color="auto" w:sz="4" w:space="0"/>
              <w:right w:val="single" w:color="auto" w:sz="4" w:space="0"/>
            </w:tcBorders>
            <w:vAlign w:val="center"/>
          </w:tcPr>
          <w:p w14:paraId="1E70DD4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38C03D1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首创了生物信息对抗虫害防治原理和技术，并研制出了全球首套基于生物信息对抗技术的纯物理虫害防治系统，构建专业化的农业种植大数据平台。</w:t>
            </w:r>
          </w:p>
        </w:tc>
        <w:tc>
          <w:tcPr>
            <w:tcW w:w="1342" w:type="dxa"/>
            <w:tcBorders>
              <w:top w:val="nil"/>
              <w:left w:val="nil"/>
              <w:bottom w:val="single" w:color="auto" w:sz="4" w:space="0"/>
              <w:right w:val="single" w:color="auto" w:sz="4" w:space="0"/>
            </w:tcBorders>
            <w:vAlign w:val="center"/>
          </w:tcPr>
          <w:p w14:paraId="59DD89C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72FC12A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nil"/>
              <w:left w:val="nil"/>
              <w:bottom w:val="single" w:color="auto" w:sz="4" w:space="0"/>
              <w:right w:val="single" w:color="auto" w:sz="4" w:space="0"/>
            </w:tcBorders>
            <w:vAlign w:val="center"/>
          </w:tcPr>
          <w:p w14:paraId="7ED00CA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33B663E4">
            <w:pPr>
              <w:widowControl/>
              <w:jc w:val="left"/>
              <w:rPr>
                <w:rFonts w:ascii="Times New Roman" w:hAnsi="Times New Roman" w:eastAsia="Times New Roman" w:cs="Times New Roman"/>
                <w:kern w:val="0"/>
                <w:sz w:val="20"/>
                <w:szCs w:val="20"/>
              </w:rPr>
            </w:pPr>
          </w:p>
        </w:tc>
      </w:tr>
      <w:tr w14:paraId="23E41C58">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79210E9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124</w:t>
            </w:r>
          </w:p>
        </w:tc>
        <w:tc>
          <w:tcPr>
            <w:tcW w:w="1981" w:type="dxa"/>
            <w:tcBorders>
              <w:top w:val="nil"/>
              <w:left w:val="nil"/>
              <w:bottom w:val="single" w:color="auto" w:sz="4" w:space="0"/>
              <w:right w:val="single" w:color="auto" w:sz="4" w:space="0"/>
            </w:tcBorders>
            <w:vAlign w:val="center"/>
          </w:tcPr>
          <w:p w14:paraId="643256E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航天AI云天智脑平台</w:t>
            </w:r>
          </w:p>
        </w:tc>
        <w:tc>
          <w:tcPr>
            <w:tcW w:w="945" w:type="dxa"/>
            <w:tcBorders>
              <w:top w:val="nil"/>
              <w:left w:val="nil"/>
              <w:bottom w:val="single" w:color="auto" w:sz="4" w:space="0"/>
              <w:right w:val="single" w:color="auto" w:sz="4" w:space="0"/>
            </w:tcBorders>
            <w:vAlign w:val="center"/>
          </w:tcPr>
          <w:p w14:paraId="245AE80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w:t>
            </w:r>
          </w:p>
        </w:tc>
        <w:tc>
          <w:tcPr>
            <w:tcW w:w="6233" w:type="dxa"/>
            <w:tcBorders>
              <w:top w:val="nil"/>
              <w:left w:val="nil"/>
              <w:bottom w:val="single" w:color="auto" w:sz="4" w:space="0"/>
              <w:right w:val="single" w:color="auto" w:sz="4" w:space="0"/>
            </w:tcBorders>
            <w:vAlign w:val="center"/>
          </w:tcPr>
          <w:p w14:paraId="453E842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开展军民融合项目建设，打造人工智能物联网云平台，可应用于疫情防控、城市应急管理、房屋安全监测等行业。</w:t>
            </w:r>
          </w:p>
        </w:tc>
        <w:tc>
          <w:tcPr>
            <w:tcW w:w="1342" w:type="dxa"/>
            <w:tcBorders>
              <w:top w:val="nil"/>
              <w:left w:val="nil"/>
              <w:bottom w:val="single" w:color="auto" w:sz="4" w:space="0"/>
              <w:right w:val="single" w:color="auto" w:sz="4" w:space="0"/>
            </w:tcBorders>
            <w:vAlign w:val="center"/>
          </w:tcPr>
          <w:p w14:paraId="1CBF24D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402C1F5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nil"/>
              <w:left w:val="nil"/>
              <w:bottom w:val="single" w:color="auto" w:sz="4" w:space="0"/>
              <w:right w:val="single" w:color="auto" w:sz="4" w:space="0"/>
            </w:tcBorders>
            <w:vAlign w:val="center"/>
          </w:tcPr>
          <w:p w14:paraId="5F18085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安溪县人民政府</w:t>
            </w:r>
          </w:p>
        </w:tc>
        <w:tc>
          <w:tcPr>
            <w:tcW w:w="236" w:type="dxa"/>
            <w:vAlign w:val="center"/>
          </w:tcPr>
          <w:p w14:paraId="5CF64EC7">
            <w:pPr>
              <w:widowControl/>
              <w:jc w:val="left"/>
              <w:rPr>
                <w:rFonts w:ascii="Times New Roman" w:hAnsi="Times New Roman" w:eastAsia="Times New Roman" w:cs="Times New Roman"/>
                <w:kern w:val="0"/>
                <w:sz w:val="20"/>
                <w:szCs w:val="20"/>
              </w:rPr>
            </w:pPr>
          </w:p>
        </w:tc>
      </w:tr>
      <w:tr w14:paraId="51A2D6DC">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4E59E81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125</w:t>
            </w:r>
          </w:p>
        </w:tc>
        <w:tc>
          <w:tcPr>
            <w:tcW w:w="1981" w:type="dxa"/>
            <w:tcBorders>
              <w:top w:val="nil"/>
              <w:left w:val="nil"/>
              <w:bottom w:val="single" w:color="auto" w:sz="4" w:space="0"/>
              <w:right w:val="single" w:color="auto" w:sz="4" w:space="0"/>
            </w:tcBorders>
            <w:vAlign w:val="center"/>
          </w:tcPr>
          <w:p w14:paraId="347E961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石狮市产业互联大数据平台</w:t>
            </w:r>
          </w:p>
        </w:tc>
        <w:tc>
          <w:tcPr>
            <w:tcW w:w="945" w:type="dxa"/>
            <w:tcBorders>
              <w:top w:val="nil"/>
              <w:left w:val="nil"/>
              <w:bottom w:val="single" w:color="auto" w:sz="4" w:space="0"/>
              <w:right w:val="single" w:color="auto" w:sz="4" w:space="0"/>
            </w:tcBorders>
            <w:vAlign w:val="center"/>
          </w:tcPr>
          <w:p w14:paraId="244F75C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776E2E9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搭建产业互联平台，将整个产业链的上下游联通，包含硬件、软件、运营等。其中，咨询规划设计：500万元；硬件：500万元；软件定制开发：2000万元；产业运营服务：1000万元。共计4000万元。</w:t>
            </w:r>
          </w:p>
        </w:tc>
        <w:tc>
          <w:tcPr>
            <w:tcW w:w="1342" w:type="dxa"/>
            <w:tcBorders>
              <w:top w:val="nil"/>
              <w:left w:val="nil"/>
              <w:bottom w:val="single" w:color="auto" w:sz="4" w:space="0"/>
              <w:right w:val="single" w:color="auto" w:sz="4" w:space="0"/>
            </w:tcBorders>
            <w:vAlign w:val="center"/>
          </w:tcPr>
          <w:p w14:paraId="0C6C348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0.4</w:t>
            </w:r>
          </w:p>
        </w:tc>
        <w:tc>
          <w:tcPr>
            <w:tcW w:w="1866" w:type="dxa"/>
            <w:tcBorders>
              <w:top w:val="nil"/>
              <w:left w:val="nil"/>
              <w:bottom w:val="single" w:color="auto" w:sz="4" w:space="0"/>
              <w:right w:val="single" w:color="auto" w:sz="4" w:space="0"/>
            </w:tcBorders>
            <w:vAlign w:val="center"/>
          </w:tcPr>
          <w:p w14:paraId="579F444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2021-2021</w:t>
            </w:r>
          </w:p>
        </w:tc>
        <w:tc>
          <w:tcPr>
            <w:tcW w:w="1145" w:type="dxa"/>
            <w:tcBorders>
              <w:top w:val="nil"/>
              <w:left w:val="nil"/>
              <w:bottom w:val="single" w:color="auto" w:sz="4" w:space="0"/>
              <w:right w:val="single" w:color="auto" w:sz="4" w:space="0"/>
            </w:tcBorders>
            <w:vAlign w:val="center"/>
          </w:tcPr>
          <w:p w14:paraId="68E906F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54EF4D57">
            <w:pPr>
              <w:widowControl/>
              <w:jc w:val="left"/>
              <w:rPr>
                <w:rFonts w:ascii="Times New Roman" w:hAnsi="Times New Roman" w:eastAsia="Times New Roman" w:cs="Times New Roman"/>
                <w:kern w:val="0"/>
                <w:sz w:val="20"/>
                <w:szCs w:val="20"/>
              </w:rPr>
            </w:pPr>
          </w:p>
        </w:tc>
      </w:tr>
      <w:tr w14:paraId="4BE05FDD">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4F2BE42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126</w:t>
            </w:r>
          </w:p>
        </w:tc>
        <w:tc>
          <w:tcPr>
            <w:tcW w:w="1981" w:type="dxa"/>
            <w:tcBorders>
              <w:top w:val="nil"/>
              <w:left w:val="nil"/>
              <w:bottom w:val="single" w:color="auto" w:sz="4" w:space="0"/>
              <w:right w:val="single" w:color="auto" w:sz="4" w:space="0"/>
            </w:tcBorders>
            <w:vAlign w:val="center"/>
          </w:tcPr>
          <w:p w14:paraId="3DAC4BD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泉州市大数据综合应用服务项目</w:t>
            </w:r>
          </w:p>
        </w:tc>
        <w:tc>
          <w:tcPr>
            <w:tcW w:w="945" w:type="dxa"/>
            <w:tcBorders>
              <w:top w:val="nil"/>
              <w:left w:val="nil"/>
              <w:bottom w:val="single" w:color="auto" w:sz="4" w:space="0"/>
              <w:right w:val="single" w:color="auto" w:sz="4" w:space="0"/>
            </w:tcBorders>
            <w:vAlign w:val="center"/>
          </w:tcPr>
          <w:p w14:paraId="539973E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7B0D99B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市政务数据汇聚与共享应用平台（一期）的工程基础上，建设二期及后续项目，构建市级公共数据资源开放平台和开发平台、大数据交易平台并向社会开放，形成市级“三平台一中心”。构建全市数据安全服务体系并为各大数据应用系统赋能。</w:t>
            </w:r>
          </w:p>
        </w:tc>
        <w:tc>
          <w:tcPr>
            <w:tcW w:w="1342" w:type="dxa"/>
            <w:tcBorders>
              <w:top w:val="nil"/>
              <w:left w:val="nil"/>
              <w:bottom w:val="single" w:color="auto" w:sz="4" w:space="0"/>
              <w:right w:val="single" w:color="auto" w:sz="4" w:space="0"/>
            </w:tcBorders>
            <w:vAlign w:val="center"/>
          </w:tcPr>
          <w:p w14:paraId="7687E81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3.15</w:t>
            </w:r>
          </w:p>
        </w:tc>
        <w:tc>
          <w:tcPr>
            <w:tcW w:w="1866" w:type="dxa"/>
            <w:tcBorders>
              <w:top w:val="nil"/>
              <w:left w:val="nil"/>
              <w:bottom w:val="single" w:color="auto" w:sz="4" w:space="0"/>
              <w:right w:val="single" w:color="auto" w:sz="4" w:space="0"/>
            </w:tcBorders>
            <w:vAlign w:val="center"/>
          </w:tcPr>
          <w:p w14:paraId="717F23B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0A9B233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市大数据公司</w:t>
            </w:r>
          </w:p>
        </w:tc>
        <w:tc>
          <w:tcPr>
            <w:tcW w:w="236" w:type="dxa"/>
            <w:vAlign w:val="center"/>
          </w:tcPr>
          <w:p w14:paraId="4CD36D91">
            <w:pPr>
              <w:widowControl/>
              <w:jc w:val="left"/>
              <w:rPr>
                <w:rFonts w:ascii="Times New Roman" w:hAnsi="Times New Roman" w:eastAsia="Times New Roman" w:cs="Times New Roman"/>
                <w:kern w:val="0"/>
                <w:sz w:val="20"/>
                <w:szCs w:val="20"/>
              </w:rPr>
            </w:pPr>
          </w:p>
        </w:tc>
      </w:tr>
      <w:tr w14:paraId="36569E75">
        <w:tblPrEx>
          <w:tblCellMar>
            <w:top w:w="0" w:type="dxa"/>
            <w:left w:w="108" w:type="dxa"/>
            <w:bottom w:w="0" w:type="dxa"/>
            <w:right w:w="108" w:type="dxa"/>
          </w:tblCellMar>
        </w:tblPrEx>
        <w:trPr>
          <w:trHeight w:val="2016" w:hRule="atLeast"/>
        </w:trPr>
        <w:tc>
          <w:tcPr>
            <w:tcW w:w="566" w:type="dxa"/>
            <w:tcBorders>
              <w:top w:val="nil"/>
              <w:left w:val="single" w:color="auto" w:sz="4" w:space="0"/>
              <w:bottom w:val="single" w:color="auto" w:sz="4" w:space="0"/>
              <w:right w:val="single" w:color="auto" w:sz="4" w:space="0"/>
            </w:tcBorders>
            <w:vAlign w:val="center"/>
          </w:tcPr>
          <w:p w14:paraId="12C9348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127</w:t>
            </w:r>
          </w:p>
        </w:tc>
        <w:tc>
          <w:tcPr>
            <w:tcW w:w="1981" w:type="dxa"/>
            <w:tcBorders>
              <w:top w:val="nil"/>
              <w:left w:val="nil"/>
              <w:bottom w:val="single" w:color="auto" w:sz="4" w:space="0"/>
              <w:right w:val="single" w:color="auto" w:sz="4" w:space="0"/>
            </w:tcBorders>
            <w:vAlign w:val="center"/>
          </w:tcPr>
          <w:p w14:paraId="1C3D581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泉州市产业大脑综合服务项目</w:t>
            </w:r>
          </w:p>
        </w:tc>
        <w:tc>
          <w:tcPr>
            <w:tcW w:w="945" w:type="dxa"/>
            <w:tcBorders>
              <w:top w:val="nil"/>
              <w:left w:val="nil"/>
              <w:bottom w:val="single" w:color="auto" w:sz="4" w:space="0"/>
              <w:right w:val="single" w:color="auto" w:sz="4" w:space="0"/>
            </w:tcBorders>
            <w:vAlign w:val="center"/>
          </w:tcPr>
          <w:p w14:paraId="77E5952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5769047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依托大数据画像技术，构建全市产业景观、产景地图、产业图谱、风控雷达，并对重点产业园区进行画像。依托公共信用信息数据，对企业进行信用赋能，创新普惠金融应用。构建区块链可信溯源认证系统，对我市品牌农副产品、鞋服、陶瓷等各类产业进行从生产到物流传输再到销售的全过程进行跟踪溯源，提升企业品牌价值。构建工业智能引擎，提供数据工厂、算法工厂、应用工厂，推动企业转型升级，培育工业大数据产业生态体系。</w:t>
            </w:r>
          </w:p>
        </w:tc>
        <w:tc>
          <w:tcPr>
            <w:tcW w:w="1342" w:type="dxa"/>
            <w:tcBorders>
              <w:top w:val="nil"/>
              <w:left w:val="nil"/>
              <w:bottom w:val="single" w:color="auto" w:sz="4" w:space="0"/>
              <w:right w:val="single" w:color="auto" w:sz="4" w:space="0"/>
            </w:tcBorders>
            <w:vAlign w:val="center"/>
          </w:tcPr>
          <w:p w14:paraId="5CA2F48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707322E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0A1BCD1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市大数据公司</w:t>
            </w:r>
          </w:p>
        </w:tc>
        <w:tc>
          <w:tcPr>
            <w:tcW w:w="236" w:type="dxa"/>
            <w:vAlign w:val="center"/>
          </w:tcPr>
          <w:p w14:paraId="17D26575">
            <w:pPr>
              <w:widowControl/>
              <w:jc w:val="left"/>
              <w:rPr>
                <w:rFonts w:ascii="Times New Roman" w:hAnsi="Times New Roman" w:eastAsia="Times New Roman" w:cs="Times New Roman"/>
                <w:kern w:val="0"/>
                <w:sz w:val="20"/>
                <w:szCs w:val="20"/>
              </w:rPr>
            </w:pPr>
          </w:p>
        </w:tc>
      </w:tr>
      <w:tr w14:paraId="4C20DD37">
        <w:tblPrEx>
          <w:tblCellMar>
            <w:top w:w="0" w:type="dxa"/>
            <w:left w:w="108" w:type="dxa"/>
            <w:bottom w:w="0" w:type="dxa"/>
            <w:right w:w="108" w:type="dxa"/>
          </w:tblCellMar>
        </w:tblPrEx>
        <w:trPr>
          <w:trHeight w:val="1440" w:hRule="atLeast"/>
        </w:trPr>
        <w:tc>
          <w:tcPr>
            <w:tcW w:w="566" w:type="dxa"/>
            <w:tcBorders>
              <w:top w:val="single" w:color="auto" w:sz="4" w:space="0"/>
              <w:left w:val="single" w:color="auto" w:sz="4" w:space="0"/>
              <w:bottom w:val="single" w:color="auto" w:sz="4" w:space="0"/>
              <w:right w:val="single" w:color="auto" w:sz="4" w:space="0"/>
            </w:tcBorders>
            <w:vAlign w:val="center"/>
          </w:tcPr>
          <w:p w14:paraId="17C7D19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128</w:t>
            </w:r>
          </w:p>
        </w:tc>
        <w:tc>
          <w:tcPr>
            <w:tcW w:w="1981" w:type="dxa"/>
            <w:tcBorders>
              <w:top w:val="single" w:color="auto" w:sz="4" w:space="0"/>
              <w:left w:val="nil"/>
              <w:bottom w:val="single" w:color="auto" w:sz="4" w:space="0"/>
              <w:right w:val="single" w:color="auto" w:sz="4" w:space="0"/>
            </w:tcBorders>
            <w:vAlign w:val="center"/>
          </w:tcPr>
          <w:p w14:paraId="24775B7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市数据汇聚平台二期项目</w:t>
            </w:r>
          </w:p>
        </w:tc>
        <w:tc>
          <w:tcPr>
            <w:tcW w:w="945" w:type="dxa"/>
            <w:tcBorders>
              <w:top w:val="single" w:color="auto" w:sz="4" w:space="0"/>
              <w:left w:val="nil"/>
              <w:bottom w:val="single" w:color="auto" w:sz="4" w:space="0"/>
              <w:right w:val="single" w:color="auto" w:sz="4" w:space="0"/>
            </w:tcBorders>
            <w:vAlign w:val="center"/>
          </w:tcPr>
          <w:p w14:paraId="7B5B2FA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5505A7D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实现市直部门、县（市、区）数据全量汇聚，整合一照一码、电子证照库，构建自然人、法人和智慧城市相关主题应用，集成省级平台相关服务资源，提升泉州市政务大数据资源中心的数据汇聚、共享和应用能力，构建完善数据安全体系，建设完善公共基础信息库。</w:t>
            </w:r>
          </w:p>
        </w:tc>
        <w:tc>
          <w:tcPr>
            <w:tcW w:w="1342" w:type="dxa"/>
            <w:tcBorders>
              <w:top w:val="single" w:color="auto" w:sz="4" w:space="0"/>
              <w:left w:val="nil"/>
              <w:bottom w:val="single" w:color="auto" w:sz="4" w:space="0"/>
              <w:right w:val="single" w:color="auto" w:sz="4" w:space="0"/>
            </w:tcBorders>
            <w:vAlign w:val="center"/>
          </w:tcPr>
          <w:p w14:paraId="2AA0FCB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0.15</w:t>
            </w:r>
          </w:p>
        </w:tc>
        <w:tc>
          <w:tcPr>
            <w:tcW w:w="1866" w:type="dxa"/>
            <w:tcBorders>
              <w:top w:val="single" w:color="auto" w:sz="4" w:space="0"/>
              <w:left w:val="nil"/>
              <w:bottom w:val="single" w:color="auto" w:sz="4" w:space="0"/>
              <w:right w:val="single" w:color="auto" w:sz="4" w:space="0"/>
            </w:tcBorders>
            <w:vAlign w:val="center"/>
          </w:tcPr>
          <w:p w14:paraId="383B72F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single" w:color="auto" w:sz="4" w:space="0"/>
              <w:left w:val="nil"/>
              <w:bottom w:val="single" w:color="auto" w:sz="4" w:space="0"/>
              <w:right w:val="single" w:color="auto" w:sz="4" w:space="0"/>
            </w:tcBorders>
            <w:vAlign w:val="center"/>
          </w:tcPr>
          <w:p w14:paraId="691B806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3C5FC43C">
            <w:pPr>
              <w:widowControl/>
              <w:jc w:val="left"/>
              <w:rPr>
                <w:rFonts w:ascii="Times New Roman" w:hAnsi="Times New Roman" w:eastAsia="Times New Roman" w:cs="Times New Roman"/>
                <w:kern w:val="0"/>
                <w:sz w:val="20"/>
                <w:szCs w:val="20"/>
              </w:rPr>
            </w:pPr>
          </w:p>
        </w:tc>
      </w:tr>
      <w:tr w14:paraId="589BAC67">
        <w:tblPrEx>
          <w:tblCellMar>
            <w:top w:w="0" w:type="dxa"/>
            <w:left w:w="108" w:type="dxa"/>
            <w:bottom w:w="0" w:type="dxa"/>
            <w:right w:w="108" w:type="dxa"/>
          </w:tblCellMar>
        </w:tblPrEx>
        <w:trPr>
          <w:trHeight w:val="1728" w:hRule="atLeast"/>
        </w:trPr>
        <w:tc>
          <w:tcPr>
            <w:tcW w:w="566" w:type="dxa"/>
            <w:tcBorders>
              <w:top w:val="nil"/>
              <w:left w:val="single" w:color="auto" w:sz="4" w:space="0"/>
              <w:bottom w:val="single" w:color="auto" w:sz="4" w:space="0"/>
              <w:right w:val="single" w:color="auto" w:sz="4" w:space="0"/>
            </w:tcBorders>
            <w:vAlign w:val="center"/>
          </w:tcPr>
          <w:p w14:paraId="115CA29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129</w:t>
            </w:r>
          </w:p>
        </w:tc>
        <w:tc>
          <w:tcPr>
            <w:tcW w:w="1981" w:type="dxa"/>
            <w:tcBorders>
              <w:top w:val="nil"/>
              <w:left w:val="nil"/>
              <w:bottom w:val="single" w:color="auto" w:sz="4" w:space="0"/>
              <w:right w:val="single" w:color="auto" w:sz="4" w:space="0"/>
            </w:tcBorders>
            <w:vAlign w:val="center"/>
          </w:tcPr>
          <w:p w14:paraId="0F87E81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公共数据资源开发、开放平台</w:t>
            </w:r>
          </w:p>
        </w:tc>
        <w:tc>
          <w:tcPr>
            <w:tcW w:w="945" w:type="dxa"/>
            <w:tcBorders>
              <w:top w:val="nil"/>
              <w:left w:val="nil"/>
              <w:bottom w:val="single" w:color="auto" w:sz="4" w:space="0"/>
              <w:right w:val="single" w:color="auto" w:sz="4" w:space="0"/>
            </w:tcBorders>
            <w:vAlign w:val="center"/>
          </w:tcPr>
          <w:p w14:paraId="2F15B7C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2DE179C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持续梳理我市重点领域公共数据资源，明确开放内容及脱敏规则，力争2021年底前向社会公众开放公共数据资源表200张以上，进一步带动社会公众开展大数据创新应用。探索创新政务大数据开发运营模式，依托市级大数据运营公司进行数据一级开发和运营，促进数据资源政用、商用和民用，依法合规开展数据交易和服务。探索构建市级“三平台一中心”的公共数据资源开发利用体系。</w:t>
            </w:r>
          </w:p>
        </w:tc>
        <w:tc>
          <w:tcPr>
            <w:tcW w:w="1342" w:type="dxa"/>
            <w:tcBorders>
              <w:top w:val="nil"/>
              <w:left w:val="nil"/>
              <w:bottom w:val="single" w:color="auto" w:sz="4" w:space="0"/>
              <w:right w:val="single" w:color="auto" w:sz="4" w:space="0"/>
            </w:tcBorders>
            <w:vAlign w:val="center"/>
          </w:tcPr>
          <w:p w14:paraId="3AF2549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4359163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6E930C0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4131D98B">
            <w:pPr>
              <w:widowControl/>
              <w:jc w:val="left"/>
              <w:rPr>
                <w:rFonts w:ascii="Times New Roman" w:hAnsi="Times New Roman" w:eastAsia="Times New Roman" w:cs="Times New Roman"/>
                <w:kern w:val="0"/>
                <w:sz w:val="20"/>
                <w:szCs w:val="20"/>
              </w:rPr>
            </w:pPr>
          </w:p>
        </w:tc>
      </w:tr>
      <w:tr w14:paraId="27AE47D3">
        <w:tblPrEx>
          <w:tblCellMar>
            <w:top w:w="0" w:type="dxa"/>
            <w:left w:w="108" w:type="dxa"/>
            <w:bottom w:w="0" w:type="dxa"/>
            <w:right w:w="108" w:type="dxa"/>
          </w:tblCellMar>
        </w:tblPrEx>
        <w:trPr>
          <w:trHeight w:val="2379" w:hRule="atLeast"/>
        </w:trPr>
        <w:tc>
          <w:tcPr>
            <w:tcW w:w="566" w:type="dxa"/>
            <w:tcBorders>
              <w:top w:val="single" w:color="auto" w:sz="4" w:space="0"/>
              <w:left w:val="single" w:color="auto" w:sz="4" w:space="0"/>
              <w:bottom w:val="single" w:color="auto" w:sz="4" w:space="0"/>
              <w:right w:val="single" w:color="auto" w:sz="4" w:space="0"/>
            </w:tcBorders>
            <w:vAlign w:val="center"/>
          </w:tcPr>
          <w:p w14:paraId="56D1AC3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130</w:t>
            </w:r>
          </w:p>
        </w:tc>
        <w:tc>
          <w:tcPr>
            <w:tcW w:w="1981" w:type="dxa"/>
            <w:tcBorders>
              <w:top w:val="single" w:color="auto" w:sz="4" w:space="0"/>
              <w:left w:val="nil"/>
              <w:bottom w:val="single" w:color="auto" w:sz="4" w:space="0"/>
              <w:right w:val="single" w:color="auto" w:sz="4" w:space="0"/>
            </w:tcBorders>
            <w:vAlign w:val="center"/>
          </w:tcPr>
          <w:p w14:paraId="47FE234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无线泉州“大数据”一期工程</w:t>
            </w:r>
          </w:p>
        </w:tc>
        <w:tc>
          <w:tcPr>
            <w:tcW w:w="945" w:type="dxa"/>
            <w:tcBorders>
              <w:top w:val="single" w:color="auto" w:sz="4" w:space="0"/>
              <w:left w:val="nil"/>
              <w:bottom w:val="single" w:color="auto" w:sz="4" w:space="0"/>
              <w:right w:val="single" w:color="auto" w:sz="4" w:space="0"/>
            </w:tcBorders>
            <w:vAlign w:val="center"/>
          </w:tcPr>
          <w:p w14:paraId="7848060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4791C4F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通过对用户线上线下行为深度洞察，构建全面、精准、多维的用户画像体系，为APP提供丰富的用户画像数据以及实时的场景识别能力，帮助平台全方位了解用户并落地到实际场景，可将大数据后台分析所得用户所用的高频功能模块重新组合，实现“千人千面”的前端展示，最终将平台建成一个生活和政务一体化的融媒体生活中心。</w:t>
            </w:r>
          </w:p>
        </w:tc>
        <w:tc>
          <w:tcPr>
            <w:tcW w:w="1342" w:type="dxa"/>
            <w:tcBorders>
              <w:top w:val="single" w:color="auto" w:sz="4" w:space="0"/>
              <w:left w:val="nil"/>
              <w:bottom w:val="single" w:color="auto" w:sz="4" w:space="0"/>
              <w:right w:val="single" w:color="auto" w:sz="4" w:space="0"/>
            </w:tcBorders>
            <w:vAlign w:val="center"/>
          </w:tcPr>
          <w:p w14:paraId="72FE254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0.124</w:t>
            </w:r>
          </w:p>
        </w:tc>
        <w:tc>
          <w:tcPr>
            <w:tcW w:w="1866" w:type="dxa"/>
            <w:tcBorders>
              <w:top w:val="single" w:color="auto" w:sz="4" w:space="0"/>
              <w:left w:val="nil"/>
              <w:bottom w:val="single" w:color="auto" w:sz="4" w:space="0"/>
              <w:right w:val="single" w:color="auto" w:sz="4" w:space="0"/>
            </w:tcBorders>
            <w:vAlign w:val="center"/>
          </w:tcPr>
          <w:p w14:paraId="21D016E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single" w:color="auto" w:sz="4" w:space="0"/>
              <w:left w:val="nil"/>
              <w:bottom w:val="single" w:color="auto" w:sz="4" w:space="0"/>
              <w:right w:val="single" w:color="auto" w:sz="4" w:space="0"/>
            </w:tcBorders>
            <w:vAlign w:val="center"/>
          </w:tcPr>
          <w:p w14:paraId="50766A4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泉州广播电视台</w:t>
            </w:r>
          </w:p>
        </w:tc>
        <w:tc>
          <w:tcPr>
            <w:tcW w:w="236" w:type="dxa"/>
            <w:vAlign w:val="center"/>
          </w:tcPr>
          <w:p w14:paraId="30416C94">
            <w:pPr>
              <w:widowControl/>
              <w:jc w:val="left"/>
              <w:rPr>
                <w:rFonts w:ascii="Times New Roman" w:hAnsi="Times New Roman" w:eastAsia="Times New Roman" w:cs="Times New Roman"/>
                <w:kern w:val="0"/>
                <w:sz w:val="20"/>
                <w:szCs w:val="20"/>
              </w:rPr>
            </w:pPr>
          </w:p>
        </w:tc>
      </w:tr>
      <w:tr w14:paraId="16EAA577">
        <w:tblPrEx>
          <w:tblCellMar>
            <w:top w:w="0" w:type="dxa"/>
            <w:left w:w="108" w:type="dxa"/>
            <w:bottom w:w="0" w:type="dxa"/>
            <w:right w:w="108" w:type="dxa"/>
          </w:tblCellMar>
        </w:tblPrEx>
        <w:trPr>
          <w:trHeight w:val="1532" w:hRule="atLeast"/>
        </w:trPr>
        <w:tc>
          <w:tcPr>
            <w:tcW w:w="566" w:type="dxa"/>
            <w:tcBorders>
              <w:top w:val="nil"/>
              <w:left w:val="single" w:color="auto" w:sz="4" w:space="0"/>
              <w:bottom w:val="single" w:color="auto" w:sz="4" w:space="0"/>
              <w:right w:val="single" w:color="auto" w:sz="4" w:space="0"/>
            </w:tcBorders>
            <w:vAlign w:val="center"/>
          </w:tcPr>
          <w:p w14:paraId="7AB6924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131</w:t>
            </w:r>
          </w:p>
        </w:tc>
        <w:tc>
          <w:tcPr>
            <w:tcW w:w="1981" w:type="dxa"/>
            <w:tcBorders>
              <w:top w:val="nil"/>
              <w:left w:val="nil"/>
              <w:bottom w:val="single" w:color="auto" w:sz="4" w:space="0"/>
              <w:right w:val="single" w:color="auto" w:sz="4" w:space="0"/>
            </w:tcBorders>
            <w:vAlign w:val="center"/>
          </w:tcPr>
          <w:p w14:paraId="44F6F4D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我答答便民商圈平台</w:t>
            </w:r>
          </w:p>
        </w:tc>
        <w:tc>
          <w:tcPr>
            <w:tcW w:w="945" w:type="dxa"/>
            <w:tcBorders>
              <w:top w:val="nil"/>
              <w:left w:val="nil"/>
              <w:bottom w:val="single" w:color="auto" w:sz="4" w:space="0"/>
              <w:right w:val="single" w:color="auto" w:sz="4" w:space="0"/>
            </w:tcBorders>
            <w:vAlign w:val="center"/>
          </w:tcPr>
          <w:p w14:paraId="58B118D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132183F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平台分为同城信息、便民服务、同城直播、美食外卖、休闲娱乐5大模块，打造城市便民生活总入口，通过大数据分析，智能推送相匹配的需求讯息给用户，使用户享受更多实惠，使商家获得更多流量，大数据应用赋能人们的生活更便捷更多彩。</w:t>
            </w:r>
          </w:p>
        </w:tc>
        <w:tc>
          <w:tcPr>
            <w:tcW w:w="1342" w:type="dxa"/>
            <w:tcBorders>
              <w:top w:val="nil"/>
              <w:left w:val="nil"/>
              <w:bottom w:val="single" w:color="auto" w:sz="4" w:space="0"/>
              <w:right w:val="single" w:color="auto" w:sz="4" w:space="0"/>
            </w:tcBorders>
            <w:vAlign w:val="center"/>
          </w:tcPr>
          <w:p w14:paraId="2925E62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nil"/>
              <w:left w:val="nil"/>
              <w:bottom w:val="single" w:color="auto" w:sz="4" w:space="0"/>
              <w:right w:val="single" w:color="auto" w:sz="4" w:space="0"/>
            </w:tcBorders>
            <w:vAlign w:val="center"/>
          </w:tcPr>
          <w:p w14:paraId="37385B0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2019-2022</w:t>
            </w:r>
          </w:p>
        </w:tc>
        <w:tc>
          <w:tcPr>
            <w:tcW w:w="1145" w:type="dxa"/>
            <w:tcBorders>
              <w:top w:val="nil"/>
              <w:left w:val="nil"/>
              <w:bottom w:val="single" w:color="auto" w:sz="4" w:space="0"/>
              <w:right w:val="single" w:color="auto" w:sz="4" w:space="0"/>
            </w:tcBorders>
            <w:vAlign w:val="center"/>
          </w:tcPr>
          <w:p w14:paraId="427B9F3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1BF1A4B4">
            <w:pPr>
              <w:widowControl/>
              <w:jc w:val="left"/>
              <w:rPr>
                <w:rFonts w:ascii="Times New Roman" w:hAnsi="Times New Roman" w:eastAsia="Times New Roman" w:cs="Times New Roman"/>
                <w:kern w:val="0"/>
                <w:sz w:val="20"/>
                <w:szCs w:val="20"/>
              </w:rPr>
            </w:pPr>
          </w:p>
        </w:tc>
      </w:tr>
      <w:tr w14:paraId="5992EE1E">
        <w:tblPrEx>
          <w:tblCellMar>
            <w:top w:w="0" w:type="dxa"/>
            <w:left w:w="108" w:type="dxa"/>
            <w:bottom w:w="0" w:type="dxa"/>
            <w:right w:w="108" w:type="dxa"/>
          </w:tblCellMar>
        </w:tblPrEx>
        <w:trPr>
          <w:trHeight w:val="576" w:hRule="atLeast"/>
        </w:trPr>
        <w:tc>
          <w:tcPr>
            <w:tcW w:w="566" w:type="dxa"/>
            <w:tcBorders>
              <w:top w:val="single" w:color="auto" w:sz="4" w:space="0"/>
              <w:left w:val="single" w:color="auto" w:sz="4" w:space="0"/>
              <w:bottom w:val="single" w:color="auto" w:sz="4" w:space="0"/>
              <w:right w:val="single" w:color="auto" w:sz="4" w:space="0"/>
            </w:tcBorders>
            <w:vAlign w:val="center"/>
          </w:tcPr>
          <w:p w14:paraId="703C36BA">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132</w:t>
            </w:r>
          </w:p>
        </w:tc>
        <w:tc>
          <w:tcPr>
            <w:tcW w:w="1981" w:type="dxa"/>
            <w:tcBorders>
              <w:top w:val="single" w:color="auto" w:sz="4" w:space="0"/>
              <w:left w:val="nil"/>
              <w:bottom w:val="single" w:color="auto" w:sz="4" w:space="0"/>
              <w:right w:val="single" w:color="auto" w:sz="4" w:space="0"/>
            </w:tcBorders>
            <w:vAlign w:val="center"/>
          </w:tcPr>
          <w:p w14:paraId="0BF248B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智能制造大数据云平台</w:t>
            </w:r>
          </w:p>
        </w:tc>
        <w:tc>
          <w:tcPr>
            <w:tcW w:w="945" w:type="dxa"/>
            <w:tcBorders>
              <w:top w:val="single" w:color="auto" w:sz="4" w:space="0"/>
              <w:left w:val="nil"/>
              <w:bottom w:val="single" w:color="auto" w:sz="4" w:space="0"/>
              <w:right w:val="single" w:color="auto" w:sz="4" w:space="0"/>
            </w:tcBorders>
            <w:vAlign w:val="center"/>
          </w:tcPr>
          <w:p w14:paraId="4E808CB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single" w:color="auto" w:sz="4" w:space="0"/>
              <w:left w:val="nil"/>
              <w:bottom w:val="single" w:color="auto" w:sz="4" w:space="0"/>
              <w:right w:val="single" w:color="auto" w:sz="4" w:space="0"/>
            </w:tcBorders>
            <w:vAlign w:val="center"/>
          </w:tcPr>
          <w:p w14:paraId="5091354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实现智能设备互联网、数据云收集。</w:t>
            </w:r>
          </w:p>
        </w:tc>
        <w:tc>
          <w:tcPr>
            <w:tcW w:w="1342" w:type="dxa"/>
            <w:tcBorders>
              <w:top w:val="single" w:color="auto" w:sz="4" w:space="0"/>
              <w:left w:val="nil"/>
              <w:bottom w:val="single" w:color="auto" w:sz="4" w:space="0"/>
              <w:right w:val="single" w:color="auto" w:sz="4" w:space="0"/>
            </w:tcBorders>
            <w:vAlign w:val="center"/>
          </w:tcPr>
          <w:p w14:paraId="0115901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single" w:color="auto" w:sz="4" w:space="0"/>
              <w:left w:val="nil"/>
              <w:bottom w:val="single" w:color="auto" w:sz="4" w:space="0"/>
              <w:right w:val="single" w:color="auto" w:sz="4" w:space="0"/>
            </w:tcBorders>
            <w:vAlign w:val="center"/>
          </w:tcPr>
          <w:p w14:paraId="1432CA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single" w:color="auto" w:sz="4" w:space="0"/>
              <w:left w:val="nil"/>
              <w:bottom w:val="single" w:color="auto" w:sz="4" w:space="0"/>
              <w:right w:val="single" w:color="auto" w:sz="4" w:space="0"/>
            </w:tcBorders>
            <w:vAlign w:val="center"/>
          </w:tcPr>
          <w:p w14:paraId="52597C4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089B9A48">
            <w:pPr>
              <w:widowControl/>
              <w:jc w:val="left"/>
              <w:rPr>
                <w:rFonts w:ascii="Times New Roman" w:hAnsi="Times New Roman" w:eastAsia="Times New Roman" w:cs="Times New Roman"/>
                <w:kern w:val="0"/>
                <w:sz w:val="20"/>
                <w:szCs w:val="20"/>
              </w:rPr>
            </w:pPr>
          </w:p>
        </w:tc>
      </w:tr>
      <w:tr w14:paraId="46747F2F">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6B16A63E">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133</w:t>
            </w:r>
          </w:p>
        </w:tc>
        <w:tc>
          <w:tcPr>
            <w:tcW w:w="1981" w:type="dxa"/>
            <w:tcBorders>
              <w:top w:val="nil"/>
              <w:left w:val="nil"/>
              <w:bottom w:val="single" w:color="auto" w:sz="4" w:space="0"/>
              <w:right w:val="single" w:color="auto" w:sz="4" w:space="0"/>
            </w:tcBorders>
            <w:vAlign w:val="center"/>
          </w:tcPr>
          <w:p w14:paraId="2A89BE7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工业互联网大数据平台</w:t>
            </w:r>
          </w:p>
        </w:tc>
        <w:tc>
          <w:tcPr>
            <w:tcW w:w="945" w:type="dxa"/>
            <w:tcBorders>
              <w:top w:val="nil"/>
              <w:left w:val="nil"/>
              <w:bottom w:val="single" w:color="auto" w:sz="4" w:space="0"/>
              <w:right w:val="single" w:color="auto" w:sz="4" w:space="0"/>
            </w:tcBorders>
            <w:vAlign w:val="center"/>
          </w:tcPr>
          <w:p w14:paraId="64CA6A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0567892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工业互联网、5G、大数据、云计算、人工智能的技术和平台支撑，搭建工业互联网大数据平台，以此实现基础设备的全连接、作业过程的智能化控制、生产管理的信息共享、产供销的协同联动、市场投放的动态调节。</w:t>
            </w:r>
          </w:p>
        </w:tc>
        <w:tc>
          <w:tcPr>
            <w:tcW w:w="1342" w:type="dxa"/>
            <w:tcBorders>
              <w:top w:val="nil"/>
              <w:left w:val="nil"/>
              <w:bottom w:val="single" w:color="auto" w:sz="4" w:space="0"/>
              <w:right w:val="single" w:color="auto" w:sz="4" w:space="0"/>
            </w:tcBorders>
            <w:vAlign w:val="center"/>
          </w:tcPr>
          <w:p w14:paraId="358E553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w:t>
            </w:r>
          </w:p>
        </w:tc>
        <w:tc>
          <w:tcPr>
            <w:tcW w:w="1866" w:type="dxa"/>
            <w:tcBorders>
              <w:top w:val="nil"/>
              <w:left w:val="nil"/>
              <w:bottom w:val="single" w:color="auto" w:sz="4" w:space="0"/>
              <w:right w:val="single" w:color="auto" w:sz="4" w:space="0"/>
            </w:tcBorders>
            <w:vAlign w:val="center"/>
          </w:tcPr>
          <w:p w14:paraId="0D65946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66C35F8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电信泉州分公司</w:t>
            </w:r>
          </w:p>
        </w:tc>
        <w:tc>
          <w:tcPr>
            <w:tcW w:w="236" w:type="dxa"/>
            <w:vAlign w:val="center"/>
          </w:tcPr>
          <w:p w14:paraId="678DE08E">
            <w:pPr>
              <w:widowControl/>
              <w:jc w:val="left"/>
              <w:rPr>
                <w:rFonts w:ascii="Times New Roman" w:hAnsi="Times New Roman" w:eastAsia="Times New Roman" w:cs="Times New Roman"/>
                <w:kern w:val="0"/>
                <w:sz w:val="20"/>
                <w:szCs w:val="20"/>
              </w:rPr>
            </w:pPr>
          </w:p>
        </w:tc>
      </w:tr>
      <w:tr w14:paraId="09147D55">
        <w:tblPrEx>
          <w:tblCellMar>
            <w:top w:w="0" w:type="dxa"/>
            <w:left w:w="108" w:type="dxa"/>
            <w:bottom w:w="0" w:type="dxa"/>
            <w:right w:w="108" w:type="dxa"/>
          </w:tblCellMar>
        </w:tblPrEx>
        <w:trPr>
          <w:trHeight w:val="2016" w:hRule="atLeast"/>
        </w:trPr>
        <w:tc>
          <w:tcPr>
            <w:tcW w:w="566" w:type="dxa"/>
            <w:tcBorders>
              <w:top w:val="nil"/>
              <w:left w:val="single" w:color="auto" w:sz="4" w:space="0"/>
              <w:bottom w:val="single" w:color="auto" w:sz="4" w:space="0"/>
              <w:right w:val="single" w:color="auto" w:sz="4" w:space="0"/>
            </w:tcBorders>
            <w:vAlign w:val="center"/>
          </w:tcPr>
          <w:p w14:paraId="2E9B0C22">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134</w:t>
            </w:r>
          </w:p>
        </w:tc>
        <w:tc>
          <w:tcPr>
            <w:tcW w:w="1981" w:type="dxa"/>
            <w:tcBorders>
              <w:top w:val="nil"/>
              <w:left w:val="nil"/>
              <w:bottom w:val="single" w:color="auto" w:sz="4" w:space="0"/>
              <w:right w:val="single" w:color="auto" w:sz="4" w:space="0"/>
            </w:tcBorders>
            <w:vAlign w:val="center"/>
          </w:tcPr>
          <w:p w14:paraId="71D5C00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基于鞋产业链条智能化公共服务平台</w:t>
            </w:r>
          </w:p>
        </w:tc>
        <w:tc>
          <w:tcPr>
            <w:tcW w:w="945" w:type="dxa"/>
            <w:tcBorders>
              <w:top w:val="nil"/>
              <w:left w:val="nil"/>
              <w:bottom w:val="single" w:color="auto" w:sz="4" w:space="0"/>
              <w:right w:val="single" w:color="auto" w:sz="4" w:space="0"/>
            </w:tcBorders>
            <w:vAlign w:val="center"/>
          </w:tcPr>
          <w:p w14:paraId="672582A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w:t>
            </w:r>
          </w:p>
        </w:tc>
        <w:tc>
          <w:tcPr>
            <w:tcW w:w="6233" w:type="dxa"/>
            <w:tcBorders>
              <w:top w:val="nil"/>
              <w:left w:val="nil"/>
              <w:bottom w:val="single" w:color="auto" w:sz="4" w:space="0"/>
              <w:right w:val="single" w:color="auto" w:sz="4" w:space="0"/>
            </w:tcBorders>
            <w:vAlign w:val="center"/>
          </w:tcPr>
          <w:p w14:paraId="0281C10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建立和积累产业标准数据，发挥数据连接作用，服务鞋产业上中下游企业的工业电子商务综合服务平台，依靠多年沉淀积累的企业供应商数据、征信数据、商品数据，持续建设有深度内容频道以及专业垂直市场，主要提供撮合（在线）交易、网络商铺、产业大数据、品牌营销推广、信息资讯、鞋材精准匹配及供应链管理等互联网服务，促进了鞋行业上中下游各环节降低成本、提升效率，带动鞋业转型升级。</w:t>
            </w:r>
          </w:p>
        </w:tc>
        <w:tc>
          <w:tcPr>
            <w:tcW w:w="1342" w:type="dxa"/>
            <w:tcBorders>
              <w:top w:val="nil"/>
              <w:left w:val="nil"/>
              <w:bottom w:val="single" w:color="auto" w:sz="4" w:space="0"/>
              <w:right w:val="single" w:color="auto" w:sz="4" w:space="0"/>
            </w:tcBorders>
            <w:vAlign w:val="center"/>
          </w:tcPr>
          <w:p w14:paraId="19705DC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0.15</w:t>
            </w:r>
          </w:p>
        </w:tc>
        <w:tc>
          <w:tcPr>
            <w:tcW w:w="1866" w:type="dxa"/>
            <w:tcBorders>
              <w:top w:val="nil"/>
              <w:left w:val="nil"/>
              <w:bottom w:val="single" w:color="auto" w:sz="4" w:space="0"/>
              <w:right w:val="single" w:color="auto" w:sz="4" w:space="0"/>
            </w:tcBorders>
            <w:vAlign w:val="center"/>
          </w:tcPr>
          <w:p w14:paraId="45FA7B6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tcBorders>
              <w:top w:val="nil"/>
              <w:left w:val="nil"/>
              <w:bottom w:val="single" w:color="auto" w:sz="4" w:space="0"/>
              <w:right w:val="single" w:color="auto" w:sz="4" w:space="0"/>
            </w:tcBorders>
            <w:vAlign w:val="center"/>
          </w:tcPr>
          <w:p w14:paraId="25391BC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丰泽区人民政府</w:t>
            </w:r>
          </w:p>
        </w:tc>
        <w:tc>
          <w:tcPr>
            <w:tcW w:w="236" w:type="dxa"/>
            <w:vAlign w:val="center"/>
          </w:tcPr>
          <w:p w14:paraId="296F5003">
            <w:pPr>
              <w:widowControl/>
              <w:jc w:val="left"/>
              <w:rPr>
                <w:rFonts w:ascii="Times New Roman" w:hAnsi="Times New Roman" w:eastAsia="Times New Roman" w:cs="Times New Roman"/>
                <w:kern w:val="0"/>
                <w:sz w:val="20"/>
                <w:szCs w:val="20"/>
              </w:rPr>
            </w:pPr>
          </w:p>
        </w:tc>
      </w:tr>
      <w:tr w14:paraId="1CF6DC3E">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5C16A8A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135</w:t>
            </w:r>
          </w:p>
        </w:tc>
        <w:tc>
          <w:tcPr>
            <w:tcW w:w="1981" w:type="dxa"/>
            <w:tcBorders>
              <w:top w:val="nil"/>
              <w:left w:val="nil"/>
              <w:bottom w:val="single" w:color="auto" w:sz="4" w:space="0"/>
              <w:right w:val="single" w:color="auto" w:sz="4" w:space="0"/>
            </w:tcBorders>
            <w:vAlign w:val="center"/>
          </w:tcPr>
          <w:p w14:paraId="75EDAC72">
            <w:pPr>
              <w:rPr>
                <w:rFonts w:ascii="Times New Roman" w:hAnsi="Times New Roman" w:eastAsia="仿宋_GB2312" w:cs="Times New Roman"/>
                <w:sz w:val="22"/>
              </w:rPr>
            </w:pPr>
            <w:r>
              <w:rPr>
                <w:rFonts w:ascii="Times New Roman" w:hAnsi="Times New Roman" w:eastAsia="仿宋_GB2312" w:cs="Times New Roman"/>
                <w:sz w:val="22"/>
              </w:rPr>
              <w:t>“云上泉州”数字金融综合服务平台</w:t>
            </w:r>
          </w:p>
        </w:tc>
        <w:tc>
          <w:tcPr>
            <w:tcW w:w="945" w:type="dxa"/>
            <w:tcBorders>
              <w:top w:val="nil"/>
              <w:left w:val="nil"/>
              <w:bottom w:val="single" w:color="auto" w:sz="4" w:space="0"/>
              <w:right w:val="single" w:color="auto" w:sz="4" w:space="0"/>
            </w:tcBorders>
            <w:vAlign w:val="center"/>
          </w:tcPr>
          <w:p w14:paraId="44118FFD">
            <w:pPr>
              <w:jc w:val="center"/>
              <w:rPr>
                <w:rFonts w:ascii="Times New Roman" w:hAnsi="Times New Roman" w:eastAsia="仿宋_GB2312" w:cs="Times New Roman"/>
                <w:sz w:val="22"/>
              </w:rPr>
            </w:pPr>
            <w:r>
              <w:rPr>
                <w:rFonts w:ascii="Times New Roman" w:hAnsi="Times New Roman" w:eastAsia="仿宋_GB2312" w:cs="Times New Roman"/>
                <w:sz w:val="22"/>
              </w:rPr>
              <w:t>泉州市</w:t>
            </w:r>
          </w:p>
        </w:tc>
        <w:tc>
          <w:tcPr>
            <w:tcW w:w="6233" w:type="dxa"/>
            <w:tcBorders>
              <w:top w:val="nil"/>
              <w:left w:val="nil"/>
              <w:bottom w:val="single" w:color="auto" w:sz="4" w:space="0"/>
              <w:right w:val="single" w:color="auto" w:sz="4" w:space="0"/>
            </w:tcBorders>
            <w:vAlign w:val="center"/>
          </w:tcPr>
          <w:p w14:paraId="3846D4DF">
            <w:pPr>
              <w:rPr>
                <w:rFonts w:ascii="Times New Roman" w:hAnsi="Times New Roman" w:eastAsia="仿宋_GB2312" w:cs="Times New Roman"/>
                <w:sz w:val="22"/>
              </w:rPr>
            </w:pPr>
            <w:r>
              <w:rPr>
                <w:rFonts w:ascii="Times New Roman" w:hAnsi="Times New Roman" w:eastAsia="仿宋_GB2312" w:cs="Times New Roman"/>
                <w:sz w:val="22"/>
              </w:rPr>
              <w:t>以大数据技术为依托，信用信息为基础，搭建“云上泉州”数字金融服务平台，为我市中小企业、市属国有企业提供服务实体经济的云端数字桥梁。整合各级金融资源，建设市属国企线上供应链金融、云上泉州阳光采购综合金融服务、泉州拍E贷等各大板块落地。</w:t>
            </w:r>
          </w:p>
        </w:tc>
        <w:tc>
          <w:tcPr>
            <w:tcW w:w="1342" w:type="dxa"/>
            <w:tcBorders>
              <w:top w:val="nil"/>
              <w:left w:val="nil"/>
              <w:bottom w:val="single" w:color="auto" w:sz="4" w:space="0"/>
              <w:right w:val="single" w:color="auto" w:sz="4" w:space="0"/>
            </w:tcBorders>
            <w:vAlign w:val="center"/>
          </w:tcPr>
          <w:p w14:paraId="388A46FF">
            <w:pPr>
              <w:jc w:val="center"/>
              <w:rPr>
                <w:rFonts w:ascii="Times New Roman" w:hAnsi="Times New Roman" w:eastAsia="仿宋_GB2312" w:cs="Times New Roman"/>
                <w:sz w:val="22"/>
              </w:rPr>
            </w:pPr>
            <w:r>
              <w:rPr>
                <w:rFonts w:ascii="Times New Roman" w:hAnsi="Times New Roman" w:eastAsia="仿宋_GB2312" w:cs="Times New Roman"/>
                <w:sz w:val="22"/>
              </w:rPr>
              <w:t>0.22</w:t>
            </w:r>
          </w:p>
        </w:tc>
        <w:tc>
          <w:tcPr>
            <w:tcW w:w="1866" w:type="dxa"/>
            <w:tcBorders>
              <w:top w:val="nil"/>
              <w:left w:val="nil"/>
              <w:bottom w:val="single" w:color="auto" w:sz="4" w:space="0"/>
              <w:right w:val="single" w:color="auto" w:sz="4" w:space="0"/>
            </w:tcBorders>
            <w:vAlign w:val="center"/>
          </w:tcPr>
          <w:p w14:paraId="0598D20D">
            <w:pPr>
              <w:jc w:val="center"/>
              <w:rPr>
                <w:rFonts w:ascii="Times New Roman" w:hAnsi="Times New Roman" w:eastAsia="仿宋_GB2312" w:cs="Times New Roman"/>
                <w:sz w:val="22"/>
              </w:rPr>
            </w:pPr>
            <w:r>
              <w:rPr>
                <w:rFonts w:ascii="Times New Roman" w:hAnsi="Times New Roman" w:eastAsia="仿宋_GB2312" w:cs="Times New Roman"/>
                <w:sz w:val="22"/>
              </w:rPr>
              <w:t>2022-2024</w:t>
            </w:r>
          </w:p>
        </w:tc>
        <w:tc>
          <w:tcPr>
            <w:tcW w:w="1145" w:type="dxa"/>
            <w:tcBorders>
              <w:top w:val="nil"/>
              <w:left w:val="nil"/>
              <w:bottom w:val="single" w:color="auto" w:sz="4" w:space="0"/>
              <w:right w:val="single" w:color="auto" w:sz="4" w:space="0"/>
            </w:tcBorders>
            <w:vAlign w:val="center"/>
          </w:tcPr>
          <w:p w14:paraId="01847CD0">
            <w:pPr>
              <w:jc w:val="center"/>
              <w:rPr>
                <w:rFonts w:ascii="Times New Roman" w:hAnsi="Times New Roman" w:eastAsia="仿宋_GB2312" w:cs="Times New Roman"/>
                <w:sz w:val="22"/>
              </w:rPr>
            </w:pPr>
            <w:r>
              <w:rPr>
                <w:rFonts w:ascii="Times New Roman" w:hAnsi="Times New Roman" w:eastAsia="仿宋_GB2312" w:cs="Times New Roman"/>
                <w:sz w:val="22"/>
              </w:rPr>
              <w:t>市金控集团</w:t>
            </w:r>
          </w:p>
        </w:tc>
        <w:tc>
          <w:tcPr>
            <w:tcW w:w="236" w:type="dxa"/>
            <w:vAlign w:val="center"/>
          </w:tcPr>
          <w:p w14:paraId="352F919E">
            <w:pPr>
              <w:widowControl/>
              <w:jc w:val="left"/>
              <w:rPr>
                <w:rFonts w:ascii="Times New Roman" w:hAnsi="Times New Roman" w:eastAsia="Times New Roman" w:cs="Times New Roman"/>
                <w:kern w:val="0"/>
                <w:sz w:val="20"/>
                <w:szCs w:val="20"/>
              </w:rPr>
            </w:pPr>
          </w:p>
        </w:tc>
      </w:tr>
      <w:tr w14:paraId="151EE1F8">
        <w:tblPrEx>
          <w:tblCellMar>
            <w:top w:w="0" w:type="dxa"/>
            <w:left w:w="108" w:type="dxa"/>
            <w:bottom w:w="0" w:type="dxa"/>
            <w:right w:w="108" w:type="dxa"/>
          </w:tblCellMar>
        </w:tblPrEx>
        <w:trPr>
          <w:trHeight w:val="1728" w:hRule="atLeast"/>
        </w:trPr>
        <w:tc>
          <w:tcPr>
            <w:tcW w:w="566" w:type="dxa"/>
            <w:tcBorders>
              <w:top w:val="nil"/>
              <w:left w:val="single" w:color="auto" w:sz="4" w:space="0"/>
              <w:bottom w:val="single" w:color="auto" w:sz="4" w:space="0"/>
              <w:right w:val="single" w:color="auto" w:sz="4" w:space="0"/>
            </w:tcBorders>
            <w:vAlign w:val="center"/>
          </w:tcPr>
          <w:p w14:paraId="2B9BF940">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136</w:t>
            </w:r>
          </w:p>
        </w:tc>
        <w:tc>
          <w:tcPr>
            <w:tcW w:w="1981" w:type="dxa"/>
            <w:tcBorders>
              <w:top w:val="nil"/>
              <w:left w:val="nil"/>
              <w:bottom w:val="single" w:color="auto" w:sz="4" w:space="0"/>
              <w:right w:val="single" w:color="auto" w:sz="4" w:space="0"/>
            </w:tcBorders>
            <w:vAlign w:val="center"/>
          </w:tcPr>
          <w:p w14:paraId="0BDBE7AE">
            <w:pPr>
              <w:rPr>
                <w:rFonts w:ascii="Times New Roman" w:hAnsi="Times New Roman" w:eastAsia="仿宋_GB2312" w:cs="Times New Roman"/>
                <w:sz w:val="22"/>
              </w:rPr>
            </w:pPr>
            <w:r>
              <w:rPr>
                <w:rFonts w:ascii="Times New Roman" w:hAnsi="Times New Roman" w:eastAsia="仿宋_GB2312" w:cs="Times New Roman"/>
                <w:sz w:val="22"/>
              </w:rPr>
              <w:t>力同AES融合通讯系统云平台数据服务中心</w:t>
            </w:r>
          </w:p>
        </w:tc>
        <w:tc>
          <w:tcPr>
            <w:tcW w:w="945" w:type="dxa"/>
            <w:tcBorders>
              <w:top w:val="nil"/>
              <w:left w:val="nil"/>
              <w:bottom w:val="single" w:color="auto" w:sz="4" w:space="0"/>
              <w:right w:val="single" w:color="auto" w:sz="4" w:space="0"/>
            </w:tcBorders>
            <w:vAlign w:val="center"/>
          </w:tcPr>
          <w:p w14:paraId="401024FC">
            <w:pPr>
              <w:jc w:val="center"/>
              <w:rPr>
                <w:rFonts w:ascii="Times New Roman" w:hAnsi="Times New Roman" w:eastAsia="仿宋_GB2312" w:cs="Times New Roman"/>
                <w:sz w:val="22"/>
              </w:rPr>
            </w:pPr>
            <w:r>
              <w:rPr>
                <w:rFonts w:ascii="Times New Roman" w:hAnsi="Times New Roman" w:eastAsia="仿宋_GB2312" w:cs="Times New Roman"/>
                <w:sz w:val="22"/>
              </w:rPr>
              <w:t>丰泽区</w:t>
            </w:r>
          </w:p>
        </w:tc>
        <w:tc>
          <w:tcPr>
            <w:tcW w:w="6233" w:type="dxa"/>
            <w:tcBorders>
              <w:top w:val="nil"/>
              <w:left w:val="nil"/>
              <w:bottom w:val="single" w:color="auto" w:sz="4" w:space="0"/>
              <w:right w:val="single" w:color="auto" w:sz="4" w:space="0"/>
            </w:tcBorders>
            <w:vAlign w:val="center"/>
          </w:tcPr>
          <w:p w14:paraId="3207FF6A">
            <w:pPr>
              <w:rPr>
                <w:rFonts w:ascii="Times New Roman" w:hAnsi="Times New Roman" w:eastAsia="仿宋_GB2312" w:cs="Times New Roman"/>
                <w:sz w:val="22"/>
              </w:rPr>
            </w:pPr>
            <w:r>
              <w:rPr>
                <w:rFonts w:ascii="Times New Roman" w:hAnsi="Times New Roman" w:eastAsia="仿宋_GB2312" w:cs="Times New Roman"/>
                <w:sz w:val="22"/>
              </w:rPr>
              <w:t>项目总投资额10亿元，建设力同专网通信（无线对讲）产业基地，以自主研发的芯片及软件平台服务为切入点，与合作伙伴共建“云、管、端、芯”产业链生态。力同科技拥有SoC芯片设计、软件无线电设计及宽窄融合通讯系统等关键技术和知识产权，全世界70%的对讲机产自泉州，泉州100%对讲机的核心芯片产自力同科技。项目建成投产后，将进一步推动泉州市专网通信产业的升级及集聚发展。</w:t>
            </w:r>
          </w:p>
        </w:tc>
        <w:tc>
          <w:tcPr>
            <w:tcW w:w="1342" w:type="dxa"/>
            <w:tcBorders>
              <w:top w:val="nil"/>
              <w:left w:val="nil"/>
              <w:bottom w:val="single" w:color="auto" w:sz="4" w:space="0"/>
              <w:right w:val="single" w:color="auto" w:sz="4" w:space="0"/>
            </w:tcBorders>
            <w:vAlign w:val="center"/>
          </w:tcPr>
          <w:p w14:paraId="1EC2A3B1">
            <w:pPr>
              <w:jc w:val="center"/>
              <w:rPr>
                <w:rFonts w:ascii="Times New Roman" w:hAnsi="Times New Roman" w:eastAsia="仿宋_GB2312" w:cs="Times New Roman"/>
                <w:sz w:val="22"/>
              </w:rPr>
            </w:pPr>
            <w:r>
              <w:rPr>
                <w:rFonts w:ascii="Times New Roman" w:hAnsi="Times New Roman" w:eastAsia="仿宋_GB2312" w:cs="Times New Roman"/>
                <w:sz w:val="22"/>
              </w:rPr>
              <w:t>10</w:t>
            </w:r>
          </w:p>
        </w:tc>
        <w:tc>
          <w:tcPr>
            <w:tcW w:w="1866" w:type="dxa"/>
            <w:tcBorders>
              <w:top w:val="nil"/>
              <w:left w:val="nil"/>
              <w:bottom w:val="single" w:color="auto" w:sz="4" w:space="0"/>
              <w:right w:val="single" w:color="auto" w:sz="4" w:space="0"/>
            </w:tcBorders>
            <w:vAlign w:val="center"/>
          </w:tcPr>
          <w:p w14:paraId="0C41BAF8">
            <w:pPr>
              <w:jc w:val="center"/>
              <w:rPr>
                <w:rFonts w:ascii="Times New Roman" w:hAnsi="Times New Roman" w:eastAsia="仿宋_GB2312" w:cs="Times New Roman"/>
                <w:sz w:val="22"/>
              </w:rPr>
            </w:pPr>
            <w:r>
              <w:rPr>
                <w:rFonts w:ascii="Times New Roman" w:hAnsi="Times New Roman" w:eastAsia="仿宋_GB2312" w:cs="Times New Roman"/>
                <w:sz w:val="22"/>
              </w:rPr>
              <w:t>2022-2026</w:t>
            </w:r>
          </w:p>
        </w:tc>
        <w:tc>
          <w:tcPr>
            <w:tcW w:w="1145" w:type="dxa"/>
            <w:tcBorders>
              <w:top w:val="nil"/>
              <w:left w:val="nil"/>
              <w:bottom w:val="single" w:color="auto" w:sz="4" w:space="0"/>
              <w:right w:val="single" w:color="auto" w:sz="4" w:space="0"/>
            </w:tcBorders>
            <w:vAlign w:val="center"/>
          </w:tcPr>
          <w:p w14:paraId="2ED079A0">
            <w:pPr>
              <w:jc w:val="center"/>
              <w:rPr>
                <w:rFonts w:ascii="Times New Roman" w:hAnsi="Times New Roman" w:eastAsia="仿宋_GB2312" w:cs="Times New Roman"/>
                <w:sz w:val="22"/>
              </w:rPr>
            </w:pPr>
            <w:r>
              <w:rPr>
                <w:rFonts w:ascii="Times New Roman" w:hAnsi="Times New Roman" w:eastAsia="仿宋_GB2312" w:cs="Times New Roman"/>
                <w:sz w:val="22"/>
              </w:rPr>
              <w:t>丰泽区人民政府</w:t>
            </w:r>
          </w:p>
        </w:tc>
        <w:tc>
          <w:tcPr>
            <w:tcW w:w="236" w:type="dxa"/>
            <w:vAlign w:val="center"/>
          </w:tcPr>
          <w:p w14:paraId="1D4BC721">
            <w:pPr>
              <w:widowControl/>
              <w:jc w:val="left"/>
              <w:rPr>
                <w:rFonts w:ascii="Times New Roman" w:hAnsi="Times New Roman" w:eastAsia="Times New Roman" w:cs="Times New Roman"/>
                <w:kern w:val="0"/>
                <w:sz w:val="20"/>
                <w:szCs w:val="20"/>
              </w:rPr>
            </w:pPr>
          </w:p>
        </w:tc>
      </w:tr>
      <w:tr w14:paraId="33A6B3E4">
        <w:tblPrEx>
          <w:tblCellMar>
            <w:top w:w="0" w:type="dxa"/>
            <w:left w:w="108" w:type="dxa"/>
            <w:bottom w:w="0" w:type="dxa"/>
            <w:right w:w="108" w:type="dxa"/>
          </w:tblCellMar>
        </w:tblPrEx>
        <w:trPr>
          <w:trHeight w:val="2304" w:hRule="atLeast"/>
        </w:trPr>
        <w:tc>
          <w:tcPr>
            <w:tcW w:w="566" w:type="dxa"/>
            <w:tcBorders>
              <w:top w:val="single" w:color="auto" w:sz="4" w:space="0"/>
              <w:left w:val="single" w:color="auto" w:sz="4" w:space="0"/>
              <w:bottom w:val="single" w:color="auto" w:sz="4" w:space="0"/>
              <w:right w:val="single" w:color="auto" w:sz="4" w:space="0"/>
            </w:tcBorders>
            <w:vAlign w:val="center"/>
          </w:tcPr>
          <w:p w14:paraId="1E3BAD8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137</w:t>
            </w:r>
          </w:p>
        </w:tc>
        <w:tc>
          <w:tcPr>
            <w:tcW w:w="1981" w:type="dxa"/>
            <w:tcBorders>
              <w:top w:val="single" w:color="auto" w:sz="4" w:space="0"/>
              <w:left w:val="nil"/>
              <w:bottom w:val="single" w:color="auto" w:sz="4" w:space="0"/>
              <w:right w:val="single" w:color="auto" w:sz="4" w:space="0"/>
            </w:tcBorders>
            <w:vAlign w:val="center"/>
          </w:tcPr>
          <w:p w14:paraId="113454F1">
            <w:pPr>
              <w:rPr>
                <w:rFonts w:ascii="Times New Roman" w:hAnsi="Times New Roman" w:eastAsia="仿宋_GB2312" w:cs="Times New Roman"/>
                <w:sz w:val="22"/>
              </w:rPr>
            </w:pPr>
            <w:r>
              <w:rPr>
                <w:rFonts w:ascii="Times New Roman" w:hAnsi="Times New Roman" w:eastAsia="仿宋_GB2312" w:cs="Times New Roman"/>
                <w:sz w:val="22"/>
              </w:rPr>
              <w:t>中国（泉州）电子商务大数据服务平台</w:t>
            </w:r>
          </w:p>
        </w:tc>
        <w:tc>
          <w:tcPr>
            <w:tcW w:w="945" w:type="dxa"/>
            <w:tcBorders>
              <w:top w:val="single" w:color="auto" w:sz="4" w:space="0"/>
              <w:left w:val="nil"/>
              <w:bottom w:val="single" w:color="auto" w:sz="4" w:space="0"/>
              <w:right w:val="single" w:color="auto" w:sz="4" w:space="0"/>
            </w:tcBorders>
            <w:vAlign w:val="center"/>
          </w:tcPr>
          <w:p w14:paraId="5A8D6DCD">
            <w:pPr>
              <w:jc w:val="center"/>
              <w:rPr>
                <w:rFonts w:ascii="Times New Roman" w:hAnsi="Times New Roman" w:eastAsia="仿宋_GB2312" w:cs="Times New Roman"/>
                <w:sz w:val="22"/>
              </w:rPr>
            </w:pPr>
            <w:r>
              <w:rPr>
                <w:rFonts w:ascii="Times New Roman" w:hAnsi="Times New Roman" w:eastAsia="仿宋_GB2312" w:cs="Times New Roman"/>
                <w:sz w:val="22"/>
              </w:rPr>
              <w:t>泉州市</w:t>
            </w:r>
          </w:p>
        </w:tc>
        <w:tc>
          <w:tcPr>
            <w:tcW w:w="6233" w:type="dxa"/>
            <w:tcBorders>
              <w:top w:val="single" w:color="auto" w:sz="4" w:space="0"/>
              <w:left w:val="nil"/>
              <w:bottom w:val="single" w:color="auto" w:sz="4" w:space="0"/>
              <w:right w:val="single" w:color="auto" w:sz="4" w:space="0"/>
            </w:tcBorders>
            <w:vAlign w:val="center"/>
          </w:tcPr>
          <w:p w14:paraId="4C258129">
            <w:pPr>
              <w:rPr>
                <w:rFonts w:ascii="Times New Roman" w:hAnsi="Times New Roman" w:eastAsia="仿宋_GB2312" w:cs="Times New Roman"/>
                <w:sz w:val="22"/>
              </w:rPr>
            </w:pPr>
            <w:r>
              <w:rPr>
                <w:rFonts w:ascii="Times New Roman" w:hAnsi="Times New Roman" w:eastAsia="仿宋_GB2312" w:cs="Times New Roman"/>
                <w:sz w:val="22"/>
              </w:rPr>
              <w:t>平台搭建产业生态服务子平台、供应链聚合子平台、跨境电商服务子平台等，通过数字化平台建设，可聚合优质供应商，有利打造泉州本土品牌走向全国走向世界。同时通过网络交易大数据共享等手段，加强电商平台监管，保障消费者权益。实现对电子商务发展数据的多维度、动态化和个性化的分析和应用，致力于</w:t>
            </w:r>
            <w:r>
              <w:rPr>
                <w:rFonts w:hint="eastAsia" w:ascii="Times New Roman" w:hAnsi="Times New Roman" w:eastAsia="仿宋_GB2312" w:cs="Times New Roman"/>
                <w:sz w:val="22"/>
              </w:rPr>
              <w:t>有效地为</w:t>
            </w:r>
            <w:r>
              <w:rPr>
                <w:rFonts w:ascii="Times New Roman" w:hAnsi="Times New Roman" w:eastAsia="仿宋_GB2312" w:cs="Times New Roman"/>
                <w:sz w:val="22"/>
              </w:rPr>
              <w:t>政府行业管理、企业经营决策和社会创业创新等提供科学、全面、有效的大数据支撑。</w:t>
            </w:r>
          </w:p>
        </w:tc>
        <w:tc>
          <w:tcPr>
            <w:tcW w:w="1342" w:type="dxa"/>
            <w:tcBorders>
              <w:top w:val="single" w:color="auto" w:sz="4" w:space="0"/>
              <w:left w:val="nil"/>
              <w:bottom w:val="single" w:color="auto" w:sz="4" w:space="0"/>
              <w:right w:val="single" w:color="auto" w:sz="4" w:space="0"/>
            </w:tcBorders>
            <w:vAlign w:val="center"/>
          </w:tcPr>
          <w:p w14:paraId="0CDD2C6F">
            <w:pPr>
              <w:jc w:val="center"/>
              <w:rPr>
                <w:rFonts w:ascii="Times New Roman" w:hAnsi="Times New Roman" w:eastAsia="仿宋_GB2312" w:cs="Times New Roman"/>
                <w:sz w:val="22"/>
              </w:rPr>
            </w:pPr>
            <w:r>
              <w:rPr>
                <w:rFonts w:ascii="Times New Roman" w:hAnsi="Times New Roman" w:eastAsia="仿宋_GB2312" w:cs="Times New Roman"/>
                <w:sz w:val="22"/>
              </w:rPr>
              <w:t>1</w:t>
            </w:r>
          </w:p>
        </w:tc>
        <w:tc>
          <w:tcPr>
            <w:tcW w:w="1866" w:type="dxa"/>
            <w:tcBorders>
              <w:top w:val="single" w:color="auto" w:sz="4" w:space="0"/>
              <w:left w:val="nil"/>
              <w:bottom w:val="single" w:color="auto" w:sz="4" w:space="0"/>
              <w:right w:val="single" w:color="auto" w:sz="4" w:space="0"/>
            </w:tcBorders>
            <w:vAlign w:val="center"/>
          </w:tcPr>
          <w:p w14:paraId="000101E8">
            <w:pPr>
              <w:jc w:val="center"/>
              <w:rPr>
                <w:rFonts w:ascii="Times New Roman" w:hAnsi="Times New Roman" w:eastAsia="仿宋_GB2312" w:cs="Times New Roman"/>
                <w:sz w:val="22"/>
              </w:rPr>
            </w:pPr>
            <w:r>
              <w:rPr>
                <w:rFonts w:ascii="Times New Roman" w:hAnsi="Times New Roman" w:eastAsia="仿宋_GB2312" w:cs="Times New Roman"/>
                <w:sz w:val="22"/>
              </w:rPr>
              <w:t>2022-2023</w:t>
            </w:r>
          </w:p>
        </w:tc>
        <w:tc>
          <w:tcPr>
            <w:tcW w:w="1145" w:type="dxa"/>
            <w:tcBorders>
              <w:top w:val="single" w:color="auto" w:sz="4" w:space="0"/>
              <w:left w:val="nil"/>
              <w:bottom w:val="single" w:color="auto" w:sz="4" w:space="0"/>
              <w:right w:val="single" w:color="auto" w:sz="4" w:space="0"/>
            </w:tcBorders>
            <w:vAlign w:val="center"/>
          </w:tcPr>
          <w:p w14:paraId="49EB5BA5">
            <w:pPr>
              <w:jc w:val="center"/>
              <w:rPr>
                <w:rFonts w:ascii="Times New Roman" w:hAnsi="Times New Roman" w:eastAsia="仿宋_GB2312" w:cs="Times New Roman"/>
                <w:sz w:val="22"/>
              </w:rPr>
            </w:pPr>
            <w:r>
              <w:rPr>
                <w:rFonts w:ascii="Times New Roman" w:hAnsi="Times New Roman" w:eastAsia="仿宋_GB2312" w:cs="Times New Roman"/>
                <w:sz w:val="22"/>
              </w:rPr>
              <w:t>市商务局</w:t>
            </w:r>
          </w:p>
        </w:tc>
        <w:tc>
          <w:tcPr>
            <w:tcW w:w="236" w:type="dxa"/>
            <w:vAlign w:val="center"/>
          </w:tcPr>
          <w:p w14:paraId="57A1DC20">
            <w:pPr>
              <w:widowControl/>
              <w:jc w:val="left"/>
              <w:rPr>
                <w:rFonts w:ascii="Times New Roman" w:hAnsi="Times New Roman" w:eastAsia="Times New Roman" w:cs="Times New Roman"/>
                <w:kern w:val="0"/>
                <w:sz w:val="20"/>
                <w:szCs w:val="20"/>
              </w:rPr>
            </w:pPr>
          </w:p>
        </w:tc>
      </w:tr>
      <w:tr w14:paraId="1FCF2C6A">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3F304F1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138</w:t>
            </w:r>
          </w:p>
        </w:tc>
        <w:tc>
          <w:tcPr>
            <w:tcW w:w="1981" w:type="dxa"/>
            <w:tcBorders>
              <w:top w:val="nil"/>
              <w:left w:val="nil"/>
              <w:bottom w:val="single" w:color="auto" w:sz="4" w:space="0"/>
              <w:right w:val="single" w:color="auto" w:sz="4" w:space="0"/>
            </w:tcBorders>
            <w:vAlign w:val="center"/>
          </w:tcPr>
          <w:p w14:paraId="3E9E025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泉州市智慧城管物联通管理平台</w:t>
            </w:r>
          </w:p>
        </w:tc>
        <w:tc>
          <w:tcPr>
            <w:tcW w:w="945" w:type="dxa"/>
            <w:tcBorders>
              <w:top w:val="nil"/>
              <w:left w:val="nil"/>
              <w:bottom w:val="single" w:color="auto" w:sz="4" w:space="0"/>
              <w:right w:val="single" w:color="auto" w:sz="4" w:space="0"/>
            </w:tcBorders>
            <w:vAlign w:val="center"/>
          </w:tcPr>
          <w:p w14:paraId="25D74BF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283E21A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平台包含城市物联通大平台、城市视频共享平台、城市管理应用平台，建立一套“市区县”统一标准的物联通，完成所有城市物联数据自动采集、互联互通、综合应用。</w:t>
            </w:r>
          </w:p>
        </w:tc>
        <w:tc>
          <w:tcPr>
            <w:tcW w:w="1342" w:type="dxa"/>
            <w:tcBorders>
              <w:top w:val="nil"/>
              <w:left w:val="nil"/>
              <w:bottom w:val="single" w:color="auto" w:sz="4" w:space="0"/>
              <w:right w:val="single" w:color="auto" w:sz="4" w:space="0"/>
            </w:tcBorders>
            <w:vAlign w:val="center"/>
          </w:tcPr>
          <w:p w14:paraId="01F4047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0.345296</w:t>
            </w:r>
          </w:p>
        </w:tc>
        <w:tc>
          <w:tcPr>
            <w:tcW w:w="1866" w:type="dxa"/>
            <w:tcBorders>
              <w:top w:val="nil"/>
              <w:left w:val="nil"/>
              <w:bottom w:val="single" w:color="auto" w:sz="4" w:space="0"/>
              <w:right w:val="single" w:color="auto" w:sz="4" w:space="0"/>
            </w:tcBorders>
            <w:vAlign w:val="center"/>
          </w:tcPr>
          <w:p w14:paraId="6E14197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2021-2022</w:t>
            </w:r>
          </w:p>
        </w:tc>
        <w:tc>
          <w:tcPr>
            <w:tcW w:w="1145" w:type="dxa"/>
            <w:tcBorders>
              <w:top w:val="nil"/>
              <w:left w:val="nil"/>
              <w:bottom w:val="single" w:color="auto" w:sz="4" w:space="0"/>
              <w:right w:val="single" w:color="auto" w:sz="4" w:space="0"/>
            </w:tcBorders>
            <w:vAlign w:val="center"/>
          </w:tcPr>
          <w:p w14:paraId="3F102DB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市城管局</w:t>
            </w:r>
          </w:p>
        </w:tc>
        <w:tc>
          <w:tcPr>
            <w:tcW w:w="236" w:type="dxa"/>
            <w:vAlign w:val="center"/>
          </w:tcPr>
          <w:p w14:paraId="14839E45">
            <w:pPr>
              <w:widowControl/>
              <w:jc w:val="left"/>
              <w:rPr>
                <w:rFonts w:ascii="Times New Roman" w:hAnsi="Times New Roman" w:eastAsia="Times New Roman" w:cs="Times New Roman"/>
                <w:kern w:val="0"/>
                <w:sz w:val="20"/>
                <w:szCs w:val="20"/>
              </w:rPr>
            </w:pPr>
          </w:p>
        </w:tc>
      </w:tr>
      <w:tr w14:paraId="2D81ACC4">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036796E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139</w:t>
            </w:r>
          </w:p>
        </w:tc>
        <w:tc>
          <w:tcPr>
            <w:tcW w:w="1981" w:type="dxa"/>
            <w:tcBorders>
              <w:top w:val="nil"/>
              <w:left w:val="nil"/>
              <w:bottom w:val="single" w:color="auto" w:sz="4" w:space="0"/>
              <w:right w:val="single" w:color="auto" w:sz="4" w:space="0"/>
            </w:tcBorders>
            <w:vAlign w:val="center"/>
          </w:tcPr>
          <w:p w14:paraId="1A586F6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泉州市公安局福建公安大数据中心泉州分中心平台建设项目</w:t>
            </w:r>
          </w:p>
        </w:tc>
        <w:tc>
          <w:tcPr>
            <w:tcW w:w="945" w:type="dxa"/>
            <w:tcBorders>
              <w:top w:val="nil"/>
              <w:left w:val="nil"/>
              <w:bottom w:val="single" w:color="auto" w:sz="4" w:space="0"/>
              <w:right w:val="single" w:color="auto" w:sz="4" w:space="0"/>
            </w:tcBorders>
            <w:vAlign w:val="center"/>
          </w:tcPr>
          <w:p w14:paraId="6814B98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0E90583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遵循公安部大数据智能化建设的标准规范，主要建设内容包括：建设新一代公安信息网、公安云计算平台（含机房租赁）、公安大数据平台（包括泉州大数据中心和一组大数据智能化应用）、安全体系和运维体系。</w:t>
            </w:r>
          </w:p>
        </w:tc>
        <w:tc>
          <w:tcPr>
            <w:tcW w:w="1342" w:type="dxa"/>
            <w:tcBorders>
              <w:top w:val="nil"/>
              <w:left w:val="nil"/>
              <w:bottom w:val="single" w:color="auto" w:sz="4" w:space="0"/>
              <w:right w:val="single" w:color="auto" w:sz="4" w:space="0"/>
            </w:tcBorders>
            <w:vAlign w:val="center"/>
          </w:tcPr>
          <w:p w14:paraId="1C38091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4B78B22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2021-2023</w:t>
            </w:r>
          </w:p>
        </w:tc>
        <w:tc>
          <w:tcPr>
            <w:tcW w:w="1145" w:type="dxa"/>
            <w:vMerge w:val="restart"/>
            <w:tcBorders>
              <w:top w:val="nil"/>
              <w:left w:val="single" w:color="auto" w:sz="4" w:space="0"/>
              <w:bottom w:val="nil"/>
              <w:right w:val="single" w:color="auto" w:sz="4" w:space="0"/>
            </w:tcBorders>
            <w:vAlign w:val="center"/>
          </w:tcPr>
          <w:p w14:paraId="1649F2A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市公安局</w:t>
            </w:r>
          </w:p>
        </w:tc>
        <w:tc>
          <w:tcPr>
            <w:tcW w:w="236" w:type="dxa"/>
            <w:vAlign w:val="center"/>
          </w:tcPr>
          <w:p w14:paraId="3DC37956">
            <w:pPr>
              <w:widowControl/>
              <w:jc w:val="left"/>
              <w:rPr>
                <w:rFonts w:ascii="Times New Roman" w:hAnsi="Times New Roman" w:eastAsia="Times New Roman" w:cs="Times New Roman"/>
                <w:kern w:val="0"/>
                <w:sz w:val="20"/>
                <w:szCs w:val="20"/>
              </w:rPr>
            </w:pPr>
          </w:p>
        </w:tc>
      </w:tr>
      <w:tr w14:paraId="42D6308F">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223AA4BB">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140</w:t>
            </w:r>
          </w:p>
        </w:tc>
        <w:tc>
          <w:tcPr>
            <w:tcW w:w="1981" w:type="dxa"/>
            <w:tcBorders>
              <w:top w:val="nil"/>
              <w:left w:val="nil"/>
              <w:bottom w:val="single" w:color="auto" w:sz="4" w:space="0"/>
              <w:right w:val="single" w:color="auto" w:sz="4" w:space="0"/>
            </w:tcBorders>
            <w:vAlign w:val="center"/>
          </w:tcPr>
          <w:p w14:paraId="487D300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泉州市完善提升城市安全信息系统项目</w:t>
            </w:r>
          </w:p>
        </w:tc>
        <w:tc>
          <w:tcPr>
            <w:tcW w:w="945" w:type="dxa"/>
            <w:tcBorders>
              <w:top w:val="nil"/>
              <w:left w:val="nil"/>
              <w:bottom w:val="single" w:color="auto" w:sz="4" w:space="0"/>
              <w:right w:val="single" w:color="auto" w:sz="4" w:space="0"/>
            </w:tcBorders>
            <w:vAlign w:val="center"/>
          </w:tcPr>
          <w:p w14:paraId="5FDC0F6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51E040F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推进安防智慧小区建设，并提供城市安全信息系统1-6期的运维保障及新建内容的数据处理、系统优化、软件开发、电费支付、线路租赁等服务；基于智能感知大数据平台，扩展完善视频监控、语音识别、物联网、人工智能、大数据等前沿技术的多维融合应用。</w:t>
            </w:r>
          </w:p>
        </w:tc>
        <w:tc>
          <w:tcPr>
            <w:tcW w:w="1342" w:type="dxa"/>
            <w:tcBorders>
              <w:top w:val="nil"/>
              <w:left w:val="nil"/>
              <w:bottom w:val="single" w:color="auto" w:sz="4" w:space="0"/>
              <w:right w:val="single" w:color="auto" w:sz="4" w:space="0"/>
            </w:tcBorders>
            <w:vAlign w:val="center"/>
          </w:tcPr>
          <w:p w14:paraId="32E78B7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sz w:val="22"/>
              </w:rPr>
              <w:t>6</w:t>
            </w:r>
          </w:p>
        </w:tc>
        <w:tc>
          <w:tcPr>
            <w:tcW w:w="1866" w:type="dxa"/>
            <w:tcBorders>
              <w:top w:val="nil"/>
              <w:left w:val="nil"/>
              <w:bottom w:val="single" w:color="auto" w:sz="4" w:space="0"/>
              <w:right w:val="single" w:color="auto" w:sz="4" w:space="0"/>
            </w:tcBorders>
            <w:vAlign w:val="center"/>
          </w:tcPr>
          <w:p w14:paraId="0503CE63">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sz w:val="22"/>
              </w:rPr>
              <w:t>2019-2021</w:t>
            </w:r>
          </w:p>
        </w:tc>
        <w:tc>
          <w:tcPr>
            <w:tcW w:w="1145" w:type="dxa"/>
            <w:vMerge w:val="continue"/>
            <w:tcBorders>
              <w:top w:val="nil"/>
              <w:left w:val="single" w:color="auto" w:sz="4" w:space="0"/>
              <w:bottom w:val="single" w:color="auto" w:sz="4" w:space="0"/>
              <w:right w:val="single" w:color="auto" w:sz="4" w:space="0"/>
            </w:tcBorders>
            <w:vAlign w:val="center"/>
          </w:tcPr>
          <w:p w14:paraId="548660E9">
            <w:pPr>
              <w:widowControl/>
              <w:jc w:val="left"/>
              <w:rPr>
                <w:rFonts w:ascii="Times New Roman" w:hAnsi="Times New Roman" w:eastAsia="仿宋_GB2312" w:cs="Times New Roman"/>
                <w:color w:val="000000"/>
                <w:kern w:val="0"/>
                <w:sz w:val="22"/>
                <w:szCs w:val="24"/>
              </w:rPr>
            </w:pPr>
          </w:p>
        </w:tc>
        <w:tc>
          <w:tcPr>
            <w:tcW w:w="236" w:type="dxa"/>
            <w:vAlign w:val="center"/>
          </w:tcPr>
          <w:p w14:paraId="46207CFA">
            <w:pPr>
              <w:widowControl/>
              <w:jc w:val="left"/>
              <w:rPr>
                <w:rFonts w:ascii="Times New Roman" w:hAnsi="Times New Roman" w:eastAsia="Times New Roman" w:cs="Times New Roman"/>
                <w:kern w:val="0"/>
                <w:sz w:val="20"/>
                <w:szCs w:val="20"/>
              </w:rPr>
            </w:pPr>
          </w:p>
        </w:tc>
      </w:tr>
      <w:tr w14:paraId="40FBBE00">
        <w:tblPrEx>
          <w:tblCellMar>
            <w:top w:w="0" w:type="dxa"/>
            <w:left w:w="108" w:type="dxa"/>
            <w:bottom w:w="0" w:type="dxa"/>
            <w:right w:w="108" w:type="dxa"/>
          </w:tblCellMar>
        </w:tblPrEx>
        <w:trPr>
          <w:trHeight w:val="2016" w:hRule="atLeast"/>
        </w:trPr>
        <w:tc>
          <w:tcPr>
            <w:tcW w:w="566" w:type="dxa"/>
            <w:tcBorders>
              <w:top w:val="single" w:color="auto" w:sz="4" w:space="0"/>
              <w:left w:val="single" w:color="auto" w:sz="4" w:space="0"/>
              <w:bottom w:val="single" w:color="auto" w:sz="4" w:space="0"/>
              <w:right w:val="single" w:color="auto" w:sz="4" w:space="0"/>
            </w:tcBorders>
            <w:vAlign w:val="center"/>
          </w:tcPr>
          <w:p w14:paraId="3FDABEA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141</w:t>
            </w:r>
          </w:p>
        </w:tc>
        <w:tc>
          <w:tcPr>
            <w:tcW w:w="1981" w:type="dxa"/>
            <w:tcBorders>
              <w:top w:val="single" w:color="auto" w:sz="4" w:space="0"/>
              <w:left w:val="nil"/>
              <w:bottom w:val="single" w:color="auto" w:sz="4" w:space="0"/>
              <w:right w:val="single" w:color="auto" w:sz="4" w:space="0"/>
            </w:tcBorders>
            <w:vAlign w:val="center"/>
          </w:tcPr>
          <w:p w14:paraId="38D97A1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泉州市道路运输车辆路面动态监管平台</w:t>
            </w:r>
          </w:p>
        </w:tc>
        <w:tc>
          <w:tcPr>
            <w:tcW w:w="945" w:type="dxa"/>
            <w:tcBorders>
              <w:top w:val="single" w:color="auto" w:sz="4" w:space="0"/>
              <w:left w:val="nil"/>
              <w:bottom w:val="single" w:color="auto" w:sz="4" w:space="0"/>
              <w:right w:val="single" w:color="auto" w:sz="4" w:space="0"/>
            </w:tcBorders>
            <w:vAlign w:val="center"/>
          </w:tcPr>
          <w:p w14:paraId="5F9460B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5DC5782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平台主要是为支队提供执法业务辅助应用，旨在通过汇聚整合各类物联感知数据、营运车辆信息、道路运输企业及从业人员信息等，形成执法数据中心，进行数据的治理、交换、共享，采用违法监测预警、移动执法监管、指挥调度、综合查询分析四大应用子系统架构，满足交通执法支队领导、各单位（科室、大队）领导、一线执法员、系统分级管理员等角色的业务使用需求。</w:t>
            </w:r>
          </w:p>
        </w:tc>
        <w:tc>
          <w:tcPr>
            <w:tcW w:w="1342" w:type="dxa"/>
            <w:tcBorders>
              <w:top w:val="single" w:color="auto" w:sz="4" w:space="0"/>
              <w:left w:val="nil"/>
              <w:bottom w:val="single" w:color="auto" w:sz="4" w:space="0"/>
              <w:right w:val="single" w:color="auto" w:sz="4" w:space="0"/>
            </w:tcBorders>
            <w:vAlign w:val="center"/>
          </w:tcPr>
          <w:p w14:paraId="5FCC154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0.158902</w:t>
            </w:r>
          </w:p>
        </w:tc>
        <w:tc>
          <w:tcPr>
            <w:tcW w:w="1866" w:type="dxa"/>
            <w:tcBorders>
              <w:top w:val="single" w:color="auto" w:sz="4" w:space="0"/>
              <w:left w:val="nil"/>
              <w:bottom w:val="single" w:color="auto" w:sz="4" w:space="0"/>
              <w:right w:val="single" w:color="auto" w:sz="4" w:space="0"/>
            </w:tcBorders>
            <w:vAlign w:val="center"/>
          </w:tcPr>
          <w:p w14:paraId="44BD3EA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single" w:color="auto" w:sz="4" w:space="0"/>
              <w:left w:val="nil"/>
              <w:bottom w:val="single" w:color="auto" w:sz="4" w:space="0"/>
              <w:right w:val="single" w:color="auto" w:sz="4" w:space="0"/>
            </w:tcBorders>
            <w:vAlign w:val="center"/>
          </w:tcPr>
          <w:p w14:paraId="706F4B8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市交通运输局</w:t>
            </w:r>
          </w:p>
        </w:tc>
        <w:tc>
          <w:tcPr>
            <w:tcW w:w="236" w:type="dxa"/>
            <w:vAlign w:val="center"/>
          </w:tcPr>
          <w:p w14:paraId="318E640F">
            <w:pPr>
              <w:widowControl/>
              <w:jc w:val="left"/>
              <w:rPr>
                <w:rFonts w:ascii="Times New Roman" w:hAnsi="Times New Roman" w:eastAsia="Times New Roman" w:cs="Times New Roman"/>
                <w:kern w:val="0"/>
                <w:sz w:val="20"/>
                <w:szCs w:val="20"/>
              </w:rPr>
            </w:pPr>
          </w:p>
        </w:tc>
      </w:tr>
      <w:tr w14:paraId="38B7F4C9">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3809400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142</w:t>
            </w:r>
          </w:p>
        </w:tc>
        <w:tc>
          <w:tcPr>
            <w:tcW w:w="1981" w:type="dxa"/>
            <w:tcBorders>
              <w:top w:val="nil"/>
              <w:left w:val="nil"/>
              <w:bottom w:val="single" w:color="auto" w:sz="4" w:space="0"/>
              <w:right w:val="single" w:color="auto" w:sz="4" w:space="0"/>
            </w:tcBorders>
            <w:vAlign w:val="center"/>
          </w:tcPr>
          <w:p w14:paraId="274970C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水资源综合调度平台</w:t>
            </w:r>
          </w:p>
        </w:tc>
        <w:tc>
          <w:tcPr>
            <w:tcW w:w="945" w:type="dxa"/>
            <w:tcBorders>
              <w:top w:val="nil"/>
              <w:left w:val="nil"/>
              <w:bottom w:val="single" w:color="auto" w:sz="4" w:space="0"/>
              <w:right w:val="single" w:color="auto" w:sz="4" w:space="0"/>
            </w:tcBorders>
            <w:vAlign w:val="center"/>
          </w:tcPr>
          <w:p w14:paraId="31EBF83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3B8466F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项目主要建设内容包括已有信息人资源整合，站点补充建设、业务应用提档升级、保障体系完善，具体建设内容有水资源管理系统、水旱灾害防御系统两部分。</w:t>
            </w:r>
          </w:p>
        </w:tc>
        <w:tc>
          <w:tcPr>
            <w:tcW w:w="1342" w:type="dxa"/>
            <w:tcBorders>
              <w:top w:val="nil"/>
              <w:left w:val="nil"/>
              <w:bottom w:val="single" w:color="auto" w:sz="4" w:space="0"/>
              <w:right w:val="single" w:color="auto" w:sz="4" w:space="0"/>
            </w:tcBorders>
            <w:vAlign w:val="center"/>
          </w:tcPr>
          <w:p w14:paraId="1E3DBA3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w:t>
            </w:r>
          </w:p>
        </w:tc>
        <w:tc>
          <w:tcPr>
            <w:tcW w:w="1866" w:type="dxa"/>
            <w:tcBorders>
              <w:top w:val="nil"/>
              <w:left w:val="nil"/>
              <w:bottom w:val="single" w:color="auto" w:sz="4" w:space="0"/>
              <w:right w:val="single" w:color="auto" w:sz="4" w:space="0"/>
            </w:tcBorders>
            <w:vAlign w:val="center"/>
          </w:tcPr>
          <w:p w14:paraId="7C936A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177FBB8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市水利局</w:t>
            </w:r>
          </w:p>
        </w:tc>
        <w:tc>
          <w:tcPr>
            <w:tcW w:w="236" w:type="dxa"/>
            <w:vAlign w:val="center"/>
          </w:tcPr>
          <w:p w14:paraId="746A31B4">
            <w:pPr>
              <w:widowControl/>
              <w:jc w:val="left"/>
              <w:rPr>
                <w:rFonts w:ascii="Times New Roman" w:hAnsi="Times New Roman" w:eastAsia="Times New Roman" w:cs="Times New Roman"/>
                <w:kern w:val="0"/>
                <w:sz w:val="20"/>
                <w:szCs w:val="20"/>
              </w:rPr>
            </w:pPr>
          </w:p>
        </w:tc>
      </w:tr>
      <w:tr w14:paraId="182745D4">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373349F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143</w:t>
            </w:r>
          </w:p>
        </w:tc>
        <w:tc>
          <w:tcPr>
            <w:tcW w:w="1981" w:type="dxa"/>
            <w:tcBorders>
              <w:top w:val="nil"/>
              <w:left w:val="nil"/>
              <w:bottom w:val="single" w:color="auto" w:sz="4" w:space="0"/>
              <w:right w:val="single" w:color="auto" w:sz="4" w:space="0"/>
            </w:tcBorders>
            <w:vAlign w:val="center"/>
          </w:tcPr>
          <w:p w14:paraId="6EFDEC7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市委党校新校区项目一期工程信息化建设项目</w:t>
            </w:r>
          </w:p>
        </w:tc>
        <w:tc>
          <w:tcPr>
            <w:tcW w:w="945" w:type="dxa"/>
            <w:tcBorders>
              <w:top w:val="nil"/>
              <w:left w:val="nil"/>
              <w:bottom w:val="single" w:color="auto" w:sz="4" w:space="0"/>
              <w:right w:val="single" w:color="auto" w:sz="4" w:space="0"/>
            </w:tcBorders>
            <w:vAlign w:val="center"/>
          </w:tcPr>
          <w:p w14:paraId="07306EA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1268D7B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项目的总体建设内容包括五个方面，主要是：一是校园信息设施系统建设；二是校园安全设施系统建设；三是建筑设备管理系统建设；四是校园个性化系统建设；五是配套工程。</w:t>
            </w:r>
          </w:p>
        </w:tc>
        <w:tc>
          <w:tcPr>
            <w:tcW w:w="1342" w:type="dxa"/>
            <w:tcBorders>
              <w:top w:val="nil"/>
              <w:left w:val="nil"/>
              <w:bottom w:val="single" w:color="auto" w:sz="4" w:space="0"/>
              <w:right w:val="single" w:color="auto" w:sz="4" w:space="0"/>
            </w:tcBorders>
            <w:vAlign w:val="center"/>
          </w:tcPr>
          <w:p w14:paraId="7EC4F1A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0.248663</w:t>
            </w:r>
          </w:p>
        </w:tc>
        <w:tc>
          <w:tcPr>
            <w:tcW w:w="1866" w:type="dxa"/>
            <w:tcBorders>
              <w:top w:val="nil"/>
              <w:left w:val="nil"/>
              <w:bottom w:val="single" w:color="auto" w:sz="4" w:space="0"/>
              <w:right w:val="single" w:color="auto" w:sz="4" w:space="0"/>
            </w:tcBorders>
            <w:vAlign w:val="center"/>
          </w:tcPr>
          <w:p w14:paraId="3D1095E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2016-2021</w:t>
            </w:r>
          </w:p>
        </w:tc>
        <w:tc>
          <w:tcPr>
            <w:tcW w:w="1145" w:type="dxa"/>
            <w:tcBorders>
              <w:top w:val="nil"/>
              <w:left w:val="nil"/>
              <w:bottom w:val="single" w:color="auto" w:sz="4" w:space="0"/>
              <w:right w:val="single" w:color="auto" w:sz="4" w:space="0"/>
            </w:tcBorders>
            <w:vAlign w:val="center"/>
          </w:tcPr>
          <w:p w14:paraId="2AC310D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市委党校</w:t>
            </w:r>
          </w:p>
        </w:tc>
        <w:tc>
          <w:tcPr>
            <w:tcW w:w="236" w:type="dxa"/>
            <w:vAlign w:val="center"/>
          </w:tcPr>
          <w:p w14:paraId="3D974446">
            <w:pPr>
              <w:widowControl/>
              <w:jc w:val="left"/>
              <w:rPr>
                <w:rFonts w:ascii="Times New Roman" w:hAnsi="Times New Roman" w:eastAsia="Times New Roman" w:cs="Times New Roman"/>
                <w:kern w:val="0"/>
                <w:sz w:val="20"/>
                <w:szCs w:val="20"/>
              </w:rPr>
            </w:pPr>
          </w:p>
        </w:tc>
      </w:tr>
      <w:tr w14:paraId="130F3EDC">
        <w:tblPrEx>
          <w:tblCellMar>
            <w:top w:w="0" w:type="dxa"/>
            <w:left w:w="108" w:type="dxa"/>
            <w:bottom w:w="0" w:type="dxa"/>
            <w:right w:w="108" w:type="dxa"/>
          </w:tblCellMar>
        </w:tblPrEx>
        <w:trPr>
          <w:trHeight w:val="2016" w:hRule="atLeast"/>
        </w:trPr>
        <w:tc>
          <w:tcPr>
            <w:tcW w:w="566" w:type="dxa"/>
            <w:tcBorders>
              <w:top w:val="nil"/>
              <w:left w:val="single" w:color="auto" w:sz="4" w:space="0"/>
              <w:bottom w:val="single" w:color="auto" w:sz="4" w:space="0"/>
              <w:right w:val="single" w:color="auto" w:sz="4" w:space="0"/>
            </w:tcBorders>
            <w:vAlign w:val="center"/>
          </w:tcPr>
          <w:p w14:paraId="5F03EF5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144</w:t>
            </w:r>
          </w:p>
        </w:tc>
        <w:tc>
          <w:tcPr>
            <w:tcW w:w="1981" w:type="dxa"/>
            <w:tcBorders>
              <w:top w:val="nil"/>
              <w:left w:val="nil"/>
              <w:bottom w:val="single" w:color="auto" w:sz="4" w:space="0"/>
              <w:right w:val="single" w:color="auto" w:sz="4" w:space="0"/>
            </w:tcBorders>
            <w:vAlign w:val="center"/>
          </w:tcPr>
          <w:p w14:paraId="06691A4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泉州市“互联网+政务服务”一体化行政服务平台项目</w:t>
            </w:r>
          </w:p>
        </w:tc>
        <w:tc>
          <w:tcPr>
            <w:tcW w:w="945" w:type="dxa"/>
            <w:tcBorders>
              <w:top w:val="nil"/>
              <w:left w:val="nil"/>
              <w:bottom w:val="single" w:color="auto" w:sz="4" w:space="0"/>
              <w:right w:val="single" w:color="auto" w:sz="4" w:space="0"/>
            </w:tcBorders>
            <w:vAlign w:val="center"/>
          </w:tcPr>
          <w:p w14:paraId="6EE53CC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540FE3D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该项目采用“互联网+”理念，构建市、县、乡、村四级联动的“互联网+政务服务”一体化行政服务平台，实现“一号一窗一网”。建设内容主要包括自助办事终端、多功能一体机、软件开发（共34个系统）、接口开发（系统对接）、软件集成实施服务（含各县市区一体化平台定制）及硬件集成实施服务等6部分，其中，软件开发主要由政务服务门户、政务服务管理平台、业务办理平台、政务服务数据共享平台四部分组成。</w:t>
            </w:r>
          </w:p>
        </w:tc>
        <w:tc>
          <w:tcPr>
            <w:tcW w:w="1342" w:type="dxa"/>
            <w:tcBorders>
              <w:top w:val="nil"/>
              <w:left w:val="nil"/>
              <w:bottom w:val="single" w:color="auto" w:sz="4" w:space="0"/>
              <w:right w:val="single" w:color="auto" w:sz="4" w:space="0"/>
            </w:tcBorders>
            <w:vAlign w:val="center"/>
          </w:tcPr>
          <w:p w14:paraId="104A380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0.9229</w:t>
            </w:r>
          </w:p>
        </w:tc>
        <w:tc>
          <w:tcPr>
            <w:tcW w:w="1866" w:type="dxa"/>
            <w:tcBorders>
              <w:top w:val="nil"/>
              <w:left w:val="nil"/>
              <w:bottom w:val="single" w:color="auto" w:sz="4" w:space="0"/>
              <w:right w:val="single" w:color="auto" w:sz="4" w:space="0"/>
            </w:tcBorders>
            <w:vAlign w:val="center"/>
          </w:tcPr>
          <w:p w14:paraId="59FA600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2019-2021</w:t>
            </w:r>
          </w:p>
        </w:tc>
        <w:tc>
          <w:tcPr>
            <w:tcW w:w="1145" w:type="dxa"/>
            <w:tcBorders>
              <w:top w:val="nil"/>
              <w:left w:val="nil"/>
              <w:bottom w:val="single" w:color="auto" w:sz="4" w:space="0"/>
              <w:right w:val="single" w:color="auto" w:sz="4" w:space="0"/>
            </w:tcBorders>
            <w:vAlign w:val="center"/>
          </w:tcPr>
          <w:p w14:paraId="373FB5C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市行政服务中心管委会</w:t>
            </w:r>
          </w:p>
        </w:tc>
        <w:tc>
          <w:tcPr>
            <w:tcW w:w="236" w:type="dxa"/>
            <w:vAlign w:val="center"/>
          </w:tcPr>
          <w:p w14:paraId="68906473">
            <w:pPr>
              <w:widowControl/>
              <w:jc w:val="left"/>
              <w:rPr>
                <w:rFonts w:ascii="Times New Roman" w:hAnsi="Times New Roman" w:eastAsia="Times New Roman" w:cs="Times New Roman"/>
                <w:kern w:val="0"/>
                <w:sz w:val="20"/>
                <w:szCs w:val="20"/>
              </w:rPr>
            </w:pPr>
          </w:p>
        </w:tc>
      </w:tr>
      <w:tr w14:paraId="4AAD4996">
        <w:tblPrEx>
          <w:tblCellMar>
            <w:top w:w="0" w:type="dxa"/>
            <w:left w:w="108" w:type="dxa"/>
            <w:bottom w:w="0" w:type="dxa"/>
            <w:right w:w="108" w:type="dxa"/>
          </w:tblCellMar>
        </w:tblPrEx>
        <w:trPr>
          <w:trHeight w:val="1728" w:hRule="atLeast"/>
        </w:trPr>
        <w:tc>
          <w:tcPr>
            <w:tcW w:w="566" w:type="dxa"/>
            <w:tcBorders>
              <w:top w:val="nil"/>
              <w:left w:val="single" w:color="auto" w:sz="4" w:space="0"/>
              <w:bottom w:val="single" w:color="auto" w:sz="4" w:space="0"/>
              <w:right w:val="single" w:color="auto" w:sz="4" w:space="0"/>
            </w:tcBorders>
            <w:vAlign w:val="center"/>
          </w:tcPr>
          <w:p w14:paraId="13D33DF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145</w:t>
            </w:r>
          </w:p>
        </w:tc>
        <w:tc>
          <w:tcPr>
            <w:tcW w:w="1981" w:type="dxa"/>
            <w:tcBorders>
              <w:top w:val="nil"/>
              <w:left w:val="nil"/>
              <w:bottom w:val="single" w:color="auto" w:sz="4" w:space="0"/>
              <w:right w:val="single" w:color="auto" w:sz="4" w:space="0"/>
            </w:tcBorders>
            <w:vAlign w:val="center"/>
          </w:tcPr>
          <w:p w14:paraId="5A5753B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泉州市应急管理信息化建设项目　</w:t>
            </w:r>
          </w:p>
        </w:tc>
        <w:tc>
          <w:tcPr>
            <w:tcW w:w="945" w:type="dxa"/>
            <w:tcBorders>
              <w:top w:val="nil"/>
              <w:left w:val="nil"/>
              <w:bottom w:val="single" w:color="auto" w:sz="4" w:space="0"/>
              <w:right w:val="single" w:color="auto" w:sz="4" w:space="0"/>
            </w:tcBorders>
            <w:vAlign w:val="center"/>
          </w:tcPr>
          <w:p w14:paraId="1FB631A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394FBDE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拟分三期建设：第一期为基础建设，主要完成应急指挥中心规划设计、装修及办公等保障配套，同步完成信息化基础设施建设、业务应用架构设计和相关成员单位信息系统的接入与共享，并同步规范配套安可建设；第二期为信息化完善，主要完成应急管理综合平台、应急指挥信息系统及移动终端等配套建设；第三期为提质升级，重点完成应急管理信息化三年规划框架确定的后续目标任务。</w:t>
            </w:r>
          </w:p>
        </w:tc>
        <w:tc>
          <w:tcPr>
            <w:tcW w:w="1342" w:type="dxa"/>
            <w:tcBorders>
              <w:top w:val="nil"/>
              <w:left w:val="nil"/>
              <w:bottom w:val="single" w:color="auto" w:sz="4" w:space="0"/>
              <w:right w:val="single" w:color="auto" w:sz="4" w:space="0"/>
            </w:tcBorders>
            <w:vAlign w:val="center"/>
          </w:tcPr>
          <w:p w14:paraId="3C7E086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w:t>
            </w:r>
          </w:p>
        </w:tc>
        <w:tc>
          <w:tcPr>
            <w:tcW w:w="1866" w:type="dxa"/>
            <w:tcBorders>
              <w:top w:val="nil"/>
              <w:left w:val="nil"/>
              <w:bottom w:val="single" w:color="auto" w:sz="4" w:space="0"/>
              <w:right w:val="single" w:color="auto" w:sz="4" w:space="0"/>
            </w:tcBorders>
            <w:vAlign w:val="center"/>
          </w:tcPr>
          <w:p w14:paraId="3AE10F9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329A981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市应急局　</w:t>
            </w:r>
          </w:p>
        </w:tc>
        <w:tc>
          <w:tcPr>
            <w:tcW w:w="236" w:type="dxa"/>
            <w:vAlign w:val="center"/>
          </w:tcPr>
          <w:p w14:paraId="5473D768">
            <w:pPr>
              <w:widowControl/>
              <w:jc w:val="left"/>
              <w:rPr>
                <w:rFonts w:ascii="Times New Roman" w:hAnsi="Times New Roman" w:eastAsia="Times New Roman" w:cs="Times New Roman"/>
                <w:kern w:val="0"/>
                <w:sz w:val="20"/>
                <w:szCs w:val="20"/>
              </w:rPr>
            </w:pPr>
          </w:p>
        </w:tc>
      </w:tr>
      <w:tr w14:paraId="3BD5AACD">
        <w:tblPrEx>
          <w:tblCellMar>
            <w:top w:w="0" w:type="dxa"/>
            <w:left w:w="108" w:type="dxa"/>
            <w:bottom w:w="0" w:type="dxa"/>
            <w:right w:w="108" w:type="dxa"/>
          </w:tblCellMar>
        </w:tblPrEx>
        <w:trPr>
          <w:trHeight w:val="598" w:hRule="atLeast"/>
        </w:trPr>
        <w:tc>
          <w:tcPr>
            <w:tcW w:w="566" w:type="dxa"/>
            <w:tcBorders>
              <w:top w:val="single" w:color="auto" w:sz="4" w:space="0"/>
              <w:left w:val="single" w:color="auto" w:sz="4" w:space="0"/>
              <w:bottom w:val="single" w:color="auto" w:sz="4" w:space="0"/>
              <w:right w:val="single" w:color="auto" w:sz="4" w:space="0"/>
            </w:tcBorders>
            <w:vAlign w:val="center"/>
          </w:tcPr>
          <w:p w14:paraId="532A6BE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146</w:t>
            </w:r>
          </w:p>
        </w:tc>
        <w:tc>
          <w:tcPr>
            <w:tcW w:w="1981" w:type="dxa"/>
            <w:tcBorders>
              <w:top w:val="single" w:color="auto" w:sz="4" w:space="0"/>
              <w:left w:val="nil"/>
              <w:bottom w:val="single" w:color="auto" w:sz="4" w:space="0"/>
              <w:right w:val="single" w:color="auto" w:sz="4" w:space="0"/>
            </w:tcBorders>
            <w:vAlign w:val="center"/>
          </w:tcPr>
          <w:p w14:paraId="5A91D92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泉州市房屋管理综合信息平台</w:t>
            </w:r>
          </w:p>
        </w:tc>
        <w:tc>
          <w:tcPr>
            <w:tcW w:w="945" w:type="dxa"/>
            <w:tcBorders>
              <w:top w:val="single" w:color="auto" w:sz="4" w:space="0"/>
              <w:left w:val="nil"/>
              <w:bottom w:val="single" w:color="auto" w:sz="4" w:space="0"/>
              <w:right w:val="single" w:color="auto" w:sz="4" w:space="0"/>
            </w:tcBorders>
            <w:vAlign w:val="center"/>
          </w:tcPr>
          <w:p w14:paraId="44D5BCB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4F3CD3F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拟分二期建设：第一期建设房屋建筑工程网格化管理平台，汇聚房屋全生命周期信息数据，构建房屋建筑工程网格化管理平台，打造“1+1+3”房屋安全监管体系，涵盖一个房屋数据处理中台，一套基础环境支撑，三大专项业务领域，从根本上解决“信息孤岛”“调度困难”“监测繁、巡查慢、处置难”等问题；第二期建设智慧房地产综合监管服务平台，构建符合“信创”技术要求，集技术一体化、数据一体化、业务一体化、网络一体化的泉州市智慧房地产综合监管服务平台，平台系统模块包含楼盘表管理、房屋面积管理、房屋预售许可现售备案、房屋网签备案、交易资金监管、住房租赁管理、物业管理、住房专项维修资金监管、住房保障、房屋征收安置、老旧小区改造管理、从业主体管理、房地产市场监测分析等各类房地产业务办理系统。</w:t>
            </w:r>
          </w:p>
        </w:tc>
        <w:tc>
          <w:tcPr>
            <w:tcW w:w="1342" w:type="dxa"/>
            <w:tcBorders>
              <w:top w:val="single" w:color="auto" w:sz="4" w:space="0"/>
              <w:left w:val="nil"/>
              <w:bottom w:val="single" w:color="auto" w:sz="4" w:space="0"/>
              <w:right w:val="single" w:color="auto" w:sz="4" w:space="0"/>
            </w:tcBorders>
            <w:vAlign w:val="center"/>
          </w:tcPr>
          <w:p w14:paraId="0CE58B7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0.85</w:t>
            </w:r>
          </w:p>
        </w:tc>
        <w:tc>
          <w:tcPr>
            <w:tcW w:w="1866" w:type="dxa"/>
            <w:tcBorders>
              <w:top w:val="single" w:color="auto" w:sz="4" w:space="0"/>
              <w:left w:val="nil"/>
              <w:bottom w:val="single" w:color="auto" w:sz="4" w:space="0"/>
              <w:right w:val="single" w:color="auto" w:sz="4" w:space="0"/>
            </w:tcBorders>
            <w:vAlign w:val="center"/>
          </w:tcPr>
          <w:p w14:paraId="63E0463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2022-2022</w:t>
            </w:r>
          </w:p>
        </w:tc>
        <w:tc>
          <w:tcPr>
            <w:tcW w:w="1145" w:type="dxa"/>
            <w:tcBorders>
              <w:top w:val="single" w:color="auto" w:sz="4" w:space="0"/>
              <w:left w:val="nil"/>
              <w:bottom w:val="single" w:color="auto" w:sz="4" w:space="0"/>
              <w:right w:val="single" w:color="auto" w:sz="4" w:space="0"/>
            </w:tcBorders>
            <w:vAlign w:val="center"/>
          </w:tcPr>
          <w:p w14:paraId="3AF6837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市住建局</w:t>
            </w:r>
          </w:p>
        </w:tc>
        <w:tc>
          <w:tcPr>
            <w:tcW w:w="236" w:type="dxa"/>
            <w:vAlign w:val="center"/>
          </w:tcPr>
          <w:p w14:paraId="393C1D7A">
            <w:pPr>
              <w:widowControl/>
              <w:jc w:val="left"/>
              <w:rPr>
                <w:rFonts w:ascii="Times New Roman" w:hAnsi="Times New Roman" w:eastAsia="Times New Roman" w:cs="Times New Roman"/>
                <w:kern w:val="0"/>
                <w:sz w:val="20"/>
                <w:szCs w:val="20"/>
              </w:rPr>
            </w:pPr>
          </w:p>
        </w:tc>
      </w:tr>
      <w:tr w14:paraId="0104BCA0">
        <w:tblPrEx>
          <w:tblCellMar>
            <w:top w:w="0" w:type="dxa"/>
            <w:left w:w="108" w:type="dxa"/>
            <w:bottom w:w="0" w:type="dxa"/>
            <w:right w:w="108" w:type="dxa"/>
          </w:tblCellMar>
        </w:tblPrEx>
        <w:trPr>
          <w:trHeight w:val="2016" w:hRule="atLeast"/>
        </w:trPr>
        <w:tc>
          <w:tcPr>
            <w:tcW w:w="566" w:type="dxa"/>
            <w:tcBorders>
              <w:top w:val="nil"/>
              <w:left w:val="single" w:color="auto" w:sz="4" w:space="0"/>
              <w:bottom w:val="single" w:color="auto" w:sz="4" w:space="0"/>
              <w:right w:val="single" w:color="auto" w:sz="4" w:space="0"/>
            </w:tcBorders>
            <w:vAlign w:val="center"/>
          </w:tcPr>
          <w:p w14:paraId="75FB7CF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147</w:t>
            </w:r>
          </w:p>
        </w:tc>
        <w:tc>
          <w:tcPr>
            <w:tcW w:w="1981" w:type="dxa"/>
            <w:tcBorders>
              <w:top w:val="nil"/>
              <w:left w:val="nil"/>
              <w:bottom w:val="single" w:color="auto" w:sz="4" w:space="0"/>
              <w:right w:val="single" w:color="auto" w:sz="4" w:space="0"/>
            </w:tcBorders>
            <w:vAlign w:val="center"/>
          </w:tcPr>
          <w:p w14:paraId="4052F94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泉州市资源规划综合信息平台</w:t>
            </w:r>
          </w:p>
        </w:tc>
        <w:tc>
          <w:tcPr>
            <w:tcW w:w="945" w:type="dxa"/>
            <w:tcBorders>
              <w:top w:val="nil"/>
              <w:left w:val="nil"/>
              <w:bottom w:val="single" w:color="auto" w:sz="4" w:space="0"/>
              <w:right w:val="single" w:color="auto" w:sz="4" w:space="0"/>
            </w:tcBorders>
            <w:vAlign w:val="center"/>
          </w:tcPr>
          <w:p w14:paraId="622EE1F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54E72C2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拟分二期建设：第一期以生态文明建设为目标，开展国土空间规划基础信息平台、“一张图”实施监督系统和业务审批一体化系统建设，形成统一的自然资源和规划空间数据体系，有效提升空间数据和基础功能服务能力，形成一站式政务综合服务平台。第二期完善平台，建设自然资源资产管理、调查监测、生态修复、大数据辅助决策分析等系统，增强自然资源资产管理、动态监测、智能监管、防灾减灾及科学决策能力，持续提升政务服务能力。</w:t>
            </w:r>
          </w:p>
        </w:tc>
        <w:tc>
          <w:tcPr>
            <w:tcW w:w="1342" w:type="dxa"/>
            <w:tcBorders>
              <w:top w:val="nil"/>
              <w:left w:val="nil"/>
              <w:bottom w:val="single" w:color="auto" w:sz="4" w:space="0"/>
              <w:right w:val="single" w:color="auto" w:sz="4" w:space="0"/>
            </w:tcBorders>
            <w:vAlign w:val="center"/>
          </w:tcPr>
          <w:p w14:paraId="7A3A9E9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0.76</w:t>
            </w:r>
          </w:p>
        </w:tc>
        <w:tc>
          <w:tcPr>
            <w:tcW w:w="1866" w:type="dxa"/>
            <w:tcBorders>
              <w:top w:val="nil"/>
              <w:left w:val="nil"/>
              <w:bottom w:val="single" w:color="auto" w:sz="4" w:space="0"/>
              <w:right w:val="single" w:color="auto" w:sz="4" w:space="0"/>
            </w:tcBorders>
            <w:vAlign w:val="center"/>
          </w:tcPr>
          <w:p w14:paraId="00766FB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1689757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市资源规划局</w:t>
            </w:r>
          </w:p>
        </w:tc>
        <w:tc>
          <w:tcPr>
            <w:tcW w:w="236" w:type="dxa"/>
            <w:vAlign w:val="center"/>
          </w:tcPr>
          <w:p w14:paraId="318D94F2">
            <w:pPr>
              <w:widowControl/>
              <w:jc w:val="left"/>
              <w:rPr>
                <w:rFonts w:ascii="Times New Roman" w:hAnsi="Times New Roman" w:eastAsia="Times New Roman" w:cs="Times New Roman"/>
                <w:kern w:val="0"/>
                <w:sz w:val="20"/>
                <w:szCs w:val="20"/>
              </w:rPr>
            </w:pPr>
          </w:p>
        </w:tc>
      </w:tr>
      <w:tr w14:paraId="7663E578">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2C66FB65">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148</w:t>
            </w:r>
          </w:p>
        </w:tc>
        <w:tc>
          <w:tcPr>
            <w:tcW w:w="1981" w:type="dxa"/>
            <w:tcBorders>
              <w:top w:val="nil"/>
              <w:left w:val="nil"/>
              <w:bottom w:val="single" w:color="auto" w:sz="4" w:space="0"/>
              <w:right w:val="single" w:color="auto" w:sz="4" w:space="0"/>
            </w:tcBorders>
            <w:vAlign w:val="center"/>
          </w:tcPr>
          <w:p w14:paraId="7E4B4D3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泉州医学高等专科学校附属人民医院二期综合病房大楼综合信息化及功能配套建设项目</w:t>
            </w:r>
          </w:p>
        </w:tc>
        <w:tc>
          <w:tcPr>
            <w:tcW w:w="945" w:type="dxa"/>
            <w:tcBorders>
              <w:top w:val="nil"/>
              <w:left w:val="nil"/>
              <w:bottom w:val="single" w:color="auto" w:sz="4" w:space="0"/>
              <w:right w:val="single" w:color="auto" w:sz="4" w:space="0"/>
            </w:tcBorders>
            <w:vAlign w:val="center"/>
          </w:tcPr>
          <w:p w14:paraId="7EAE1D9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7A3A5E6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包括智能化、网络安全等级保护系统、医疗应用软件配套等项目建设。</w:t>
            </w:r>
          </w:p>
        </w:tc>
        <w:tc>
          <w:tcPr>
            <w:tcW w:w="1342" w:type="dxa"/>
            <w:tcBorders>
              <w:top w:val="nil"/>
              <w:left w:val="nil"/>
              <w:bottom w:val="single" w:color="auto" w:sz="4" w:space="0"/>
              <w:right w:val="single" w:color="auto" w:sz="4" w:space="0"/>
            </w:tcBorders>
            <w:vAlign w:val="center"/>
          </w:tcPr>
          <w:p w14:paraId="5A9B7C6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0.3736</w:t>
            </w:r>
          </w:p>
        </w:tc>
        <w:tc>
          <w:tcPr>
            <w:tcW w:w="1866" w:type="dxa"/>
            <w:tcBorders>
              <w:top w:val="nil"/>
              <w:left w:val="nil"/>
              <w:bottom w:val="single" w:color="auto" w:sz="4" w:space="0"/>
              <w:right w:val="single" w:color="auto" w:sz="4" w:space="0"/>
            </w:tcBorders>
            <w:vAlign w:val="center"/>
          </w:tcPr>
          <w:p w14:paraId="4C84386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6CF0F19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医高专附属人民医院</w:t>
            </w:r>
          </w:p>
        </w:tc>
        <w:tc>
          <w:tcPr>
            <w:tcW w:w="236" w:type="dxa"/>
            <w:vAlign w:val="center"/>
          </w:tcPr>
          <w:p w14:paraId="21F3210C">
            <w:pPr>
              <w:widowControl/>
              <w:jc w:val="left"/>
              <w:rPr>
                <w:rFonts w:ascii="Times New Roman" w:hAnsi="Times New Roman" w:eastAsia="Times New Roman" w:cs="Times New Roman"/>
                <w:kern w:val="0"/>
                <w:sz w:val="20"/>
                <w:szCs w:val="20"/>
              </w:rPr>
            </w:pPr>
          </w:p>
        </w:tc>
      </w:tr>
      <w:tr w14:paraId="1323E08C">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07C0661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149</w:t>
            </w:r>
          </w:p>
        </w:tc>
        <w:tc>
          <w:tcPr>
            <w:tcW w:w="1981" w:type="dxa"/>
            <w:tcBorders>
              <w:top w:val="single" w:color="auto" w:sz="4" w:space="0"/>
              <w:left w:val="nil"/>
              <w:bottom w:val="single" w:color="auto" w:sz="4" w:space="0"/>
              <w:right w:val="single" w:color="auto" w:sz="4" w:space="0"/>
            </w:tcBorders>
            <w:vAlign w:val="center"/>
          </w:tcPr>
          <w:p w14:paraId="34FFB32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泉州市应急广播系统项目</w:t>
            </w:r>
          </w:p>
        </w:tc>
        <w:tc>
          <w:tcPr>
            <w:tcW w:w="945" w:type="dxa"/>
            <w:tcBorders>
              <w:top w:val="single" w:color="auto" w:sz="4" w:space="0"/>
              <w:left w:val="nil"/>
              <w:bottom w:val="single" w:color="auto" w:sz="4" w:space="0"/>
              <w:right w:val="single" w:color="auto" w:sz="4" w:space="0"/>
            </w:tcBorders>
            <w:vAlign w:val="center"/>
          </w:tcPr>
          <w:p w14:paraId="5AF64875">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32CF2E8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建设泉州市应急广播平台，实现与上级应急广播平台、本级预警信息发布系统、县级应急广播平台、乡村应急终端设备互联互通的应急广播体系。</w:t>
            </w:r>
          </w:p>
        </w:tc>
        <w:tc>
          <w:tcPr>
            <w:tcW w:w="1342" w:type="dxa"/>
            <w:tcBorders>
              <w:top w:val="single" w:color="auto" w:sz="4" w:space="0"/>
              <w:left w:val="nil"/>
              <w:bottom w:val="single" w:color="auto" w:sz="4" w:space="0"/>
              <w:right w:val="single" w:color="auto" w:sz="4" w:space="0"/>
            </w:tcBorders>
            <w:vAlign w:val="center"/>
          </w:tcPr>
          <w:p w14:paraId="4F44D0D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0.1</w:t>
            </w:r>
          </w:p>
        </w:tc>
        <w:tc>
          <w:tcPr>
            <w:tcW w:w="1866" w:type="dxa"/>
            <w:tcBorders>
              <w:top w:val="single" w:color="auto" w:sz="4" w:space="0"/>
              <w:left w:val="nil"/>
              <w:bottom w:val="single" w:color="auto" w:sz="4" w:space="0"/>
              <w:right w:val="single" w:color="auto" w:sz="4" w:space="0"/>
            </w:tcBorders>
            <w:vAlign w:val="center"/>
          </w:tcPr>
          <w:p w14:paraId="07C7E07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2021-2024</w:t>
            </w:r>
          </w:p>
        </w:tc>
        <w:tc>
          <w:tcPr>
            <w:tcW w:w="1145" w:type="dxa"/>
            <w:tcBorders>
              <w:top w:val="single" w:color="auto" w:sz="4" w:space="0"/>
              <w:left w:val="nil"/>
              <w:bottom w:val="single" w:color="auto" w:sz="4" w:space="0"/>
              <w:right w:val="single" w:color="auto" w:sz="4" w:space="0"/>
            </w:tcBorders>
            <w:vAlign w:val="center"/>
          </w:tcPr>
          <w:p w14:paraId="0531F34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市文旅局</w:t>
            </w:r>
          </w:p>
        </w:tc>
        <w:tc>
          <w:tcPr>
            <w:tcW w:w="236" w:type="dxa"/>
            <w:vAlign w:val="center"/>
          </w:tcPr>
          <w:p w14:paraId="276BE6F8">
            <w:pPr>
              <w:widowControl/>
              <w:jc w:val="left"/>
              <w:rPr>
                <w:rFonts w:ascii="Times New Roman" w:hAnsi="Times New Roman" w:eastAsia="Times New Roman" w:cs="Times New Roman"/>
                <w:kern w:val="0"/>
                <w:sz w:val="20"/>
                <w:szCs w:val="20"/>
              </w:rPr>
            </w:pPr>
          </w:p>
        </w:tc>
      </w:tr>
      <w:tr w14:paraId="0F287118">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54A6B40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150</w:t>
            </w:r>
          </w:p>
        </w:tc>
        <w:tc>
          <w:tcPr>
            <w:tcW w:w="1981" w:type="dxa"/>
            <w:tcBorders>
              <w:top w:val="nil"/>
              <w:left w:val="nil"/>
              <w:bottom w:val="single" w:color="auto" w:sz="4" w:space="0"/>
              <w:right w:val="single" w:color="auto" w:sz="4" w:space="0"/>
            </w:tcBorders>
            <w:vAlign w:val="center"/>
          </w:tcPr>
          <w:p w14:paraId="64985D0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泉州市教育云平台</w:t>
            </w:r>
          </w:p>
        </w:tc>
        <w:tc>
          <w:tcPr>
            <w:tcW w:w="945" w:type="dxa"/>
            <w:tcBorders>
              <w:top w:val="nil"/>
              <w:left w:val="nil"/>
              <w:bottom w:val="single" w:color="auto" w:sz="4" w:space="0"/>
              <w:right w:val="single" w:color="auto" w:sz="4" w:space="0"/>
            </w:tcBorders>
            <w:vAlign w:val="center"/>
          </w:tcPr>
          <w:p w14:paraId="44CF5C1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028B134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构建“覆盖全市、标准统一、互联互通”的教育大数据体系，建设具有可视化、智能化，具有数据采集、数据治理、数据存储、数据计算的泉州市教育云平台，实现全市教育大数据的常态化、可视化、一体化管理。</w:t>
            </w:r>
          </w:p>
        </w:tc>
        <w:tc>
          <w:tcPr>
            <w:tcW w:w="1342" w:type="dxa"/>
            <w:tcBorders>
              <w:top w:val="nil"/>
              <w:left w:val="nil"/>
              <w:bottom w:val="single" w:color="auto" w:sz="4" w:space="0"/>
              <w:right w:val="single" w:color="auto" w:sz="4" w:space="0"/>
            </w:tcBorders>
            <w:vAlign w:val="center"/>
          </w:tcPr>
          <w:p w14:paraId="1B64794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0.7</w:t>
            </w:r>
          </w:p>
        </w:tc>
        <w:tc>
          <w:tcPr>
            <w:tcW w:w="1866" w:type="dxa"/>
            <w:tcBorders>
              <w:top w:val="nil"/>
              <w:left w:val="nil"/>
              <w:bottom w:val="single" w:color="auto" w:sz="4" w:space="0"/>
              <w:right w:val="single" w:color="auto" w:sz="4" w:space="0"/>
            </w:tcBorders>
            <w:vAlign w:val="center"/>
          </w:tcPr>
          <w:p w14:paraId="35C68C6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1E7610A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市教育局</w:t>
            </w:r>
          </w:p>
        </w:tc>
        <w:tc>
          <w:tcPr>
            <w:tcW w:w="236" w:type="dxa"/>
            <w:vAlign w:val="center"/>
          </w:tcPr>
          <w:p w14:paraId="6C3DB5DF">
            <w:pPr>
              <w:widowControl/>
              <w:jc w:val="left"/>
              <w:rPr>
                <w:rFonts w:ascii="Times New Roman" w:hAnsi="Times New Roman" w:eastAsia="Times New Roman" w:cs="Times New Roman"/>
                <w:kern w:val="0"/>
                <w:sz w:val="20"/>
                <w:szCs w:val="20"/>
              </w:rPr>
            </w:pPr>
          </w:p>
        </w:tc>
      </w:tr>
      <w:tr w14:paraId="6E33543E">
        <w:tblPrEx>
          <w:tblCellMar>
            <w:top w:w="0" w:type="dxa"/>
            <w:left w:w="108" w:type="dxa"/>
            <w:bottom w:w="0" w:type="dxa"/>
            <w:right w:w="108" w:type="dxa"/>
          </w:tblCellMar>
        </w:tblPrEx>
        <w:trPr>
          <w:trHeight w:val="2016" w:hRule="atLeast"/>
        </w:trPr>
        <w:tc>
          <w:tcPr>
            <w:tcW w:w="566" w:type="dxa"/>
            <w:tcBorders>
              <w:top w:val="nil"/>
              <w:left w:val="single" w:color="auto" w:sz="4" w:space="0"/>
              <w:bottom w:val="single" w:color="auto" w:sz="4" w:space="0"/>
              <w:right w:val="single" w:color="auto" w:sz="4" w:space="0"/>
            </w:tcBorders>
            <w:vAlign w:val="center"/>
          </w:tcPr>
          <w:p w14:paraId="580AE1A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151</w:t>
            </w:r>
          </w:p>
        </w:tc>
        <w:tc>
          <w:tcPr>
            <w:tcW w:w="1981" w:type="dxa"/>
            <w:tcBorders>
              <w:top w:val="nil"/>
              <w:left w:val="nil"/>
              <w:bottom w:val="single" w:color="auto" w:sz="4" w:space="0"/>
              <w:right w:val="single" w:color="auto" w:sz="4" w:space="0"/>
            </w:tcBorders>
            <w:vAlign w:val="center"/>
          </w:tcPr>
          <w:p w14:paraId="796C595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泉州市营商环境优化综合分析及决策支持平台</w:t>
            </w:r>
          </w:p>
        </w:tc>
        <w:tc>
          <w:tcPr>
            <w:tcW w:w="945" w:type="dxa"/>
            <w:tcBorders>
              <w:top w:val="nil"/>
              <w:left w:val="nil"/>
              <w:bottom w:val="single" w:color="auto" w:sz="4" w:space="0"/>
              <w:right w:val="single" w:color="auto" w:sz="4" w:space="0"/>
            </w:tcBorders>
            <w:vAlign w:val="center"/>
          </w:tcPr>
          <w:p w14:paraId="36C96FA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126AF28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通过建设营商环境检测督导系统、营商环境优化挖掘分析系统、营商环境优化政企互动系统、营商环境优化产业决策系统、营商环境优化效益分析系统，以及后台运维管理系统、综合数据资源中心建设、数据交互接口平台建设等，为政府部门和企业提供“找差距”“便互动”“帮决策”“追效益”等服务，建成集互动、分析与决策为一体的全方位、个性化的营商环境优化分析及决策平台。</w:t>
            </w:r>
          </w:p>
        </w:tc>
        <w:tc>
          <w:tcPr>
            <w:tcW w:w="1342" w:type="dxa"/>
            <w:tcBorders>
              <w:top w:val="nil"/>
              <w:left w:val="nil"/>
              <w:bottom w:val="single" w:color="auto" w:sz="4" w:space="0"/>
              <w:right w:val="single" w:color="auto" w:sz="4" w:space="0"/>
            </w:tcBorders>
            <w:vAlign w:val="center"/>
          </w:tcPr>
          <w:p w14:paraId="6614D6D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0.2206</w:t>
            </w:r>
          </w:p>
        </w:tc>
        <w:tc>
          <w:tcPr>
            <w:tcW w:w="1866" w:type="dxa"/>
            <w:tcBorders>
              <w:top w:val="nil"/>
              <w:left w:val="nil"/>
              <w:bottom w:val="single" w:color="auto" w:sz="4" w:space="0"/>
              <w:right w:val="single" w:color="auto" w:sz="4" w:space="0"/>
            </w:tcBorders>
            <w:vAlign w:val="center"/>
          </w:tcPr>
          <w:p w14:paraId="4D37C8D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2022-2023</w:t>
            </w:r>
          </w:p>
        </w:tc>
        <w:tc>
          <w:tcPr>
            <w:tcW w:w="1145" w:type="dxa"/>
            <w:tcBorders>
              <w:top w:val="nil"/>
              <w:left w:val="nil"/>
              <w:bottom w:val="single" w:color="auto" w:sz="4" w:space="0"/>
              <w:right w:val="single" w:color="auto" w:sz="4" w:space="0"/>
            </w:tcBorders>
            <w:vAlign w:val="center"/>
          </w:tcPr>
          <w:p w14:paraId="5B7C3B0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市发改委</w:t>
            </w:r>
          </w:p>
        </w:tc>
        <w:tc>
          <w:tcPr>
            <w:tcW w:w="236" w:type="dxa"/>
            <w:vAlign w:val="center"/>
          </w:tcPr>
          <w:p w14:paraId="17160717">
            <w:pPr>
              <w:widowControl/>
              <w:jc w:val="left"/>
              <w:rPr>
                <w:rFonts w:ascii="Times New Roman" w:hAnsi="Times New Roman" w:eastAsia="Times New Roman" w:cs="Times New Roman"/>
                <w:kern w:val="0"/>
                <w:sz w:val="20"/>
                <w:szCs w:val="20"/>
              </w:rPr>
            </w:pPr>
          </w:p>
        </w:tc>
      </w:tr>
      <w:tr w14:paraId="153B2A4E">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4E36BA0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152</w:t>
            </w:r>
          </w:p>
        </w:tc>
        <w:tc>
          <w:tcPr>
            <w:tcW w:w="1981" w:type="dxa"/>
            <w:tcBorders>
              <w:top w:val="nil"/>
              <w:left w:val="nil"/>
              <w:bottom w:val="single" w:color="auto" w:sz="4" w:space="0"/>
              <w:right w:val="single" w:color="auto" w:sz="4" w:space="0"/>
            </w:tcBorders>
            <w:vAlign w:val="center"/>
          </w:tcPr>
          <w:p w14:paraId="389BF9B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泉州市城市大脑建设项目</w:t>
            </w:r>
          </w:p>
        </w:tc>
        <w:tc>
          <w:tcPr>
            <w:tcW w:w="945" w:type="dxa"/>
            <w:tcBorders>
              <w:top w:val="nil"/>
              <w:left w:val="nil"/>
              <w:bottom w:val="single" w:color="auto" w:sz="4" w:space="0"/>
              <w:right w:val="single" w:color="auto" w:sz="4" w:space="0"/>
            </w:tcBorders>
            <w:vAlign w:val="center"/>
          </w:tcPr>
          <w:p w14:paraId="5DB65B2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1CD2CE1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在政务云平台和政务数据汇聚共享平台两大基础平台上，整合利用全市交通、警务、应急指挥、消防、安监、环保、市政、产业运行等领域数据，打造城市统一中枢，建设新型智慧城市运营指挥中枢平台。</w:t>
            </w:r>
          </w:p>
        </w:tc>
        <w:tc>
          <w:tcPr>
            <w:tcW w:w="1342" w:type="dxa"/>
            <w:tcBorders>
              <w:top w:val="nil"/>
              <w:left w:val="nil"/>
              <w:bottom w:val="single" w:color="auto" w:sz="4" w:space="0"/>
              <w:right w:val="single" w:color="auto" w:sz="4" w:space="0"/>
            </w:tcBorders>
            <w:vAlign w:val="center"/>
          </w:tcPr>
          <w:p w14:paraId="5A3A1F6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1866" w:type="dxa"/>
            <w:tcBorders>
              <w:top w:val="nil"/>
              <w:left w:val="nil"/>
              <w:bottom w:val="single" w:color="auto" w:sz="4" w:space="0"/>
              <w:right w:val="single" w:color="auto" w:sz="4" w:space="0"/>
            </w:tcBorders>
            <w:vAlign w:val="center"/>
          </w:tcPr>
          <w:p w14:paraId="66A342C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2018-2025</w:t>
            </w:r>
          </w:p>
        </w:tc>
        <w:tc>
          <w:tcPr>
            <w:tcW w:w="1145" w:type="dxa"/>
            <w:tcBorders>
              <w:top w:val="nil"/>
              <w:left w:val="nil"/>
              <w:bottom w:val="single" w:color="auto" w:sz="4" w:space="0"/>
              <w:right w:val="single" w:color="auto" w:sz="4" w:space="0"/>
            </w:tcBorders>
            <w:vAlign w:val="center"/>
          </w:tcPr>
          <w:p w14:paraId="2F8D615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市数字办</w:t>
            </w:r>
          </w:p>
        </w:tc>
        <w:tc>
          <w:tcPr>
            <w:tcW w:w="236" w:type="dxa"/>
            <w:vAlign w:val="center"/>
          </w:tcPr>
          <w:p w14:paraId="54E42F8D">
            <w:pPr>
              <w:widowControl/>
              <w:jc w:val="left"/>
              <w:rPr>
                <w:rFonts w:ascii="Times New Roman" w:hAnsi="Times New Roman" w:eastAsia="Times New Roman" w:cs="Times New Roman"/>
                <w:kern w:val="0"/>
                <w:sz w:val="20"/>
                <w:szCs w:val="20"/>
              </w:rPr>
            </w:pPr>
          </w:p>
        </w:tc>
      </w:tr>
      <w:tr w14:paraId="3A5E1847">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781B6A48">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153</w:t>
            </w:r>
          </w:p>
        </w:tc>
        <w:tc>
          <w:tcPr>
            <w:tcW w:w="1981" w:type="dxa"/>
            <w:tcBorders>
              <w:top w:val="nil"/>
              <w:left w:val="nil"/>
              <w:bottom w:val="single" w:color="auto" w:sz="4" w:space="0"/>
              <w:right w:val="single" w:color="auto" w:sz="4" w:space="0"/>
            </w:tcBorders>
            <w:vAlign w:val="center"/>
          </w:tcPr>
          <w:p w14:paraId="7656452C">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泉州水务大脑项目</w:t>
            </w:r>
          </w:p>
        </w:tc>
        <w:tc>
          <w:tcPr>
            <w:tcW w:w="945" w:type="dxa"/>
            <w:tcBorders>
              <w:top w:val="nil"/>
              <w:left w:val="nil"/>
              <w:bottom w:val="single" w:color="auto" w:sz="4" w:space="0"/>
              <w:right w:val="single" w:color="auto" w:sz="4" w:space="0"/>
            </w:tcBorders>
            <w:vAlign w:val="center"/>
          </w:tcPr>
          <w:p w14:paraId="5FD6948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705AACA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立水务大脑统一运营管理中心，围绕水务场景定做的解决方案开放平台，实现统一的入口、统一身份管理体系、统一认证、统一开放平台、统一算法模型库、统一应用中心，为水务行业相关用户提供常用水务场景基础平台、内涵丰富的水务场景模型应用市场及水务类APP等。</w:t>
            </w:r>
          </w:p>
        </w:tc>
        <w:tc>
          <w:tcPr>
            <w:tcW w:w="1342" w:type="dxa"/>
            <w:tcBorders>
              <w:top w:val="nil"/>
              <w:left w:val="nil"/>
              <w:bottom w:val="single" w:color="auto" w:sz="4" w:space="0"/>
              <w:right w:val="single" w:color="auto" w:sz="4" w:space="0"/>
            </w:tcBorders>
            <w:vAlign w:val="center"/>
          </w:tcPr>
          <w:p w14:paraId="65F4865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w:t>
            </w:r>
          </w:p>
        </w:tc>
        <w:tc>
          <w:tcPr>
            <w:tcW w:w="1866" w:type="dxa"/>
            <w:tcBorders>
              <w:top w:val="nil"/>
              <w:left w:val="nil"/>
              <w:bottom w:val="single" w:color="auto" w:sz="4" w:space="0"/>
              <w:right w:val="single" w:color="auto" w:sz="4" w:space="0"/>
            </w:tcBorders>
            <w:vAlign w:val="center"/>
          </w:tcPr>
          <w:p w14:paraId="6DEAF21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189F6CDE">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泉州水务集团</w:t>
            </w:r>
          </w:p>
        </w:tc>
        <w:tc>
          <w:tcPr>
            <w:tcW w:w="236" w:type="dxa"/>
            <w:vAlign w:val="center"/>
          </w:tcPr>
          <w:p w14:paraId="0D24DAD1">
            <w:pPr>
              <w:widowControl/>
              <w:jc w:val="left"/>
              <w:rPr>
                <w:rFonts w:ascii="Times New Roman" w:hAnsi="Times New Roman" w:eastAsia="Times New Roman" w:cs="Times New Roman"/>
                <w:kern w:val="0"/>
                <w:sz w:val="20"/>
                <w:szCs w:val="20"/>
              </w:rPr>
            </w:pPr>
          </w:p>
        </w:tc>
      </w:tr>
      <w:tr w14:paraId="2EE19940">
        <w:tblPrEx>
          <w:tblCellMar>
            <w:top w:w="0" w:type="dxa"/>
            <w:left w:w="108" w:type="dxa"/>
            <w:bottom w:w="0" w:type="dxa"/>
            <w:right w:w="108" w:type="dxa"/>
          </w:tblCellMar>
        </w:tblPrEx>
        <w:trPr>
          <w:trHeight w:val="566" w:hRule="atLeast"/>
        </w:trPr>
        <w:tc>
          <w:tcPr>
            <w:tcW w:w="566" w:type="dxa"/>
            <w:tcBorders>
              <w:top w:val="single" w:color="auto" w:sz="4" w:space="0"/>
              <w:left w:val="single" w:color="auto" w:sz="4" w:space="0"/>
              <w:bottom w:val="single" w:color="auto" w:sz="4" w:space="0"/>
              <w:right w:val="single" w:color="auto" w:sz="4" w:space="0"/>
            </w:tcBorders>
            <w:vAlign w:val="center"/>
          </w:tcPr>
          <w:p w14:paraId="2B35F31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154</w:t>
            </w:r>
          </w:p>
        </w:tc>
        <w:tc>
          <w:tcPr>
            <w:tcW w:w="1981" w:type="dxa"/>
            <w:tcBorders>
              <w:top w:val="single" w:color="auto" w:sz="4" w:space="0"/>
              <w:left w:val="nil"/>
              <w:bottom w:val="single" w:color="auto" w:sz="4" w:space="0"/>
              <w:right w:val="single" w:color="auto" w:sz="4" w:space="0"/>
            </w:tcBorders>
            <w:vAlign w:val="center"/>
          </w:tcPr>
          <w:p w14:paraId="5B9CF1F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泉服务移动便民一体化平台</w:t>
            </w:r>
          </w:p>
        </w:tc>
        <w:tc>
          <w:tcPr>
            <w:tcW w:w="945" w:type="dxa"/>
            <w:tcBorders>
              <w:top w:val="single" w:color="auto" w:sz="4" w:space="0"/>
              <w:left w:val="nil"/>
              <w:bottom w:val="single" w:color="auto" w:sz="4" w:space="0"/>
              <w:right w:val="single" w:color="auto" w:sz="4" w:space="0"/>
            </w:tcBorders>
            <w:vAlign w:val="center"/>
          </w:tcPr>
          <w:p w14:paraId="3EBA777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771F513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在现有“闽政通”泉服务小程序基础上，进一步整合泉政务、泉民生、泉应用、泉信用等领域各类政务应用服务和便民服务，及各县级门户，打造独立的泉服务APP，作为移动便民一体化平台。</w:t>
            </w:r>
          </w:p>
        </w:tc>
        <w:tc>
          <w:tcPr>
            <w:tcW w:w="1342" w:type="dxa"/>
            <w:tcBorders>
              <w:top w:val="single" w:color="auto" w:sz="4" w:space="0"/>
              <w:left w:val="nil"/>
              <w:bottom w:val="single" w:color="auto" w:sz="4" w:space="0"/>
              <w:right w:val="single" w:color="auto" w:sz="4" w:space="0"/>
            </w:tcBorders>
            <w:vAlign w:val="center"/>
          </w:tcPr>
          <w:p w14:paraId="5A85F9B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single" w:color="auto" w:sz="4" w:space="0"/>
              <w:left w:val="nil"/>
              <w:bottom w:val="single" w:color="auto" w:sz="4" w:space="0"/>
              <w:right w:val="single" w:color="auto" w:sz="4" w:space="0"/>
            </w:tcBorders>
            <w:vAlign w:val="center"/>
          </w:tcPr>
          <w:p w14:paraId="2D82C99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single" w:color="auto" w:sz="4" w:space="0"/>
              <w:left w:val="nil"/>
              <w:bottom w:val="single" w:color="auto" w:sz="4" w:space="0"/>
              <w:right w:val="single" w:color="auto" w:sz="4" w:space="0"/>
            </w:tcBorders>
            <w:vAlign w:val="center"/>
          </w:tcPr>
          <w:p w14:paraId="53CF009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市大数据公司</w:t>
            </w:r>
          </w:p>
        </w:tc>
        <w:tc>
          <w:tcPr>
            <w:tcW w:w="236" w:type="dxa"/>
            <w:vAlign w:val="center"/>
          </w:tcPr>
          <w:p w14:paraId="776B7924">
            <w:pPr>
              <w:widowControl/>
              <w:jc w:val="left"/>
              <w:rPr>
                <w:rFonts w:ascii="Times New Roman" w:hAnsi="Times New Roman" w:eastAsia="Times New Roman" w:cs="Times New Roman"/>
                <w:kern w:val="0"/>
                <w:sz w:val="20"/>
                <w:szCs w:val="20"/>
              </w:rPr>
            </w:pPr>
          </w:p>
        </w:tc>
      </w:tr>
      <w:tr w14:paraId="57BE23EB">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6B5E85B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155</w:t>
            </w:r>
          </w:p>
        </w:tc>
        <w:tc>
          <w:tcPr>
            <w:tcW w:w="1981" w:type="dxa"/>
            <w:tcBorders>
              <w:top w:val="single" w:color="auto" w:sz="4" w:space="0"/>
              <w:left w:val="nil"/>
              <w:bottom w:val="single" w:color="auto" w:sz="4" w:space="0"/>
              <w:right w:val="single" w:color="auto" w:sz="4" w:space="0"/>
            </w:tcBorders>
            <w:vAlign w:val="center"/>
          </w:tcPr>
          <w:p w14:paraId="31812A22">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泉州市智慧交通项目包</w:t>
            </w:r>
          </w:p>
        </w:tc>
        <w:tc>
          <w:tcPr>
            <w:tcW w:w="945" w:type="dxa"/>
            <w:tcBorders>
              <w:top w:val="single" w:color="auto" w:sz="4" w:space="0"/>
              <w:left w:val="nil"/>
              <w:bottom w:val="single" w:color="auto" w:sz="4" w:space="0"/>
              <w:right w:val="single" w:color="auto" w:sz="4" w:space="0"/>
            </w:tcBorders>
            <w:vAlign w:val="center"/>
          </w:tcPr>
          <w:p w14:paraId="6CA98C7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single" w:color="auto" w:sz="4" w:space="0"/>
              <w:left w:val="nil"/>
              <w:bottom w:val="single" w:color="auto" w:sz="4" w:space="0"/>
              <w:right w:val="single" w:color="auto" w:sz="4" w:space="0"/>
            </w:tcBorders>
            <w:vAlign w:val="center"/>
          </w:tcPr>
          <w:p w14:paraId="55D0620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建设泉州交通基础设施大数据资源中心、泉州市交通运输运行监测调度中心、泉州市智慧交通综合出行平台等，以及“互联网+”社会服务平台-泉城通平台、智慧公交大脑、自行车网等项目。</w:t>
            </w:r>
          </w:p>
        </w:tc>
        <w:tc>
          <w:tcPr>
            <w:tcW w:w="1342" w:type="dxa"/>
            <w:tcBorders>
              <w:top w:val="single" w:color="auto" w:sz="4" w:space="0"/>
              <w:left w:val="nil"/>
              <w:bottom w:val="single" w:color="auto" w:sz="4" w:space="0"/>
              <w:right w:val="single" w:color="auto" w:sz="4" w:space="0"/>
            </w:tcBorders>
            <w:vAlign w:val="center"/>
          </w:tcPr>
          <w:p w14:paraId="432781A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16.55</w:t>
            </w:r>
          </w:p>
        </w:tc>
        <w:tc>
          <w:tcPr>
            <w:tcW w:w="1866" w:type="dxa"/>
            <w:tcBorders>
              <w:top w:val="single" w:color="auto" w:sz="4" w:space="0"/>
              <w:left w:val="nil"/>
              <w:bottom w:val="single" w:color="auto" w:sz="4" w:space="0"/>
              <w:right w:val="single" w:color="auto" w:sz="4" w:space="0"/>
            </w:tcBorders>
            <w:vAlign w:val="center"/>
          </w:tcPr>
          <w:p w14:paraId="47562B7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single" w:color="auto" w:sz="4" w:space="0"/>
              <w:left w:val="nil"/>
              <w:bottom w:val="single" w:color="auto" w:sz="4" w:space="0"/>
              <w:right w:val="single" w:color="auto" w:sz="4" w:space="0"/>
            </w:tcBorders>
            <w:vAlign w:val="center"/>
          </w:tcPr>
          <w:p w14:paraId="75DF71F8">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泉州交通发展集团</w:t>
            </w:r>
          </w:p>
        </w:tc>
        <w:tc>
          <w:tcPr>
            <w:tcW w:w="236" w:type="dxa"/>
            <w:vAlign w:val="center"/>
          </w:tcPr>
          <w:p w14:paraId="05703B9B">
            <w:pPr>
              <w:widowControl/>
              <w:jc w:val="left"/>
              <w:rPr>
                <w:rFonts w:ascii="Times New Roman" w:hAnsi="Times New Roman" w:eastAsia="Times New Roman" w:cs="Times New Roman"/>
                <w:kern w:val="0"/>
                <w:sz w:val="20"/>
                <w:szCs w:val="20"/>
              </w:rPr>
            </w:pPr>
          </w:p>
        </w:tc>
      </w:tr>
      <w:tr w14:paraId="6414A577">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02024F0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156</w:t>
            </w:r>
          </w:p>
        </w:tc>
        <w:tc>
          <w:tcPr>
            <w:tcW w:w="1981" w:type="dxa"/>
            <w:tcBorders>
              <w:top w:val="nil"/>
              <w:left w:val="nil"/>
              <w:bottom w:val="single" w:color="auto" w:sz="4" w:space="0"/>
              <w:right w:val="single" w:color="auto" w:sz="4" w:space="0"/>
            </w:tcBorders>
            <w:vAlign w:val="center"/>
          </w:tcPr>
          <w:p w14:paraId="1737A41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洛江智慧城区提升工程</w:t>
            </w:r>
          </w:p>
        </w:tc>
        <w:tc>
          <w:tcPr>
            <w:tcW w:w="945" w:type="dxa"/>
            <w:tcBorders>
              <w:top w:val="nil"/>
              <w:left w:val="nil"/>
              <w:bottom w:val="single" w:color="auto" w:sz="4" w:space="0"/>
              <w:right w:val="single" w:color="auto" w:sz="4" w:space="0"/>
            </w:tcBorders>
            <w:vAlign w:val="center"/>
          </w:tcPr>
          <w:p w14:paraId="0A204A1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w:t>
            </w:r>
          </w:p>
        </w:tc>
        <w:tc>
          <w:tcPr>
            <w:tcW w:w="6233" w:type="dxa"/>
            <w:tcBorders>
              <w:top w:val="nil"/>
              <w:left w:val="nil"/>
              <w:bottom w:val="single" w:color="auto" w:sz="4" w:space="0"/>
              <w:right w:val="single" w:color="auto" w:sz="4" w:space="0"/>
            </w:tcBorders>
            <w:vAlign w:val="center"/>
          </w:tcPr>
          <w:p w14:paraId="05094DA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建设智慧城区数据中心、智慧公共服务、智慧社区、智慧教育、智慧医疗、智慧交通、智慧停车、智慧监控等相关网络基础性建设和信息资源及其应用型信息系统的开发利用。</w:t>
            </w:r>
          </w:p>
        </w:tc>
        <w:tc>
          <w:tcPr>
            <w:tcW w:w="1342" w:type="dxa"/>
            <w:tcBorders>
              <w:top w:val="nil"/>
              <w:left w:val="nil"/>
              <w:bottom w:val="single" w:color="auto" w:sz="4" w:space="0"/>
              <w:right w:val="single" w:color="auto" w:sz="4" w:space="0"/>
            </w:tcBorders>
            <w:vAlign w:val="center"/>
          </w:tcPr>
          <w:p w14:paraId="7C1FCE3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w:t>
            </w:r>
          </w:p>
        </w:tc>
        <w:tc>
          <w:tcPr>
            <w:tcW w:w="1866" w:type="dxa"/>
            <w:tcBorders>
              <w:top w:val="nil"/>
              <w:left w:val="nil"/>
              <w:bottom w:val="single" w:color="auto" w:sz="4" w:space="0"/>
              <w:right w:val="single" w:color="auto" w:sz="4" w:space="0"/>
            </w:tcBorders>
            <w:vAlign w:val="center"/>
          </w:tcPr>
          <w:p w14:paraId="1DEB298D">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01B9709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洛江区人民政府</w:t>
            </w:r>
          </w:p>
        </w:tc>
        <w:tc>
          <w:tcPr>
            <w:tcW w:w="236" w:type="dxa"/>
            <w:vAlign w:val="center"/>
          </w:tcPr>
          <w:p w14:paraId="4E14127F">
            <w:pPr>
              <w:widowControl/>
              <w:jc w:val="left"/>
              <w:rPr>
                <w:rFonts w:ascii="Times New Roman" w:hAnsi="Times New Roman" w:eastAsia="Times New Roman" w:cs="Times New Roman"/>
                <w:kern w:val="0"/>
                <w:sz w:val="20"/>
                <w:szCs w:val="20"/>
              </w:rPr>
            </w:pPr>
          </w:p>
        </w:tc>
      </w:tr>
      <w:tr w14:paraId="313243D2">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4191EBCD">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157</w:t>
            </w:r>
          </w:p>
        </w:tc>
        <w:tc>
          <w:tcPr>
            <w:tcW w:w="1981" w:type="dxa"/>
            <w:tcBorders>
              <w:top w:val="nil"/>
              <w:left w:val="nil"/>
              <w:bottom w:val="single" w:color="auto" w:sz="4" w:space="0"/>
              <w:right w:val="single" w:color="auto" w:sz="4" w:space="0"/>
            </w:tcBorders>
            <w:vAlign w:val="center"/>
          </w:tcPr>
          <w:p w14:paraId="7F98466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石狮智慧城市综合项目包</w:t>
            </w:r>
          </w:p>
        </w:tc>
        <w:tc>
          <w:tcPr>
            <w:tcW w:w="945" w:type="dxa"/>
            <w:tcBorders>
              <w:top w:val="nil"/>
              <w:left w:val="nil"/>
              <w:bottom w:val="single" w:color="auto" w:sz="4" w:space="0"/>
              <w:right w:val="single" w:color="auto" w:sz="4" w:space="0"/>
            </w:tcBorders>
            <w:vAlign w:val="center"/>
          </w:tcPr>
          <w:p w14:paraId="0F0B969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w:t>
            </w:r>
          </w:p>
        </w:tc>
        <w:tc>
          <w:tcPr>
            <w:tcW w:w="6233" w:type="dxa"/>
            <w:tcBorders>
              <w:top w:val="nil"/>
              <w:left w:val="nil"/>
              <w:bottom w:val="single" w:color="auto" w:sz="4" w:space="0"/>
              <w:right w:val="single" w:color="auto" w:sz="4" w:space="0"/>
            </w:tcBorders>
            <w:vAlign w:val="center"/>
          </w:tcPr>
          <w:p w14:paraId="1C024314">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主要建设综合信息网、大数据运营支持平台、网格化综合管理服务中心、“互联网+”智慧</w:t>
            </w:r>
            <w:r>
              <w:rPr>
                <w:rFonts w:hint="eastAsia" w:ascii="Times New Roman" w:hAnsi="Times New Roman" w:eastAsia="仿宋_GB2312" w:cs="Times New Roman"/>
                <w:color w:val="000000"/>
                <w:sz w:val="22"/>
              </w:rPr>
              <w:t>应用</w:t>
            </w:r>
            <w:r>
              <w:rPr>
                <w:rFonts w:ascii="Times New Roman" w:hAnsi="Times New Roman" w:eastAsia="仿宋_GB2312" w:cs="Times New Roman"/>
                <w:color w:val="000000"/>
                <w:sz w:val="22"/>
              </w:rPr>
              <w:t>领域体系，以及智慧石狮一期项目，包括智慧水务、智慧时空（空间地理）、智慧充电桩、智慧石狮管控指挥平台、石狮市公安局指挥中心升级改造（二级应急指挥中心）、不动产登记信息升级改造、智慧交通等。</w:t>
            </w:r>
          </w:p>
        </w:tc>
        <w:tc>
          <w:tcPr>
            <w:tcW w:w="1342" w:type="dxa"/>
            <w:tcBorders>
              <w:top w:val="nil"/>
              <w:left w:val="nil"/>
              <w:bottom w:val="single" w:color="auto" w:sz="4" w:space="0"/>
              <w:right w:val="single" w:color="auto" w:sz="4" w:space="0"/>
            </w:tcBorders>
            <w:vAlign w:val="center"/>
          </w:tcPr>
          <w:p w14:paraId="5A14BCC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9.64</w:t>
            </w:r>
          </w:p>
        </w:tc>
        <w:tc>
          <w:tcPr>
            <w:tcW w:w="1866" w:type="dxa"/>
            <w:tcBorders>
              <w:top w:val="nil"/>
              <w:left w:val="nil"/>
              <w:bottom w:val="single" w:color="auto" w:sz="4" w:space="0"/>
              <w:right w:val="single" w:color="auto" w:sz="4" w:space="0"/>
            </w:tcBorders>
            <w:vAlign w:val="center"/>
          </w:tcPr>
          <w:p w14:paraId="5A89FCA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2019-2026</w:t>
            </w:r>
          </w:p>
        </w:tc>
        <w:tc>
          <w:tcPr>
            <w:tcW w:w="1145" w:type="dxa"/>
            <w:tcBorders>
              <w:top w:val="nil"/>
              <w:left w:val="nil"/>
              <w:bottom w:val="single" w:color="auto" w:sz="4" w:space="0"/>
              <w:right w:val="single" w:color="auto" w:sz="4" w:space="0"/>
            </w:tcBorders>
            <w:vAlign w:val="center"/>
          </w:tcPr>
          <w:p w14:paraId="44D5EF8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石狮市人民政府</w:t>
            </w:r>
          </w:p>
        </w:tc>
        <w:tc>
          <w:tcPr>
            <w:tcW w:w="236" w:type="dxa"/>
            <w:vAlign w:val="center"/>
          </w:tcPr>
          <w:p w14:paraId="42D66C15">
            <w:pPr>
              <w:widowControl/>
              <w:jc w:val="left"/>
              <w:rPr>
                <w:rFonts w:ascii="Times New Roman" w:hAnsi="Times New Roman" w:eastAsia="Times New Roman" w:cs="Times New Roman"/>
                <w:kern w:val="0"/>
                <w:sz w:val="20"/>
                <w:szCs w:val="20"/>
              </w:rPr>
            </w:pPr>
          </w:p>
        </w:tc>
      </w:tr>
      <w:tr w14:paraId="7B3881EA">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4F4BD76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158</w:t>
            </w:r>
          </w:p>
        </w:tc>
        <w:tc>
          <w:tcPr>
            <w:tcW w:w="1981" w:type="dxa"/>
            <w:tcBorders>
              <w:top w:val="nil"/>
              <w:left w:val="nil"/>
              <w:bottom w:val="single" w:color="auto" w:sz="4" w:space="0"/>
              <w:right w:val="single" w:color="auto" w:sz="4" w:space="0"/>
            </w:tcBorders>
            <w:vAlign w:val="center"/>
          </w:tcPr>
          <w:p w14:paraId="44868DE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南安市智慧城市建设项目</w:t>
            </w:r>
          </w:p>
        </w:tc>
        <w:tc>
          <w:tcPr>
            <w:tcW w:w="945" w:type="dxa"/>
            <w:tcBorders>
              <w:top w:val="nil"/>
              <w:left w:val="nil"/>
              <w:bottom w:val="single" w:color="auto" w:sz="4" w:space="0"/>
              <w:right w:val="single" w:color="auto" w:sz="4" w:space="0"/>
            </w:tcBorders>
            <w:vAlign w:val="center"/>
          </w:tcPr>
          <w:p w14:paraId="487C737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w:t>
            </w:r>
          </w:p>
        </w:tc>
        <w:tc>
          <w:tcPr>
            <w:tcW w:w="6233" w:type="dxa"/>
            <w:tcBorders>
              <w:top w:val="nil"/>
              <w:left w:val="nil"/>
              <w:bottom w:val="single" w:color="auto" w:sz="4" w:space="0"/>
              <w:right w:val="single" w:color="auto" w:sz="4" w:space="0"/>
            </w:tcBorders>
            <w:vAlign w:val="center"/>
          </w:tcPr>
          <w:p w14:paraId="3F1C6C00">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数据中心，两个体系、智慧工业、智慧应急、智慧政务、智慧城管、智慧交通、智慧教育、智慧医疗、智慧社区、智慧文旅。</w:t>
            </w:r>
          </w:p>
        </w:tc>
        <w:tc>
          <w:tcPr>
            <w:tcW w:w="1342" w:type="dxa"/>
            <w:tcBorders>
              <w:top w:val="nil"/>
              <w:left w:val="nil"/>
              <w:bottom w:val="single" w:color="auto" w:sz="4" w:space="0"/>
              <w:right w:val="single" w:color="auto" w:sz="4" w:space="0"/>
            </w:tcBorders>
            <w:vAlign w:val="center"/>
          </w:tcPr>
          <w:p w14:paraId="1531A9F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2.4383</w:t>
            </w:r>
          </w:p>
        </w:tc>
        <w:tc>
          <w:tcPr>
            <w:tcW w:w="1866" w:type="dxa"/>
            <w:tcBorders>
              <w:top w:val="nil"/>
              <w:left w:val="nil"/>
              <w:bottom w:val="single" w:color="auto" w:sz="4" w:space="0"/>
              <w:right w:val="single" w:color="auto" w:sz="4" w:space="0"/>
            </w:tcBorders>
            <w:vAlign w:val="center"/>
          </w:tcPr>
          <w:p w14:paraId="0159DDF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24059C82">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南安市人民政府</w:t>
            </w:r>
          </w:p>
        </w:tc>
        <w:tc>
          <w:tcPr>
            <w:tcW w:w="236" w:type="dxa"/>
            <w:vAlign w:val="center"/>
          </w:tcPr>
          <w:p w14:paraId="6C398964">
            <w:pPr>
              <w:widowControl/>
              <w:jc w:val="left"/>
              <w:rPr>
                <w:rFonts w:ascii="Times New Roman" w:hAnsi="Times New Roman" w:eastAsia="Times New Roman" w:cs="Times New Roman"/>
                <w:kern w:val="0"/>
                <w:sz w:val="20"/>
                <w:szCs w:val="20"/>
              </w:rPr>
            </w:pPr>
          </w:p>
        </w:tc>
      </w:tr>
      <w:tr w14:paraId="06C4505D">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13A86A8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159</w:t>
            </w:r>
          </w:p>
        </w:tc>
        <w:tc>
          <w:tcPr>
            <w:tcW w:w="1981" w:type="dxa"/>
            <w:tcBorders>
              <w:top w:val="nil"/>
              <w:left w:val="nil"/>
              <w:bottom w:val="single" w:color="auto" w:sz="4" w:space="0"/>
              <w:right w:val="single" w:color="auto" w:sz="4" w:space="0"/>
            </w:tcBorders>
            <w:vAlign w:val="center"/>
          </w:tcPr>
          <w:p w14:paraId="56AAAD1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惠安县智慧城市项目</w:t>
            </w:r>
          </w:p>
        </w:tc>
        <w:tc>
          <w:tcPr>
            <w:tcW w:w="945" w:type="dxa"/>
            <w:tcBorders>
              <w:top w:val="nil"/>
              <w:left w:val="nil"/>
              <w:bottom w:val="single" w:color="auto" w:sz="4" w:space="0"/>
              <w:right w:val="single" w:color="auto" w:sz="4" w:space="0"/>
            </w:tcBorders>
            <w:vAlign w:val="center"/>
          </w:tcPr>
          <w:p w14:paraId="641138B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66FF3426">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运用大数据、5G、物联网等技术建设包括四大基础模块和六大行业智慧应用。四大基础模块包括城市运行中心、基础网络、云计算中心和信息安全保障模块；六大行业智慧应用包括智慧政务、公共安全、智慧城管、智慧医疗、智慧旅游和智慧交通。</w:t>
            </w:r>
          </w:p>
        </w:tc>
        <w:tc>
          <w:tcPr>
            <w:tcW w:w="1342" w:type="dxa"/>
            <w:tcBorders>
              <w:top w:val="nil"/>
              <w:left w:val="nil"/>
              <w:bottom w:val="single" w:color="auto" w:sz="4" w:space="0"/>
              <w:right w:val="single" w:color="auto" w:sz="4" w:space="0"/>
            </w:tcBorders>
            <w:vAlign w:val="center"/>
          </w:tcPr>
          <w:p w14:paraId="277437D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4.8</w:t>
            </w:r>
          </w:p>
        </w:tc>
        <w:tc>
          <w:tcPr>
            <w:tcW w:w="1866" w:type="dxa"/>
            <w:tcBorders>
              <w:top w:val="nil"/>
              <w:left w:val="nil"/>
              <w:bottom w:val="single" w:color="auto" w:sz="4" w:space="0"/>
              <w:right w:val="single" w:color="auto" w:sz="4" w:space="0"/>
            </w:tcBorders>
            <w:vAlign w:val="center"/>
          </w:tcPr>
          <w:p w14:paraId="4715A526">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2020-2022</w:t>
            </w:r>
          </w:p>
        </w:tc>
        <w:tc>
          <w:tcPr>
            <w:tcW w:w="1145" w:type="dxa"/>
            <w:tcBorders>
              <w:top w:val="nil"/>
              <w:left w:val="nil"/>
              <w:bottom w:val="single" w:color="auto" w:sz="4" w:space="0"/>
              <w:right w:val="single" w:color="auto" w:sz="4" w:space="0"/>
            </w:tcBorders>
            <w:vAlign w:val="center"/>
          </w:tcPr>
          <w:p w14:paraId="28F1E2C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400C45A4">
            <w:pPr>
              <w:widowControl/>
              <w:jc w:val="left"/>
              <w:rPr>
                <w:rFonts w:ascii="Times New Roman" w:hAnsi="Times New Roman" w:eastAsia="Times New Roman" w:cs="Times New Roman"/>
                <w:kern w:val="0"/>
                <w:sz w:val="20"/>
                <w:szCs w:val="20"/>
              </w:rPr>
            </w:pPr>
          </w:p>
        </w:tc>
      </w:tr>
      <w:tr w14:paraId="7E45E94C">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1A145EA7">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160</w:t>
            </w:r>
          </w:p>
        </w:tc>
        <w:tc>
          <w:tcPr>
            <w:tcW w:w="1981" w:type="dxa"/>
            <w:tcBorders>
              <w:top w:val="nil"/>
              <w:left w:val="nil"/>
              <w:bottom w:val="single" w:color="auto" w:sz="4" w:space="0"/>
              <w:right w:val="single" w:color="auto" w:sz="4" w:space="0"/>
            </w:tcBorders>
            <w:vAlign w:val="center"/>
          </w:tcPr>
          <w:p w14:paraId="0191067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惠安县电动汽车充电基础设施及配套项目</w:t>
            </w:r>
          </w:p>
        </w:tc>
        <w:tc>
          <w:tcPr>
            <w:tcW w:w="945" w:type="dxa"/>
            <w:tcBorders>
              <w:top w:val="nil"/>
              <w:left w:val="nil"/>
              <w:bottom w:val="single" w:color="auto" w:sz="4" w:space="0"/>
              <w:right w:val="single" w:color="auto" w:sz="4" w:space="0"/>
            </w:tcBorders>
            <w:vAlign w:val="center"/>
          </w:tcPr>
          <w:p w14:paraId="06404A7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w:t>
            </w:r>
          </w:p>
        </w:tc>
        <w:tc>
          <w:tcPr>
            <w:tcW w:w="6233" w:type="dxa"/>
            <w:tcBorders>
              <w:top w:val="nil"/>
              <w:left w:val="nil"/>
              <w:bottom w:val="single" w:color="auto" w:sz="4" w:space="0"/>
              <w:right w:val="single" w:color="auto" w:sz="4" w:space="0"/>
            </w:tcBorders>
            <w:vAlign w:val="center"/>
          </w:tcPr>
          <w:p w14:paraId="4D3804E1">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分阶段在全县范围内开展公共充电基础设施及配套项目建设，并逐步整合辖区内公共充电基础设施建设、维护、管理、运营业务。</w:t>
            </w:r>
          </w:p>
        </w:tc>
        <w:tc>
          <w:tcPr>
            <w:tcW w:w="1342" w:type="dxa"/>
            <w:tcBorders>
              <w:top w:val="nil"/>
              <w:left w:val="nil"/>
              <w:bottom w:val="single" w:color="auto" w:sz="4" w:space="0"/>
              <w:right w:val="single" w:color="auto" w:sz="4" w:space="0"/>
            </w:tcBorders>
            <w:vAlign w:val="center"/>
          </w:tcPr>
          <w:p w14:paraId="3FA12B7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1.32</w:t>
            </w:r>
          </w:p>
        </w:tc>
        <w:tc>
          <w:tcPr>
            <w:tcW w:w="1866" w:type="dxa"/>
            <w:tcBorders>
              <w:top w:val="nil"/>
              <w:left w:val="nil"/>
              <w:bottom w:val="single" w:color="auto" w:sz="4" w:space="0"/>
              <w:right w:val="single" w:color="auto" w:sz="4" w:space="0"/>
            </w:tcBorders>
            <w:vAlign w:val="center"/>
          </w:tcPr>
          <w:p w14:paraId="2BCD886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2019-2024</w:t>
            </w:r>
          </w:p>
        </w:tc>
        <w:tc>
          <w:tcPr>
            <w:tcW w:w="1145" w:type="dxa"/>
            <w:tcBorders>
              <w:top w:val="nil"/>
              <w:left w:val="nil"/>
              <w:bottom w:val="single" w:color="auto" w:sz="4" w:space="0"/>
              <w:right w:val="single" w:color="auto" w:sz="4" w:space="0"/>
            </w:tcBorders>
            <w:vAlign w:val="center"/>
          </w:tcPr>
          <w:p w14:paraId="1E1D7DE1">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惠安县人民政府</w:t>
            </w:r>
          </w:p>
        </w:tc>
        <w:tc>
          <w:tcPr>
            <w:tcW w:w="236" w:type="dxa"/>
            <w:vAlign w:val="center"/>
          </w:tcPr>
          <w:p w14:paraId="24D6F3C8">
            <w:pPr>
              <w:widowControl/>
              <w:jc w:val="left"/>
              <w:rPr>
                <w:rFonts w:ascii="Times New Roman" w:hAnsi="Times New Roman" w:eastAsia="Times New Roman" w:cs="Times New Roman"/>
                <w:kern w:val="0"/>
                <w:sz w:val="20"/>
                <w:szCs w:val="20"/>
              </w:rPr>
            </w:pPr>
          </w:p>
        </w:tc>
      </w:tr>
      <w:tr w14:paraId="39297220">
        <w:tblPrEx>
          <w:tblCellMar>
            <w:top w:w="0" w:type="dxa"/>
            <w:left w:w="108" w:type="dxa"/>
            <w:bottom w:w="0" w:type="dxa"/>
            <w:right w:w="108" w:type="dxa"/>
          </w:tblCellMar>
        </w:tblPrEx>
        <w:trPr>
          <w:trHeight w:val="864" w:hRule="atLeast"/>
        </w:trPr>
        <w:tc>
          <w:tcPr>
            <w:tcW w:w="566" w:type="dxa"/>
            <w:tcBorders>
              <w:top w:val="single" w:color="auto" w:sz="4" w:space="0"/>
              <w:left w:val="single" w:color="auto" w:sz="4" w:space="0"/>
              <w:bottom w:val="single" w:color="auto" w:sz="4" w:space="0"/>
              <w:right w:val="single" w:color="auto" w:sz="4" w:space="0"/>
            </w:tcBorders>
            <w:vAlign w:val="center"/>
          </w:tcPr>
          <w:p w14:paraId="7FF9F304">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161</w:t>
            </w:r>
          </w:p>
        </w:tc>
        <w:tc>
          <w:tcPr>
            <w:tcW w:w="1981" w:type="dxa"/>
            <w:tcBorders>
              <w:top w:val="single" w:color="auto" w:sz="4" w:space="0"/>
              <w:left w:val="nil"/>
              <w:bottom w:val="single" w:color="auto" w:sz="4" w:space="0"/>
              <w:right w:val="single" w:color="auto" w:sz="4" w:space="0"/>
            </w:tcBorders>
            <w:vAlign w:val="center"/>
          </w:tcPr>
          <w:p w14:paraId="1760BC45">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永春县城市大脑项目</w:t>
            </w:r>
          </w:p>
        </w:tc>
        <w:tc>
          <w:tcPr>
            <w:tcW w:w="945" w:type="dxa"/>
            <w:tcBorders>
              <w:top w:val="single" w:color="auto" w:sz="4" w:space="0"/>
              <w:left w:val="nil"/>
              <w:bottom w:val="single" w:color="auto" w:sz="4" w:space="0"/>
              <w:right w:val="single" w:color="auto" w:sz="4" w:space="0"/>
            </w:tcBorders>
            <w:vAlign w:val="center"/>
          </w:tcPr>
          <w:p w14:paraId="077ABFB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w:t>
            </w:r>
          </w:p>
        </w:tc>
        <w:tc>
          <w:tcPr>
            <w:tcW w:w="6233" w:type="dxa"/>
            <w:tcBorders>
              <w:top w:val="single" w:color="auto" w:sz="4" w:space="0"/>
              <w:left w:val="nil"/>
              <w:bottom w:val="single" w:color="auto" w:sz="4" w:space="0"/>
              <w:right w:val="single" w:color="auto" w:sz="4" w:space="0"/>
            </w:tcBorders>
            <w:vAlign w:val="center"/>
          </w:tcPr>
          <w:p w14:paraId="0E114609">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项目将搭建“以大数据计算资源平台为依托、以数据汇聚整合为手段、以智能算法业务引擎为支撑、以纵向垂直专项场景建设为目标”的永春县城市大脑大数据综合服务体系。</w:t>
            </w:r>
          </w:p>
        </w:tc>
        <w:tc>
          <w:tcPr>
            <w:tcW w:w="1342" w:type="dxa"/>
            <w:tcBorders>
              <w:top w:val="single" w:color="auto" w:sz="4" w:space="0"/>
              <w:left w:val="nil"/>
              <w:bottom w:val="single" w:color="auto" w:sz="4" w:space="0"/>
              <w:right w:val="single" w:color="auto" w:sz="4" w:space="0"/>
            </w:tcBorders>
            <w:vAlign w:val="center"/>
          </w:tcPr>
          <w:p w14:paraId="39537C2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single" w:color="auto" w:sz="4" w:space="0"/>
              <w:left w:val="nil"/>
              <w:bottom w:val="single" w:color="auto" w:sz="4" w:space="0"/>
              <w:right w:val="single" w:color="auto" w:sz="4" w:space="0"/>
            </w:tcBorders>
            <w:vAlign w:val="center"/>
          </w:tcPr>
          <w:p w14:paraId="56BBF18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2020-2023</w:t>
            </w:r>
          </w:p>
        </w:tc>
        <w:tc>
          <w:tcPr>
            <w:tcW w:w="1145" w:type="dxa"/>
            <w:tcBorders>
              <w:top w:val="single" w:color="auto" w:sz="4" w:space="0"/>
              <w:left w:val="nil"/>
              <w:bottom w:val="single" w:color="auto" w:sz="4" w:space="0"/>
              <w:right w:val="single" w:color="auto" w:sz="4" w:space="0"/>
            </w:tcBorders>
            <w:vAlign w:val="center"/>
          </w:tcPr>
          <w:p w14:paraId="53DADB2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永春县人民政府</w:t>
            </w:r>
          </w:p>
        </w:tc>
        <w:tc>
          <w:tcPr>
            <w:tcW w:w="236" w:type="dxa"/>
            <w:vAlign w:val="center"/>
          </w:tcPr>
          <w:p w14:paraId="071C4404">
            <w:pPr>
              <w:widowControl/>
              <w:jc w:val="left"/>
              <w:rPr>
                <w:rFonts w:ascii="Times New Roman" w:hAnsi="Times New Roman" w:eastAsia="Times New Roman" w:cs="Times New Roman"/>
                <w:kern w:val="0"/>
                <w:sz w:val="20"/>
                <w:szCs w:val="20"/>
              </w:rPr>
            </w:pPr>
          </w:p>
        </w:tc>
      </w:tr>
      <w:tr w14:paraId="188BBFC6">
        <w:tblPrEx>
          <w:tblCellMar>
            <w:top w:w="0" w:type="dxa"/>
            <w:left w:w="108" w:type="dxa"/>
            <w:bottom w:w="0" w:type="dxa"/>
            <w:right w:w="108" w:type="dxa"/>
          </w:tblCellMar>
        </w:tblPrEx>
        <w:trPr>
          <w:trHeight w:val="576" w:hRule="atLeast"/>
        </w:trPr>
        <w:tc>
          <w:tcPr>
            <w:tcW w:w="566" w:type="dxa"/>
            <w:tcBorders>
              <w:top w:val="nil"/>
              <w:left w:val="single" w:color="auto" w:sz="4" w:space="0"/>
              <w:bottom w:val="single" w:color="auto" w:sz="4" w:space="0"/>
              <w:right w:val="single" w:color="auto" w:sz="4" w:space="0"/>
            </w:tcBorders>
            <w:vAlign w:val="center"/>
          </w:tcPr>
          <w:p w14:paraId="681F3EB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162</w:t>
            </w:r>
          </w:p>
        </w:tc>
        <w:tc>
          <w:tcPr>
            <w:tcW w:w="1981" w:type="dxa"/>
            <w:tcBorders>
              <w:top w:val="nil"/>
              <w:left w:val="nil"/>
              <w:bottom w:val="single" w:color="auto" w:sz="4" w:space="0"/>
              <w:right w:val="single" w:color="auto" w:sz="4" w:space="0"/>
            </w:tcBorders>
            <w:vAlign w:val="center"/>
          </w:tcPr>
          <w:p w14:paraId="0009E833">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德化县智慧城市建设项目</w:t>
            </w:r>
          </w:p>
        </w:tc>
        <w:tc>
          <w:tcPr>
            <w:tcW w:w="945" w:type="dxa"/>
            <w:tcBorders>
              <w:top w:val="nil"/>
              <w:left w:val="nil"/>
              <w:bottom w:val="single" w:color="auto" w:sz="4" w:space="0"/>
              <w:right w:val="single" w:color="auto" w:sz="4" w:space="0"/>
            </w:tcBorders>
            <w:vAlign w:val="center"/>
          </w:tcPr>
          <w:p w14:paraId="0CA7ACF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w:t>
            </w:r>
          </w:p>
        </w:tc>
        <w:tc>
          <w:tcPr>
            <w:tcW w:w="6233" w:type="dxa"/>
            <w:tcBorders>
              <w:top w:val="nil"/>
              <w:left w:val="nil"/>
              <w:bottom w:val="single" w:color="auto" w:sz="4" w:space="0"/>
              <w:right w:val="single" w:color="auto" w:sz="4" w:space="0"/>
            </w:tcBorders>
            <w:vAlign w:val="center"/>
          </w:tcPr>
          <w:p w14:paraId="3B595D7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主要是推进信息基础设施建设、数字信息服务产业建设、智慧应用建设、建立规范的标准建设、运营和保障建设五个方面。</w:t>
            </w:r>
          </w:p>
        </w:tc>
        <w:tc>
          <w:tcPr>
            <w:tcW w:w="1342" w:type="dxa"/>
            <w:tcBorders>
              <w:top w:val="nil"/>
              <w:left w:val="nil"/>
              <w:bottom w:val="single" w:color="auto" w:sz="4" w:space="0"/>
              <w:right w:val="single" w:color="auto" w:sz="4" w:space="0"/>
            </w:tcBorders>
            <w:vAlign w:val="center"/>
          </w:tcPr>
          <w:p w14:paraId="2012D23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w:t>
            </w:r>
          </w:p>
        </w:tc>
        <w:tc>
          <w:tcPr>
            <w:tcW w:w="1866" w:type="dxa"/>
            <w:tcBorders>
              <w:top w:val="nil"/>
              <w:left w:val="nil"/>
              <w:bottom w:val="single" w:color="auto" w:sz="4" w:space="0"/>
              <w:right w:val="single" w:color="auto" w:sz="4" w:space="0"/>
            </w:tcBorders>
            <w:vAlign w:val="center"/>
          </w:tcPr>
          <w:p w14:paraId="3EF4390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736E773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德化县人民政府</w:t>
            </w:r>
          </w:p>
        </w:tc>
        <w:tc>
          <w:tcPr>
            <w:tcW w:w="236" w:type="dxa"/>
            <w:vAlign w:val="center"/>
          </w:tcPr>
          <w:p w14:paraId="525417C1">
            <w:pPr>
              <w:widowControl/>
              <w:jc w:val="left"/>
              <w:rPr>
                <w:rFonts w:ascii="Times New Roman" w:hAnsi="Times New Roman" w:eastAsia="Times New Roman" w:cs="Times New Roman"/>
                <w:kern w:val="0"/>
                <w:sz w:val="20"/>
                <w:szCs w:val="20"/>
              </w:rPr>
            </w:pPr>
          </w:p>
        </w:tc>
      </w:tr>
      <w:tr w14:paraId="7AEC6650">
        <w:tblPrEx>
          <w:tblCellMar>
            <w:top w:w="0" w:type="dxa"/>
            <w:left w:w="108" w:type="dxa"/>
            <w:bottom w:w="0" w:type="dxa"/>
            <w:right w:w="108" w:type="dxa"/>
          </w:tblCellMar>
        </w:tblPrEx>
        <w:trPr>
          <w:trHeight w:val="1152" w:hRule="atLeast"/>
        </w:trPr>
        <w:tc>
          <w:tcPr>
            <w:tcW w:w="566" w:type="dxa"/>
            <w:tcBorders>
              <w:top w:val="nil"/>
              <w:left w:val="single" w:color="auto" w:sz="4" w:space="0"/>
              <w:bottom w:val="single" w:color="auto" w:sz="4" w:space="0"/>
              <w:right w:val="single" w:color="auto" w:sz="4" w:space="0"/>
            </w:tcBorders>
            <w:vAlign w:val="center"/>
          </w:tcPr>
          <w:p w14:paraId="4F6ED1AC">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163</w:t>
            </w:r>
          </w:p>
        </w:tc>
        <w:tc>
          <w:tcPr>
            <w:tcW w:w="1981" w:type="dxa"/>
            <w:tcBorders>
              <w:top w:val="nil"/>
              <w:left w:val="nil"/>
              <w:bottom w:val="single" w:color="auto" w:sz="4" w:space="0"/>
              <w:right w:val="single" w:color="auto" w:sz="4" w:space="0"/>
            </w:tcBorders>
            <w:vAlign w:val="center"/>
          </w:tcPr>
          <w:p w14:paraId="243E3AA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泉州开发区智慧园区建设</w:t>
            </w:r>
          </w:p>
        </w:tc>
        <w:tc>
          <w:tcPr>
            <w:tcW w:w="945" w:type="dxa"/>
            <w:tcBorders>
              <w:top w:val="nil"/>
              <w:left w:val="nil"/>
              <w:bottom w:val="single" w:color="auto" w:sz="4" w:space="0"/>
              <w:right w:val="single" w:color="auto" w:sz="4" w:space="0"/>
            </w:tcBorders>
            <w:vAlign w:val="center"/>
          </w:tcPr>
          <w:p w14:paraId="44EFB04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w:t>
            </w:r>
          </w:p>
        </w:tc>
        <w:tc>
          <w:tcPr>
            <w:tcW w:w="6233" w:type="dxa"/>
            <w:tcBorders>
              <w:top w:val="nil"/>
              <w:left w:val="nil"/>
              <w:bottom w:val="single" w:color="auto" w:sz="4" w:space="0"/>
              <w:right w:val="single" w:color="auto" w:sz="4" w:space="0"/>
            </w:tcBorders>
            <w:vAlign w:val="center"/>
          </w:tcPr>
          <w:p w14:paraId="2A7E6AA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打造“1+2+3+N”智慧园区体系,即：“1”，以“数字孪生开发区”为建设统揽，“2”，以软件、硬件为建设支撑，“3”以政务管理、经济服务、民生需求为建设导向，“N”以推动若干场景应用开发为建设内容。</w:t>
            </w:r>
          </w:p>
        </w:tc>
        <w:tc>
          <w:tcPr>
            <w:tcW w:w="1342" w:type="dxa"/>
            <w:tcBorders>
              <w:top w:val="nil"/>
              <w:left w:val="nil"/>
              <w:bottom w:val="single" w:color="auto" w:sz="4" w:space="0"/>
              <w:right w:val="single" w:color="auto" w:sz="4" w:space="0"/>
            </w:tcBorders>
            <w:vAlign w:val="center"/>
          </w:tcPr>
          <w:p w14:paraId="0C074A0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7B33F41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2020-2025</w:t>
            </w:r>
          </w:p>
        </w:tc>
        <w:tc>
          <w:tcPr>
            <w:tcW w:w="1145" w:type="dxa"/>
            <w:tcBorders>
              <w:top w:val="nil"/>
              <w:left w:val="nil"/>
              <w:bottom w:val="single" w:color="auto" w:sz="4" w:space="0"/>
              <w:right w:val="single" w:color="auto" w:sz="4" w:space="0"/>
            </w:tcBorders>
            <w:vAlign w:val="center"/>
          </w:tcPr>
          <w:p w14:paraId="0D4BE463">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泉州开发区管委会</w:t>
            </w:r>
          </w:p>
        </w:tc>
        <w:tc>
          <w:tcPr>
            <w:tcW w:w="236" w:type="dxa"/>
            <w:vAlign w:val="center"/>
          </w:tcPr>
          <w:p w14:paraId="1241CA61">
            <w:pPr>
              <w:widowControl/>
              <w:jc w:val="left"/>
              <w:rPr>
                <w:rFonts w:ascii="Times New Roman" w:hAnsi="Times New Roman" w:eastAsia="Times New Roman" w:cs="Times New Roman"/>
                <w:kern w:val="0"/>
                <w:sz w:val="20"/>
                <w:szCs w:val="20"/>
              </w:rPr>
            </w:pPr>
          </w:p>
        </w:tc>
      </w:tr>
      <w:tr w14:paraId="5AB04F54">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1A89E706">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164</w:t>
            </w:r>
          </w:p>
        </w:tc>
        <w:tc>
          <w:tcPr>
            <w:tcW w:w="1981" w:type="dxa"/>
            <w:tcBorders>
              <w:top w:val="nil"/>
              <w:left w:val="nil"/>
              <w:bottom w:val="single" w:color="auto" w:sz="4" w:space="0"/>
              <w:right w:val="single" w:color="auto" w:sz="4" w:space="0"/>
            </w:tcBorders>
            <w:vAlign w:val="center"/>
          </w:tcPr>
          <w:p w14:paraId="6771168A">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泉州市“智慧消防”大脑建设项目</w:t>
            </w:r>
          </w:p>
        </w:tc>
        <w:tc>
          <w:tcPr>
            <w:tcW w:w="945" w:type="dxa"/>
            <w:tcBorders>
              <w:top w:val="nil"/>
              <w:left w:val="nil"/>
              <w:bottom w:val="single" w:color="auto" w:sz="4" w:space="0"/>
              <w:right w:val="single" w:color="auto" w:sz="4" w:space="0"/>
            </w:tcBorders>
            <w:vAlign w:val="center"/>
          </w:tcPr>
          <w:p w14:paraId="40A4075A">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62B77667">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推广BIM建筑消防信息建模、CIM城市消防信息建模。搭建”智慧消防“信息平台，全面形成“火灾防控多元共治、应急救援科学智能、战勤保障精准高效、公众服务普惠便捷”的新格局。</w:t>
            </w:r>
          </w:p>
        </w:tc>
        <w:tc>
          <w:tcPr>
            <w:tcW w:w="1342" w:type="dxa"/>
            <w:tcBorders>
              <w:top w:val="nil"/>
              <w:left w:val="nil"/>
              <w:bottom w:val="single" w:color="auto" w:sz="4" w:space="0"/>
              <w:right w:val="single" w:color="auto" w:sz="4" w:space="0"/>
            </w:tcBorders>
            <w:vAlign w:val="center"/>
          </w:tcPr>
          <w:p w14:paraId="409F1254">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0.65</w:t>
            </w:r>
          </w:p>
        </w:tc>
        <w:tc>
          <w:tcPr>
            <w:tcW w:w="1866" w:type="dxa"/>
            <w:tcBorders>
              <w:top w:val="nil"/>
              <w:left w:val="nil"/>
              <w:bottom w:val="single" w:color="auto" w:sz="4" w:space="0"/>
              <w:right w:val="single" w:color="auto" w:sz="4" w:space="0"/>
            </w:tcBorders>
            <w:vAlign w:val="center"/>
          </w:tcPr>
          <w:p w14:paraId="76C1FF5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2021-2024</w:t>
            </w:r>
          </w:p>
        </w:tc>
        <w:tc>
          <w:tcPr>
            <w:tcW w:w="1145" w:type="dxa"/>
            <w:tcBorders>
              <w:top w:val="nil"/>
              <w:left w:val="nil"/>
              <w:bottom w:val="single" w:color="auto" w:sz="4" w:space="0"/>
              <w:right w:val="single" w:color="auto" w:sz="4" w:space="0"/>
            </w:tcBorders>
            <w:vAlign w:val="center"/>
          </w:tcPr>
          <w:p w14:paraId="43C89B1B">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市消防救援支队</w:t>
            </w:r>
          </w:p>
        </w:tc>
        <w:tc>
          <w:tcPr>
            <w:tcW w:w="236" w:type="dxa"/>
            <w:vAlign w:val="center"/>
          </w:tcPr>
          <w:p w14:paraId="26EBE18D">
            <w:pPr>
              <w:widowControl/>
              <w:jc w:val="left"/>
              <w:rPr>
                <w:rFonts w:ascii="Times New Roman" w:hAnsi="Times New Roman" w:eastAsia="Times New Roman" w:cs="Times New Roman"/>
                <w:kern w:val="0"/>
                <w:sz w:val="20"/>
                <w:szCs w:val="20"/>
              </w:rPr>
            </w:pPr>
          </w:p>
        </w:tc>
      </w:tr>
      <w:tr w14:paraId="3DD678A3">
        <w:tblPrEx>
          <w:tblCellMar>
            <w:top w:w="0" w:type="dxa"/>
            <w:left w:w="108" w:type="dxa"/>
            <w:bottom w:w="0" w:type="dxa"/>
            <w:right w:w="108" w:type="dxa"/>
          </w:tblCellMar>
        </w:tblPrEx>
        <w:trPr>
          <w:trHeight w:val="1440" w:hRule="atLeast"/>
        </w:trPr>
        <w:tc>
          <w:tcPr>
            <w:tcW w:w="566" w:type="dxa"/>
            <w:tcBorders>
              <w:top w:val="nil"/>
              <w:left w:val="single" w:color="auto" w:sz="4" w:space="0"/>
              <w:bottom w:val="single" w:color="auto" w:sz="4" w:space="0"/>
              <w:right w:val="single" w:color="auto" w:sz="4" w:space="0"/>
            </w:tcBorders>
            <w:vAlign w:val="center"/>
          </w:tcPr>
          <w:p w14:paraId="65E1E2A1">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165</w:t>
            </w:r>
          </w:p>
        </w:tc>
        <w:tc>
          <w:tcPr>
            <w:tcW w:w="1981" w:type="dxa"/>
            <w:tcBorders>
              <w:top w:val="nil"/>
              <w:left w:val="nil"/>
              <w:bottom w:val="single" w:color="auto" w:sz="4" w:space="0"/>
              <w:right w:val="single" w:color="auto" w:sz="4" w:space="0"/>
            </w:tcBorders>
            <w:vAlign w:val="center"/>
          </w:tcPr>
          <w:p w14:paraId="5FE7580B">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数字孪生智能城市的物联感知底座</w:t>
            </w:r>
          </w:p>
        </w:tc>
        <w:tc>
          <w:tcPr>
            <w:tcW w:w="945" w:type="dxa"/>
            <w:tcBorders>
              <w:top w:val="nil"/>
              <w:left w:val="nil"/>
              <w:bottom w:val="single" w:color="auto" w:sz="4" w:space="0"/>
              <w:right w:val="single" w:color="auto" w:sz="4" w:space="0"/>
            </w:tcBorders>
            <w:vAlign w:val="center"/>
          </w:tcPr>
          <w:p w14:paraId="03A6D58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22A028A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全域感知为基础，以开放共享为理念，以高效实用为原则。高起点、高标准建设城市物联感知平台，形成全域、全时、互联互通的感知体系，有效支撑城市生命线、城市部件、公共安全、生态环境、民生服务等重点领域，实现数字孪生智能城市的基础支撑平台。</w:t>
            </w:r>
          </w:p>
        </w:tc>
        <w:tc>
          <w:tcPr>
            <w:tcW w:w="1342" w:type="dxa"/>
            <w:tcBorders>
              <w:top w:val="nil"/>
              <w:left w:val="nil"/>
              <w:bottom w:val="single" w:color="auto" w:sz="4" w:space="0"/>
              <w:right w:val="single" w:color="auto" w:sz="4" w:space="0"/>
            </w:tcBorders>
            <w:vAlign w:val="center"/>
          </w:tcPr>
          <w:p w14:paraId="3859374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0.5</w:t>
            </w:r>
          </w:p>
        </w:tc>
        <w:tc>
          <w:tcPr>
            <w:tcW w:w="1866" w:type="dxa"/>
            <w:tcBorders>
              <w:top w:val="nil"/>
              <w:left w:val="nil"/>
              <w:bottom w:val="single" w:color="auto" w:sz="4" w:space="0"/>
              <w:right w:val="single" w:color="auto" w:sz="4" w:space="0"/>
            </w:tcBorders>
            <w:vAlign w:val="center"/>
          </w:tcPr>
          <w:p w14:paraId="1AE45A40">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7C01779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移动泉州分公司</w:t>
            </w:r>
          </w:p>
        </w:tc>
        <w:tc>
          <w:tcPr>
            <w:tcW w:w="236" w:type="dxa"/>
            <w:vAlign w:val="center"/>
          </w:tcPr>
          <w:p w14:paraId="5C0EF24D">
            <w:pPr>
              <w:widowControl/>
              <w:jc w:val="left"/>
              <w:rPr>
                <w:rFonts w:ascii="Times New Roman" w:hAnsi="Times New Roman" w:eastAsia="Times New Roman" w:cs="Times New Roman"/>
                <w:kern w:val="0"/>
                <w:sz w:val="20"/>
                <w:szCs w:val="20"/>
              </w:rPr>
            </w:pPr>
          </w:p>
        </w:tc>
      </w:tr>
      <w:tr w14:paraId="739D9E3A">
        <w:tblPrEx>
          <w:tblCellMar>
            <w:top w:w="0" w:type="dxa"/>
            <w:left w:w="108" w:type="dxa"/>
            <w:bottom w:w="0" w:type="dxa"/>
            <w:right w:w="108" w:type="dxa"/>
          </w:tblCellMar>
        </w:tblPrEx>
        <w:trPr>
          <w:trHeight w:val="1728" w:hRule="atLeast"/>
        </w:trPr>
        <w:tc>
          <w:tcPr>
            <w:tcW w:w="566" w:type="dxa"/>
            <w:tcBorders>
              <w:top w:val="nil"/>
              <w:left w:val="single" w:color="auto" w:sz="4" w:space="0"/>
              <w:bottom w:val="single" w:color="auto" w:sz="4" w:space="0"/>
              <w:right w:val="single" w:color="auto" w:sz="4" w:space="0"/>
            </w:tcBorders>
            <w:vAlign w:val="center"/>
          </w:tcPr>
          <w:p w14:paraId="4CD0CD7F">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166</w:t>
            </w:r>
          </w:p>
        </w:tc>
        <w:tc>
          <w:tcPr>
            <w:tcW w:w="1981" w:type="dxa"/>
            <w:tcBorders>
              <w:top w:val="nil"/>
              <w:left w:val="nil"/>
              <w:bottom w:val="single" w:color="auto" w:sz="4" w:space="0"/>
              <w:right w:val="single" w:color="auto" w:sz="4" w:space="0"/>
            </w:tcBorders>
            <w:vAlign w:val="center"/>
          </w:tcPr>
          <w:p w14:paraId="14202D0E">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城市物联网感知平台　</w:t>
            </w:r>
          </w:p>
        </w:tc>
        <w:tc>
          <w:tcPr>
            <w:tcW w:w="945" w:type="dxa"/>
            <w:tcBorders>
              <w:top w:val="nil"/>
              <w:left w:val="nil"/>
              <w:bottom w:val="single" w:color="auto" w:sz="4" w:space="0"/>
              <w:right w:val="single" w:color="auto" w:sz="4" w:space="0"/>
            </w:tcBorders>
            <w:vAlign w:val="center"/>
          </w:tcPr>
          <w:p w14:paraId="64AB757E">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w:t>
            </w:r>
          </w:p>
        </w:tc>
        <w:tc>
          <w:tcPr>
            <w:tcW w:w="6233" w:type="dxa"/>
            <w:tcBorders>
              <w:top w:val="nil"/>
              <w:left w:val="nil"/>
              <w:bottom w:val="single" w:color="auto" w:sz="4" w:space="0"/>
              <w:right w:val="single" w:color="auto" w:sz="4" w:space="0"/>
            </w:tcBorders>
            <w:vAlign w:val="center"/>
          </w:tcPr>
          <w:p w14:paraId="66C5CB8D">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城市物联网感知平台分别以SaaS和PaaS两种云计算模式互相结合为用户和第三方应用提供服务：（1）提供通用的多场景物联网应用，仅需为用户分配账号，即可对接入的硬件设备进行管理。（2）提供快速对接能力，同时输出场景化应用封装接口，为第三方应用赋能，满足用户多元化的需求和缩短垂直领域应用的开发周期。</w:t>
            </w:r>
          </w:p>
        </w:tc>
        <w:tc>
          <w:tcPr>
            <w:tcW w:w="1342" w:type="dxa"/>
            <w:tcBorders>
              <w:top w:val="nil"/>
              <w:left w:val="nil"/>
              <w:bottom w:val="single" w:color="auto" w:sz="4" w:space="0"/>
              <w:right w:val="single" w:color="auto" w:sz="4" w:space="0"/>
            </w:tcBorders>
            <w:vAlign w:val="center"/>
          </w:tcPr>
          <w:p w14:paraId="06AE328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0.2</w:t>
            </w:r>
          </w:p>
        </w:tc>
        <w:tc>
          <w:tcPr>
            <w:tcW w:w="1866" w:type="dxa"/>
            <w:tcBorders>
              <w:top w:val="nil"/>
              <w:left w:val="nil"/>
              <w:bottom w:val="single" w:color="auto" w:sz="4" w:space="0"/>
              <w:right w:val="single" w:color="auto" w:sz="4" w:space="0"/>
            </w:tcBorders>
            <w:vAlign w:val="center"/>
          </w:tcPr>
          <w:p w14:paraId="01269ABC">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2021-2025</w:t>
            </w:r>
          </w:p>
        </w:tc>
        <w:tc>
          <w:tcPr>
            <w:tcW w:w="1145" w:type="dxa"/>
            <w:tcBorders>
              <w:top w:val="nil"/>
              <w:left w:val="nil"/>
              <w:bottom w:val="single" w:color="auto" w:sz="4" w:space="0"/>
              <w:right w:val="single" w:color="auto" w:sz="4" w:space="0"/>
            </w:tcBorders>
            <w:vAlign w:val="center"/>
          </w:tcPr>
          <w:p w14:paraId="2B94154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电信泉州分公司</w:t>
            </w:r>
          </w:p>
        </w:tc>
        <w:tc>
          <w:tcPr>
            <w:tcW w:w="236" w:type="dxa"/>
            <w:vAlign w:val="center"/>
          </w:tcPr>
          <w:p w14:paraId="739228BD">
            <w:pPr>
              <w:widowControl/>
              <w:jc w:val="left"/>
              <w:rPr>
                <w:rFonts w:ascii="Times New Roman" w:hAnsi="Times New Roman" w:eastAsia="Times New Roman" w:cs="Times New Roman"/>
                <w:kern w:val="0"/>
                <w:sz w:val="20"/>
                <w:szCs w:val="20"/>
              </w:rPr>
            </w:pPr>
          </w:p>
        </w:tc>
      </w:tr>
      <w:tr w14:paraId="03BFC6C0">
        <w:tblPrEx>
          <w:tblCellMar>
            <w:top w:w="0" w:type="dxa"/>
            <w:left w:w="108" w:type="dxa"/>
            <w:bottom w:w="0" w:type="dxa"/>
            <w:right w:w="108" w:type="dxa"/>
          </w:tblCellMar>
        </w:tblPrEx>
        <w:trPr>
          <w:trHeight w:val="864" w:hRule="atLeast"/>
        </w:trPr>
        <w:tc>
          <w:tcPr>
            <w:tcW w:w="566" w:type="dxa"/>
            <w:tcBorders>
              <w:top w:val="nil"/>
              <w:left w:val="single" w:color="auto" w:sz="4" w:space="0"/>
              <w:bottom w:val="single" w:color="auto" w:sz="4" w:space="0"/>
              <w:right w:val="single" w:color="auto" w:sz="4" w:space="0"/>
            </w:tcBorders>
            <w:vAlign w:val="center"/>
          </w:tcPr>
          <w:p w14:paraId="534783A9">
            <w:pPr>
              <w:widowControl/>
              <w:jc w:val="center"/>
              <w:rPr>
                <w:rFonts w:ascii="Times New Roman" w:hAnsi="Times New Roman" w:eastAsia="仿宋_GB2312" w:cs="Times New Roman"/>
                <w:color w:val="000000"/>
                <w:kern w:val="0"/>
                <w:sz w:val="22"/>
                <w:szCs w:val="24"/>
              </w:rPr>
            </w:pPr>
            <w:r>
              <w:rPr>
                <w:rFonts w:ascii="Times New Roman" w:hAnsi="Times New Roman" w:eastAsia="仿宋_GB2312" w:cs="Times New Roman"/>
                <w:color w:val="000000"/>
                <w:kern w:val="0"/>
                <w:sz w:val="22"/>
                <w:szCs w:val="24"/>
              </w:rPr>
              <w:t>167</w:t>
            </w:r>
          </w:p>
        </w:tc>
        <w:tc>
          <w:tcPr>
            <w:tcW w:w="1981" w:type="dxa"/>
            <w:tcBorders>
              <w:top w:val="nil"/>
              <w:left w:val="nil"/>
              <w:bottom w:val="single" w:color="auto" w:sz="4" w:space="0"/>
              <w:right w:val="single" w:color="auto" w:sz="4" w:space="0"/>
            </w:tcBorders>
            <w:vAlign w:val="center"/>
          </w:tcPr>
          <w:p w14:paraId="0ACB1CB8">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智慧社区服务平台</w:t>
            </w:r>
          </w:p>
        </w:tc>
        <w:tc>
          <w:tcPr>
            <w:tcW w:w="945" w:type="dxa"/>
            <w:tcBorders>
              <w:top w:val="nil"/>
              <w:left w:val="nil"/>
              <w:bottom w:val="single" w:color="auto" w:sz="4" w:space="0"/>
              <w:right w:val="single" w:color="auto" w:sz="4" w:space="0"/>
            </w:tcBorders>
            <w:vAlign w:val="center"/>
          </w:tcPr>
          <w:p w14:paraId="542CE23F">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w:t>
            </w:r>
          </w:p>
        </w:tc>
        <w:tc>
          <w:tcPr>
            <w:tcW w:w="6233" w:type="dxa"/>
            <w:tcBorders>
              <w:top w:val="nil"/>
              <w:left w:val="nil"/>
              <w:bottom w:val="single" w:color="auto" w:sz="4" w:space="0"/>
              <w:right w:val="single" w:color="auto" w:sz="4" w:space="0"/>
            </w:tcBorders>
            <w:vAlign w:val="center"/>
          </w:tcPr>
          <w:p w14:paraId="786A6D4F">
            <w:pP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以社区信息化平台为依托，建成智慧康养综合解决方案，实现全民健康监测、智慧居家服务、健康文化传承及智能机器人应用的数字化社区服务平台。</w:t>
            </w:r>
          </w:p>
        </w:tc>
        <w:tc>
          <w:tcPr>
            <w:tcW w:w="1342" w:type="dxa"/>
            <w:tcBorders>
              <w:top w:val="nil"/>
              <w:left w:val="nil"/>
              <w:bottom w:val="single" w:color="auto" w:sz="4" w:space="0"/>
              <w:right w:val="single" w:color="auto" w:sz="4" w:space="0"/>
            </w:tcBorders>
            <w:vAlign w:val="center"/>
          </w:tcPr>
          <w:p w14:paraId="695C1089">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0.35</w:t>
            </w:r>
          </w:p>
        </w:tc>
        <w:tc>
          <w:tcPr>
            <w:tcW w:w="1866" w:type="dxa"/>
            <w:tcBorders>
              <w:top w:val="nil"/>
              <w:left w:val="nil"/>
              <w:bottom w:val="single" w:color="auto" w:sz="4" w:space="0"/>
              <w:right w:val="single" w:color="auto" w:sz="4" w:space="0"/>
            </w:tcBorders>
            <w:vAlign w:val="center"/>
          </w:tcPr>
          <w:p w14:paraId="53F1531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2020-2021</w:t>
            </w:r>
          </w:p>
        </w:tc>
        <w:tc>
          <w:tcPr>
            <w:tcW w:w="1145" w:type="dxa"/>
            <w:tcBorders>
              <w:top w:val="nil"/>
              <w:left w:val="nil"/>
              <w:bottom w:val="single" w:color="auto" w:sz="4" w:space="0"/>
              <w:right w:val="single" w:color="auto" w:sz="4" w:space="0"/>
            </w:tcBorders>
            <w:vAlign w:val="center"/>
          </w:tcPr>
          <w:p w14:paraId="060B4EA7">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鲤城区人民政府</w:t>
            </w:r>
          </w:p>
        </w:tc>
        <w:tc>
          <w:tcPr>
            <w:tcW w:w="236" w:type="dxa"/>
            <w:vAlign w:val="center"/>
          </w:tcPr>
          <w:p w14:paraId="7FABD744">
            <w:pPr>
              <w:widowControl/>
              <w:jc w:val="left"/>
              <w:rPr>
                <w:rFonts w:ascii="Times New Roman" w:hAnsi="Times New Roman" w:eastAsia="Times New Roman" w:cs="Times New Roman"/>
                <w:kern w:val="0"/>
                <w:sz w:val="20"/>
                <w:szCs w:val="20"/>
              </w:rPr>
            </w:pPr>
          </w:p>
        </w:tc>
      </w:tr>
    </w:tbl>
    <w:p w14:paraId="0ED5DE6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10601030101010101"/>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6674">
    <w:pPr>
      <w:pStyle w:val="16"/>
      <w:spacing w:after="7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9F2C">
    <w:pPr>
      <w:pStyle w:val="16"/>
      <w:spacing w:after="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5E6C">
    <w:pPr>
      <w:pStyle w:val="16"/>
      <w:spacing w:after="7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805D3">
    <w:pPr>
      <w:pStyle w:val="16"/>
      <w:spacing w:after="72"/>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DC34">
    <w:pPr>
      <w:pStyle w:val="16"/>
      <w:spacing w:after="72"/>
      <w:ind w:firstLine="360"/>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44F41CCF">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en-US" w:eastAsia="zh-CN"/>
                            </w:rPr>
                            <w:t>6</w:t>
                          </w:r>
                          <w:r>
                            <w:rPr>
                              <w:rFonts w:ascii="宋体" w:hAnsi="宋体"/>
                              <w:sz w:val="28"/>
                              <w:szCs w:val="28"/>
                            </w:rPr>
                            <w:fldChar w:fldCharType="end"/>
                          </w:r>
                          <w:r>
                            <w:rPr>
                              <w:rFonts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8.15pt;width:49.05pt;mso-position-horizontal:outside;mso-position-horizontal-relative:margin;mso-wrap-style:none;z-index:251661312;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uIS0ZEAIAABEEAAAOAAAAZHJzL2Uyb0RvYy54bWytU82O0zAQviPx&#10;DpbvNGlWXS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riEtGRACAAARBAAADgAAAAAAAAABACAA&#10;AAAgAQAAZHJzL2Uyb0RvYy54bWxQSwUGAAAAAAYABgBZAQAAogUAAAAA&#10;">
              <v:fill on="f" focussize="0,0"/>
              <v:stroke on="f"/>
              <v:imagedata o:title=""/>
              <o:lock v:ext="edit" aspectratio="f"/>
              <v:textbox inset="0mm,0mm,0mm,0mm" style="mso-fit-shape-to-text:t;">
                <w:txbxContent>
                  <w:p w14:paraId="44F41CCF">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en-US" w:eastAsia="zh-CN"/>
                      </w:rPr>
                      <w:t>6</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84F6">
    <w:pPr>
      <w:pStyle w:val="16"/>
      <w:spacing w:after="72"/>
      <w:ind w:firstLine="360"/>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8671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86715" cy="230505"/>
                      </a:xfrm>
                      <a:prstGeom prst="rect">
                        <a:avLst/>
                      </a:prstGeom>
                      <a:noFill/>
                      <a:ln>
                        <a:noFill/>
                      </a:ln>
                      <a:effectLst/>
                    </wps:spPr>
                    <wps:txbx>
                      <w:txbxContent>
                        <w:p w14:paraId="63C551B1"/>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8.15pt;width:30.45pt;mso-position-horizontal:outside;mso-position-horizontal-relative:margin;mso-wrap-style:none;z-index:251660288;mso-width-relative:page;mso-height-relative:page;" filled="f" stroked="f" coordsize="21600,21600" o:gfxdata="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1waSG0QAAAAMBAAAPAAAAAAAAAAEAIAAAACIAAABkcnMv&#10;ZG93bnJldi54bWxQSwECFAAUAAAACACHTuJARHSH5goCAAAEBAAADgAAAAAAAAABACAAAAAgAQAA&#10;ZHJzL2Uyb0RvYy54bWxQSwUGAAAAAAYABgBZAQAAnAUAAAAA&#10;">
              <v:fill on="f" focussize="0,0"/>
              <v:stroke on="f"/>
              <v:imagedata o:title=""/>
              <o:lock v:ext="edit" aspectratio="f"/>
              <v:textbox inset="0mm,0mm,0mm,0mm" style="mso-fit-shape-to-text:t;">
                <w:txbxContent>
                  <w:p w14:paraId="63C551B1"/>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DF6C">
    <w:pPr>
      <w:pStyle w:val="16"/>
      <w:spacing w:after="72"/>
      <w:ind w:firstLine="360"/>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wps:spPr>
                    <wps:txbx>
                      <w:txbxContent>
                        <w:p w14:paraId="1B82441C">
                          <w:pPr>
                            <w:pStyle w:val="16"/>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en-US" w:eastAsia="zh-CN"/>
                            </w:rPr>
                            <w:t>35</w:t>
                          </w:r>
                          <w:r>
                            <w:rPr>
                              <w:rFonts w:hint="eastAsia" w:ascii="宋体"/>
                              <w:sz w:val="28"/>
                              <w:szCs w:val="28"/>
                            </w:rPr>
                            <w:fldChar w:fldCharType="end"/>
                          </w:r>
                          <w:r>
                            <w:rPr>
                              <w:rFonts w:hint="eastAsia" w:ascii="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VEvMtEAAAAEAQAADwAAAAAAAAABACAAAAAiAAAA&#10;ZHJzL2Rvd25yZXYueG1sUEsBAhQAFAAAAAgAh07iQBDSefIOAgAAEAQAAA4AAAAAAAAAAQAgAAAA&#10;IAEAAGRycy9lMm9Eb2MueG1sUEsFBgAAAAAGAAYAWQEAAKAFAAAAAA==&#10;">
              <v:fill on="f" focussize="0,0"/>
              <v:stroke on="f"/>
              <v:imagedata o:title=""/>
              <o:lock v:ext="edit" aspectratio="f"/>
              <v:textbox inset="0mm,0mm,0mm,0mm" style="mso-fit-shape-to-text:t;">
                <w:txbxContent>
                  <w:p w14:paraId="1B82441C">
                    <w:pPr>
                      <w:pStyle w:val="16"/>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en-US" w:eastAsia="zh-CN"/>
                      </w:rPr>
                      <w:t>35</w:t>
                    </w:r>
                    <w:r>
                      <w:rPr>
                        <w:rFonts w:hint="eastAsia" w:ascii="宋体"/>
                        <w:sz w:val="28"/>
                        <w:szCs w:val="28"/>
                      </w:rPr>
                      <w:fldChar w:fldCharType="end"/>
                    </w:r>
                    <w:r>
                      <w:rPr>
                        <w:rFonts w:hint="eastAsia" w:asci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C94A">
    <w:pPr>
      <w:pStyle w:val="16"/>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w:instrText>
    </w:r>
    <w:r>
      <w:rPr>
        <w:rFonts w:hint="eastAsia" w:ascii="宋体" w:cs="宋体"/>
        <w:sz w:val="28"/>
        <w:szCs w:val="28"/>
      </w:rPr>
      <w:fldChar w:fldCharType="separate"/>
    </w:r>
    <w:r>
      <w:rPr>
        <w:rFonts w:ascii="宋体" w:cs="宋体"/>
        <w:sz w:val="28"/>
        <w:szCs w:val="28"/>
      </w:rPr>
      <w:t>62</w:t>
    </w:r>
    <w:r>
      <w:rPr>
        <w:rFonts w:hint="eastAsia" w:ascii="宋体" w:cs="宋体"/>
        <w:sz w:val="28"/>
        <w:szCs w:val="28"/>
      </w:rPr>
      <w:fldChar w:fldCharType="end"/>
    </w:r>
    <w:r>
      <w:rPr>
        <w:rFonts w:hint="eastAsia" w:ascii="宋体" w:cs="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3EA38">
    <w:pPr>
      <w:pStyle w:val="17"/>
      <w:pBdr>
        <w:bottom w:val="none" w:color="auto" w:sz="0" w:space="0"/>
      </w:pBdr>
      <w:spacing w:after="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668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专栏 %1"/>
      <w:lvlJc w:val="center"/>
      <w:pPr>
        <w:ind w:left="420" w:hanging="420"/>
      </w:pPr>
      <w:rPr>
        <w:rFonts w:hint="eastAsia" w:eastAsia="楷体_GB2312"/>
        <w:b/>
        <w:bCs w:val="0"/>
        <w:sz w:val="28"/>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GU4MjM3NzRmMmE5NTYyZDQzZGY3YmU4NGExMzIifQ=="/>
  </w:docVars>
  <w:rsids>
    <w:rsidRoot w:val="00D663E3"/>
    <w:rsid w:val="00AD0DDB"/>
    <w:rsid w:val="00B75392"/>
    <w:rsid w:val="00BF55F8"/>
    <w:rsid w:val="00D663E3"/>
    <w:rsid w:val="78BA54A7"/>
    <w:rsid w:val="7979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spacing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6"/>
    <w:qFormat/>
    <w:uiPriority w:val="9"/>
    <w:pPr>
      <w:keepNext/>
      <w:keepLines/>
      <w:spacing w:before="260" w:after="260" w:line="415" w:lineRule="auto"/>
      <w:outlineLvl w:val="1"/>
    </w:pPr>
    <w:rPr>
      <w:rFonts w:ascii="Cambria" w:hAnsi="Cambria" w:eastAsia="宋体" w:cs="Times New Roman"/>
      <w:b/>
      <w:bCs/>
      <w:sz w:val="32"/>
      <w:szCs w:val="32"/>
    </w:rPr>
  </w:style>
  <w:style w:type="paragraph" w:styleId="4">
    <w:name w:val="heading 3"/>
    <w:basedOn w:val="1"/>
    <w:next w:val="1"/>
    <w:link w:val="37"/>
    <w:qFormat/>
    <w:uiPriority w:val="9"/>
    <w:pPr>
      <w:keepNext/>
      <w:keepLines/>
      <w:spacing w:before="260" w:after="260" w:line="415" w:lineRule="auto"/>
      <w:outlineLvl w:val="2"/>
    </w:pPr>
    <w:rPr>
      <w:rFonts w:ascii="Times New Roman" w:hAnsi="Times New Roman" w:eastAsia="宋体" w:cs="Times New Roman"/>
      <w:b/>
      <w:sz w:val="32"/>
      <w:szCs w:val="24"/>
    </w:rPr>
  </w:style>
  <w:style w:type="paragraph" w:styleId="5">
    <w:name w:val="heading 4"/>
    <w:basedOn w:val="1"/>
    <w:next w:val="1"/>
    <w:link w:val="38"/>
    <w:qFormat/>
    <w:uiPriority w:val="9"/>
    <w:pPr>
      <w:keepNext/>
      <w:keepLines/>
      <w:spacing w:beforeLines="50" w:afterLines="50" w:line="360" w:lineRule="auto"/>
      <w:ind w:firstLine="200" w:firstLineChars="200"/>
      <w:outlineLvl w:val="3"/>
    </w:pPr>
    <w:rPr>
      <w:rFonts w:ascii="Times New Roman" w:hAnsi="Times New Roman" w:eastAsia="黑体" w:cs="Times New Roman"/>
      <w:bCs/>
      <w:color w:val="000000"/>
      <w:sz w:val="28"/>
      <w:szCs w:val="28"/>
    </w:rPr>
  </w:style>
  <w:style w:type="paragraph" w:styleId="6">
    <w:name w:val="heading 5"/>
    <w:basedOn w:val="1"/>
    <w:next w:val="1"/>
    <w:link w:val="39"/>
    <w:qFormat/>
    <w:uiPriority w:val="9"/>
    <w:pPr>
      <w:keepNext/>
      <w:keepLines/>
      <w:spacing w:before="280" w:after="290" w:line="376" w:lineRule="auto"/>
      <w:outlineLvl w:val="4"/>
    </w:pPr>
    <w:rPr>
      <w:rFonts w:ascii="等线" w:hAnsi="等线" w:eastAsia="等线" w:cs="Times New Roman"/>
      <w:b/>
      <w:bCs/>
      <w:sz w:val="28"/>
      <w:szCs w:val="28"/>
    </w:rPr>
  </w:style>
  <w:style w:type="paragraph" w:styleId="7">
    <w:name w:val="heading 6"/>
    <w:basedOn w:val="1"/>
    <w:next w:val="1"/>
    <w:link w:val="40"/>
    <w:qFormat/>
    <w:uiPriority w:val="0"/>
    <w:pPr>
      <w:keepNext/>
      <w:keepLines/>
      <w:spacing w:before="240" w:afterLines="30" w:line="319" w:lineRule="auto"/>
      <w:ind w:firstLine="200" w:firstLineChars="200"/>
      <w:outlineLvl w:val="5"/>
    </w:pPr>
    <w:rPr>
      <w:rFonts w:ascii="等线 Light" w:hAnsi="Times New Roman" w:eastAsia="等线 Light" w:cs="Times New Roman"/>
      <w:b/>
      <w:bCs/>
      <w:color w:val="000000"/>
      <w:sz w:val="24"/>
      <w:szCs w:val="24"/>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autoRedefine/>
    <w:qFormat/>
    <w:uiPriority w:val="0"/>
    <w:pPr>
      <w:spacing w:afterLines="30" w:line="300" w:lineRule="auto"/>
      <w:ind w:firstLine="200" w:firstLineChars="200"/>
    </w:pPr>
    <w:rPr>
      <w:rFonts w:ascii="等线 Light" w:hAnsi="等线 Light" w:eastAsia="黑体" w:cs="Times New Roman"/>
      <w:color w:val="000000"/>
      <w:sz w:val="20"/>
      <w:szCs w:val="20"/>
    </w:rPr>
  </w:style>
  <w:style w:type="paragraph" w:styleId="9">
    <w:name w:val="Document Map"/>
    <w:basedOn w:val="1"/>
    <w:link w:val="43"/>
    <w:uiPriority w:val="0"/>
    <w:pPr>
      <w:spacing w:afterLines="30" w:line="300" w:lineRule="auto"/>
      <w:ind w:firstLine="200" w:firstLineChars="200"/>
    </w:pPr>
    <w:rPr>
      <w:rFonts w:ascii="宋体" w:hAnsi="Times New Roman" w:eastAsia="宋体" w:cs="Times New Roman"/>
      <w:color w:val="000000"/>
      <w:sz w:val="18"/>
      <w:szCs w:val="18"/>
    </w:rPr>
  </w:style>
  <w:style w:type="paragraph" w:styleId="10">
    <w:name w:val="annotation text"/>
    <w:basedOn w:val="1"/>
    <w:link w:val="44"/>
    <w:qFormat/>
    <w:uiPriority w:val="99"/>
    <w:pPr>
      <w:jc w:val="left"/>
    </w:pPr>
    <w:rPr>
      <w:rFonts w:ascii="仿宋_GB2312" w:hAnsi="Times New Roman" w:eastAsia="仿宋_GB2312" w:cs="Times New Roman"/>
      <w:sz w:val="24"/>
    </w:rPr>
  </w:style>
  <w:style w:type="paragraph" w:styleId="11">
    <w:name w:val="Body Text"/>
    <w:basedOn w:val="1"/>
    <w:link w:val="45"/>
    <w:autoRedefine/>
    <w:qFormat/>
    <w:uiPriority w:val="0"/>
    <w:pPr>
      <w:spacing w:after="120"/>
    </w:pPr>
    <w:rPr>
      <w:rFonts w:ascii="Times New Roman" w:hAnsi="Times New Roman" w:eastAsia="宋体" w:cs="Times New Roman"/>
      <w:szCs w:val="24"/>
    </w:rPr>
  </w:style>
  <w:style w:type="paragraph" w:styleId="12">
    <w:name w:val="Body Text Indent"/>
    <w:basedOn w:val="1"/>
    <w:link w:val="41"/>
    <w:unhideWhenUsed/>
    <w:qFormat/>
    <w:uiPriority w:val="0"/>
    <w:pPr>
      <w:spacing w:after="120"/>
      <w:ind w:left="420" w:leftChars="200"/>
    </w:pPr>
    <w:rPr>
      <w:rFonts w:ascii="Times New Roman" w:hAnsi="Times New Roman" w:eastAsia="宋体" w:cs="Times New Roman"/>
      <w:szCs w:val="24"/>
    </w:rPr>
  </w:style>
  <w:style w:type="paragraph" w:styleId="13">
    <w:name w:val="toc 3"/>
    <w:basedOn w:val="1"/>
    <w:next w:val="1"/>
    <w:autoRedefine/>
    <w:qFormat/>
    <w:uiPriority w:val="39"/>
    <w:pPr>
      <w:ind w:left="400" w:leftChars="400"/>
    </w:pPr>
    <w:rPr>
      <w:rFonts w:ascii="Times New Roman" w:hAnsi="Times New Roman" w:eastAsia="宋体" w:cs="Times New Roman"/>
      <w:szCs w:val="24"/>
    </w:rPr>
  </w:style>
  <w:style w:type="paragraph" w:styleId="14">
    <w:name w:val="Date"/>
    <w:basedOn w:val="1"/>
    <w:next w:val="1"/>
    <w:link w:val="46"/>
    <w:qFormat/>
    <w:uiPriority w:val="99"/>
    <w:pPr>
      <w:spacing w:afterLines="30" w:line="300" w:lineRule="auto"/>
      <w:ind w:left="2500" w:leftChars="2500" w:firstLine="200" w:firstLineChars="200"/>
    </w:pPr>
    <w:rPr>
      <w:rFonts w:ascii="Times New Roman" w:hAnsi="Times New Roman" w:eastAsia="宋体" w:cs="Times New Roman"/>
      <w:color w:val="000000"/>
      <w:sz w:val="24"/>
      <w:szCs w:val="21"/>
    </w:rPr>
  </w:style>
  <w:style w:type="paragraph" w:styleId="15">
    <w:name w:val="Balloon Text"/>
    <w:basedOn w:val="1"/>
    <w:link w:val="47"/>
    <w:qFormat/>
    <w:uiPriority w:val="99"/>
    <w:rPr>
      <w:rFonts w:ascii="Times New Roman" w:hAnsi="Times New Roman" w:eastAsia="宋体" w:cs="Times New Roman"/>
      <w:kern w:val="0"/>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Times New Roman" w:hAnsi="Times New Roman" w:eastAsia="宋体" w:cs="Times New Roman"/>
      <w:sz w:val="28"/>
      <w:szCs w:val="24"/>
    </w:rPr>
  </w:style>
  <w:style w:type="paragraph" w:styleId="19">
    <w:name w:val="toc 2"/>
    <w:basedOn w:val="1"/>
    <w:next w:val="1"/>
    <w:qFormat/>
    <w:uiPriority w:val="39"/>
    <w:pPr>
      <w:ind w:left="200" w:leftChars="200"/>
    </w:pPr>
    <w:rPr>
      <w:rFonts w:ascii="Times New Roman" w:hAnsi="Times New Roman" w:eastAsia="宋体" w:cs="Times New Roman"/>
      <w:szCs w:val="24"/>
    </w:rPr>
  </w:style>
  <w:style w:type="paragraph" w:styleId="20">
    <w:name w:val="HTML Preformatted"/>
    <w:basedOn w:val="1"/>
    <w:link w:val="48"/>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Times New Roman"/>
      <w:kern w:val="0"/>
      <w:sz w:val="24"/>
      <w:szCs w:val="24"/>
    </w:rPr>
  </w:style>
  <w:style w:type="paragraph" w:styleId="21">
    <w:name w:val="Normal (Web)"/>
    <w:basedOn w:val="1"/>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22">
    <w:name w:val="annotation subject"/>
    <w:basedOn w:val="10"/>
    <w:next w:val="10"/>
    <w:link w:val="49"/>
    <w:autoRedefine/>
    <w:qFormat/>
    <w:uiPriority w:val="99"/>
    <w:rPr>
      <w:b/>
      <w:bCs/>
    </w:rPr>
  </w:style>
  <w:style w:type="paragraph" w:styleId="23">
    <w:name w:val="Body Text First Indent 2"/>
    <w:basedOn w:val="12"/>
    <w:link w:val="42"/>
    <w:unhideWhenUsed/>
    <w:qFormat/>
    <w:uiPriority w:val="0"/>
    <w:pPr>
      <w:ind w:firstLine="420" w:firstLineChars="200"/>
    </w:pPr>
  </w:style>
  <w:style w:type="table" w:styleId="25">
    <w:name w:val="Table Grid"/>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22"/>
    <w:rPr>
      <w:b/>
      <w:bCs/>
    </w:rPr>
  </w:style>
  <w:style w:type="character" w:styleId="28">
    <w:name w:val="page number"/>
    <w:qFormat/>
    <w:uiPriority w:val="0"/>
  </w:style>
  <w:style w:type="character" w:styleId="29">
    <w:name w:val="FollowedHyperlink"/>
    <w:basedOn w:val="26"/>
    <w:semiHidden/>
    <w:unhideWhenUsed/>
    <w:uiPriority w:val="99"/>
    <w:rPr>
      <w:color w:val="800080" w:themeColor="followedHyperlink"/>
      <w:u w:val="single"/>
      <w14:textFill>
        <w14:solidFill>
          <w14:schemeClr w14:val="folHlink"/>
        </w14:solidFill>
      </w14:textFill>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2"/>
    <w:autoRedefine/>
    <w:qFormat/>
    <w:uiPriority w:val="0"/>
    <w:rPr>
      <w:rFonts w:ascii="Times New Roman" w:hAnsi="Times New Roman" w:eastAsia="宋体" w:cs="Times New Roman"/>
      <w:b/>
      <w:kern w:val="44"/>
      <w:sz w:val="44"/>
      <w:szCs w:val="20"/>
    </w:rPr>
  </w:style>
  <w:style w:type="character" w:customStyle="1" w:styleId="36">
    <w:name w:val="标题 2 Char"/>
    <w:basedOn w:val="26"/>
    <w:link w:val="3"/>
    <w:autoRedefine/>
    <w:qFormat/>
    <w:uiPriority w:val="9"/>
    <w:rPr>
      <w:rFonts w:ascii="Cambria" w:hAnsi="Cambria" w:eastAsia="宋体" w:cs="Times New Roman"/>
      <w:b/>
      <w:bCs/>
      <w:sz w:val="32"/>
      <w:szCs w:val="32"/>
    </w:rPr>
  </w:style>
  <w:style w:type="character" w:customStyle="1" w:styleId="37">
    <w:name w:val="标题 3 Char"/>
    <w:basedOn w:val="26"/>
    <w:link w:val="4"/>
    <w:qFormat/>
    <w:uiPriority w:val="9"/>
    <w:rPr>
      <w:rFonts w:ascii="Times New Roman" w:hAnsi="Times New Roman" w:eastAsia="宋体" w:cs="Times New Roman"/>
      <w:b/>
      <w:sz w:val="32"/>
      <w:szCs w:val="24"/>
    </w:rPr>
  </w:style>
  <w:style w:type="character" w:customStyle="1" w:styleId="38">
    <w:name w:val="标题 4 Char"/>
    <w:basedOn w:val="26"/>
    <w:link w:val="5"/>
    <w:uiPriority w:val="9"/>
    <w:rPr>
      <w:rFonts w:ascii="Times New Roman" w:hAnsi="Times New Roman" w:eastAsia="黑体" w:cs="Times New Roman"/>
      <w:bCs/>
      <w:color w:val="000000"/>
      <w:sz w:val="28"/>
      <w:szCs w:val="28"/>
    </w:rPr>
  </w:style>
  <w:style w:type="character" w:customStyle="1" w:styleId="39">
    <w:name w:val="标题 5 Char"/>
    <w:basedOn w:val="26"/>
    <w:link w:val="6"/>
    <w:autoRedefine/>
    <w:qFormat/>
    <w:uiPriority w:val="9"/>
    <w:rPr>
      <w:rFonts w:ascii="等线" w:hAnsi="等线" w:eastAsia="等线" w:cs="Times New Roman"/>
      <w:b/>
      <w:bCs/>
      <w:sz w:val="28"/>
      <w:szCs w:val="28"/>
    </w:rPr>
  </w:style>
  <w:style w:type="character" w:customStyle="1" w:styleId="40">
    <w:name w:val="标题 6 Char"/>
    <w:basedOn w:val="26"/>
    <w:link w:val="7"/>
    <w:uiPriority w:val="0"/>
    <w:rPr>
      <w:rFonts w:ascii="等线 Light" w:hAnsi="Times New Roman" w:eastAsia="等线 Light" w:cs="Times New Roman"/>
      <w:b/>
      <w:bCs/>
      <w:color w:val="000000"/>
      <w:sz w:val="24"/>
      <w:szCs w:val="24"/>
    </w:rPr>
  </w:style>
  <w:style w:type="character" w:customStyle="1" w:styleId="41">
    <w:name w:val="正文文本缩进 Char"/>
    <w:basedOn w:val="26"/>
    <w:link w:val="12"/>
    <w:uiPriority w:val="0"/>
    <w:rPr>
      <w:rFonts w:ascii="Times New Roman" w:hAnsi="Times New Roman" w:eastAsia="宋体" w:cs="Times New Roman"/>
      <w:szCs w:val="24"/>
    </w:rPr>
  </w:style>
  <w:style w:type="character" w:customStyle="1" w:styleId="42">
    <w:name w:val="正文首行缩进 2 Char"/>
    <w:basedOn w:val="41"/>
    <w:link w:val="23"/>
    <w:uiPriority w:val="0"/>
  </w:style>
  <w:style w:type="character" w:customStyle="1" w:styleId="43">
    <w:name w:val="文档结构图 Char"/>
    <w:basedOn w:val="26"/>
    <w:link w:val="9"/>
    <w:qFormat/>
    <w:uiPriority w:val="0"/>
    <w:rPr>
      <w:rFonts w:ascii="宋体" w:hAnsi="Times New Roman" w:eastAsia="宋体" w:cs="Times New Roman"/>
      <w:color w:val="000000"/>
      <w:sz w:val="18"/>
      <w:szCs w:val="18"/>
    </w:rPr>
  </w:style>
  <w:style w:type="character" w:customStyle="1" w:styleId="44">
    <w:name w:val="批注文字 Char"/>
    <w:basedOn w:val="26"/>
    <w:link w:val="10"/>
    <w:uiPriority w:val="99"/>
    <w:rPr>
      <w:rFonts w:ascii="仿宋_GB2312" w:hAnsi="Times New Roman" w:eastAsia="仿宋_GB2312" w:cs="Times New Roman"/>
      <w:sz w:val="24"/>
    </w:rPr>
  </w:style>
  <w:style w:type="character" w:customStyle="1" w:styleId="45">
    <w:name w:val="正文文本 Char"/>
    <w:basedOn w:val="26"/>
    <w:link w:val="11"/>
    <w:qFormat/>
    <w:uiPriority w:val="0"/>
    <w:rPr>
      <w:rFonts w:ascii="Times New Roman" w:hAnsi="Times New Roman" w:eastAsia="宋体" w:cs="Times New Roman"/>
      <w:szCs w:val="24"/>
    </w:rPr>
  </w:style>
  <w:style w:type="character" w:customStyle="1" w:styleId="46">
    <w:name w:val="日期 Char"/>
    <w:basedOn w:val="26"/>
    <w:link w:val="14"/>
    <w:autoRedefine/>
    <w:qFormat/>
    <w:uiPriority w:val="99"/>
    <w:rPr>
      <w:rFonts w:ascii="Times New Roman" w:hAnsi="Times New Roman" w:eastAsia="宋体" w:cs="Times New Roman"/>
      <w:color w:val="000000"/>
      <w:sz w:val="24"/>
      <w:szCs w:val="21"/>
    </w:rPr>
  </w:style>
  <w:style w:type="character" w:customStyle="1" w:styleId="47">
    <w:name w:val="批注框文本 Char"/>
    <w:basedOn w:val="26"/>
    <w:link w:val="15"/>
    <w:qFormat/>
    <w:uiPriority w:val="99"/>
    <w:rPr>
      <w:rFonts w:ascii="Times New Roman" w:hAnsi="Times New Roman" w:eastAsia="宋体" w:cs="Times New Roman"/>
      <w:kern w:val="0"/>
      <w:sz w:val="18"/>
      <w:szCs w:val="18"/>
    </w:rPr>
  </w:style>
  <w:style w:type="character" w:customStyle="1" w:styleId="48">
    <w:name w:val="HTML 预设格式 Char"/>
    <w:basedOn w:val="26"/>
    <w:link w:val="20"/>
    <w:qFormat/>
    <w:uiPriority w:val="0"/>
    <w:rPr>
      <w:rFonts w:ascii="宋体" w:hAnsi="Times New Roman" w:eastAsia="宋体" w:cs="Times New Roman"/>
      <w:kern w:val="0"/>
      <w:sz w:val="24"/>
      <w:szCs w:val="24"/>
    </w:rPr>
  </w:style>
  <w:style w:type="character" w:customStyle="1" w:styleId="49">
    <w:name w:val="批注主题 Char"/>
    <w:basedOn w:val="44"/>
    <w:link w:val="22"/>
    <w:qFormat/>
    <w:uiPriority w:val="99"/>
    <w:rPr>
      <w:b/>
      <w:bCs/>
    </w:rPr>
  </w:style>
  <w:style w:type="paragraph" w:customStyle="1" w:styleId="50">
    <w:name w:val="BodyText1I2"/>
    <w:basedOn w:val="1"/>
    <w:next w:val="1"/>
    <w:qFormat/>
    <w:uiPriority w:val="0"/>
    <w:pPr>
      <w:spacing w:after="120"/>
      <w:ind w:firstLine="640"/>
      <w:textAlignment w:val="baseline"/>
    </w:pPr>
    <w:rPr>
      <w:rFonts w:ascii="Times New Roman" w:hAnsi="Times New Roman" w:eastAsia="宋体" w:cs="Times New Roman"/>
      <w:szCs w:val="24"/>
    </w:rPr>
  </w:style>
  <w:style w:type="character" w:customStyle="1" w:styleId="51">
    <w:name w:val="明显强调1"/>
    <w:uiPriority w:val="0"/>
    <w:rPr>
      <w:b/>
      <w:bCs/>
      <w:i/>
      <w:iCs/>
      <w:color w:val="4F81BD"/>
    </w:rPr>
  </w:style>
  <w:style w:type="character" w:customStyle="1" w:styleId="52">
    <w:name w:val="批注主题 字符"/>
    <w:qFormat/>
    <w:uiPriority w:val="99"/>
    <w:rPr>
      <w:rFonts w:ascii="仿宋_GB2312" w:eastAsia="仿宋_GB2312"/>
      <w:b/>
      <w:bCs/>
      <w:kern w:val="2"/>
      <w:sz w:val="24"/>
      <w:szCs w:val="22"/>
    </w:rPr>
  </w:style>
  <w:style w:type="character" w:customStyle="1" w:styleId="53">
    <w:name w:val="fontstyle01"/>
    <w:uiPriority w:val="0"/>
    <w:rPr>
      <w:rFonts w:ascii="黑体" w:eastAsia="黑体" w:cs="黑体"/>
      <w:color w:val="000000"/>
      <w:sz w:val="32"/>
      <w:szCs w:val="32"/>
      <w:lang w:bidi="ar-SA"/>
    </w:rPr>
  </w:style>
  <w:style w:type="character" w:customStyle="1" w:styleId="54">
    <w:name w:val="页脚 Char1"/>
    <w:uiPriority w:val="0"/>
    <w:rPr>
      <w:rFonts w:ascii="Calibri" w:hAnsi="Calibri"/>
      <w:kern w:val="2"/>
      <w:sz w:val="18"/>
      <w:szCs w:val="18"/>
    </w:rPr>
  </w:style>
  <w:style w:type="character" w:customStyle="1" w:styleId="55">
    <w:name w:val="NormalCharacter"/>
    <w:qFormat/>
    <w:uiPriority w:val="0"/>
    <w:rPr>
      <w:rFonts w:ascii="Calibri" w:hAnsi="Calibri" w:eastAsia="宋体" w:cs="Times New Roman"/>
      <w:kern w:val="2"/>
      <w:sz w:val="21"/>
      <w:szCs w:val="24"/>
      <w:lang w:val="en-US" w:eastAsia="zh-CN" w:bidi="ar-SA"/>
    </w:rPr>
  </w:style>
  <w:style w:type="character" w:customStyle="1" w:styleId="56">
    <w:name w:val="未处理的提及1"/>
    <w:qFormat/>
    <w:uiPriority w:val="99"/>
    <w:rPr>
      <w:color w:val="605E5C"/>
      <w:shd w:val="clear" w:color="auto" w:fill="E1DFDD"/>
    </w:rPr>
  </w:style>
  <w:style w:type="character" w:customStyle="1" w:styleId="57">
    <w:name w:val="正文文本缩进 字符"/>
    <w:uiPriority w:val="0"/>
    <w:rPr>
      <w:rFonts w:ascii="仿宋_GB2312" w:eastAsia="仿宋_GB2312"/>
      <w:kern w:val="2"/>
      <w:sz w:val="24"/>
      <w:szCs w:val="22"/>
    </w:rPr>
  </w:style>
  <w:style w:type="character" w:customStyle="1" w:styleId="58">
    <w:name w:val="正文文本首行缩进 2 字符"/>
    <w:uiPriority w:val="0"/>
    <w:rPr>
      <w:rFonts w:ascii="Times New Roman" w:hAnsi="Times New Roman" w:eastAsia="宋体" w:cs="Times New Roman"/>
      <w:kern w:val="2"/>
      <w:sz w:val="21"/>
      <w:szCs w:val="22"/>
      <w:lang w:bidi="ar-SA"/>
    </w:rPr>
  </w:style>
  <w:style w:type="character" w:customStyle="1" w:styleId="59">
    <w:name w:val="批注文字 字符"/>
    <w:autoRedefine/>
    <w:qFormat/>
    <w:uiPriority w:val="99"/>
    <w:rPr>
      <w:rFonts w:ascii="仿宋_GB2312" w:eastAsia="仿宋_GB2312"/>
      <w:kern w:val="2"/>
      <w:sz w:val="24"/>
      <w:szCs w:val="22"/>
    </w:rPr>
  </w:style>
  <w:style w:type="character" w:customStyle="1" w:styleId="60">
    <w:name w:val="标题 4 字符"/>
    <w:qFormat/>
    <w:uiPriority w:val="9"/>
    <w:rPr>
      <w:rFonts w:eastAsia="黑体"/>
      <w:bCs/>
      <w:color w:val="000000"/>
      <w:kern w:val="2"/>
      <w:sz w:val="28"/>
      <w:szCs w:val="28"/>
    </w:rPr>
  </w:style>
  <w:style w:type="character" w:customStyle="1" w:styleId="61">
    <w:name w:val="标题 6 字符"/>
    <w:uiPriority w:val="0"/>
    <w:rPr>
      <w:rFonts w:ascii="等线 Light" w:eastAsia="等线 Light"/>
      <w:b/>
      <w:bCs/>
      <w:color w:val="000000"/>
      <w:kern w:val="2"/>
      <w:sz w:val="24"/>
      <w:szCs w:val="24"/>
    </w:rPr>
  </w:style>
  <w:style w:type="character" w:customStyle="1" w:styleId="62">
    <w:name w:val="文档结构图 字符"/>
    <w:uiPriority w:val="0"/>
    <w:rPr>
      <w:rFonts w:ascii="宋体" w:hAnsi="宋体"/>
      <w:color w:val="000000"/>
      <w:kern w:val="2"/>
      <w:sz w:val="18"/>
      <w:szCs w:val="18"/>
    </w:rPr>
  </w:style>
  <w:style w:type="character" w:customStyle="1" w:styleId="63">
    <w:name w:val="日期 字符"/>
    <w:autoRedefine/>
    <w:qFormat/>
    <w:uiPriority w:val="99"/>
    <w:rPr>
      <w:color w:val="000000"/>
      <w:kern w:val="2"/>
      <w:sz w:val="24"/>
      <w:szCs w:val="21"/>
    </w:rPr>
  </w:style>
  <w:style w:type="paragraph" w:customStyle="1" w:styleId="64">
    <w:name w:val="样式2"/>
    <w:basedOn w:val="3"/>
    <w:next w:val="1"/>
    <w:uiPriority w:val="0"/>
    <w:pPr>
      <w:ind w:firstLine="200" w:firstLineChars="200"/>
    </w:pPr>
    <w:rPr>
      <w:rFonts w:ascii="Calibri" w:hAnsi="Calibri" w:eastAsia="楷体_GB2312"/>
      <w:szCs w:val="20"/>
      <w:lang w:val="zh-CN"/>
    </w:rPr>
  </w:style>
  <w:style w:type="paragraph" w:customStyle="1" w:styleId="65">
    <w:name w:val="TOC Heading"/>
    <w:basedOn w:val="2"/>
    <w:next w:val="1"/>
    <w:qFormat/>
    <w:uiPriority w:val="0"/>
    <w:pPr>
      <w:spacing w:before="340" w:after="330" w:line="578" w:lineRule="auto"/>
      <w:outlineLvl w:val="9"/>
    </w:pPr>
    <w:rPr>
      <w:bCs/>
      <w:szCs w:val="44"/>
    </w:rPr>
  </w:style>
  <w:style w:type="paragraph" w:customStyle="1" w:styleId="66">
    <w:name w:val="序号2"/>
    <w:next w:val="1"/>
    <w:uiPriority w:val="0"/>
    <w:pPr>
      <w:spacing w:beforeLines="50" w:afterLines="50" w:line="360" w:lineRule="auto"/>
      <w:ind w:firstLine="200" w:firstLineChars="200"/>
    </w:pPr>
    <w:rPr>
      <w:rFonts w:ascii="宋体" w:hAnsi="Times New Roman" w:eastAsia="宋体" w:cs="Times New Roman"/>
      <w:kern w:val="2"/>
      <w:sz w:val="24"/>
      <w:szCs w:val="21"/>
      <w:lang w:val="en-US" w:eastAsia="zh-CN" w:bidi="ar-SA"/>
    </w:rPr>
  </w:style>
  <w:style w:type="paragraph" w:customStyle="1" w:styleId="67">
    <w:name w:val="资料来源"/>
    <w:next w:val="1"/>
    <w:uiPriority w:val="0"/>
    <w:pPr>
      <w:spacing w:afterLines="50"/>
      <w:jc w:val="center"/>
    </w:pPr>
    <w:rPr>
      <w:rFonts w:ascii="Times New Roman" w:hAnsi="Times New Roman" w:eastAsia="宋体" w:cs="Times New Roman"/>
      <w:i/>
      <w:kern w:val="2"/>
      <w:sz w:val="18"/>
      <w:szCs w:val="21"/>
      <w:lang w:val="en-US" w:eastAsia="zh-CN" w:bidi="ar-SA"/>
    </w:rPr>
  </w:style>
  <w:style w:type="paragraph" w:customStyle="1" w:styleId="68">
    <w:name w:val="修订1"/>
    <w:qFormat/>
    <w:uiPriority w:val="99"/>
    <w:rPr>
      <w:rFonts w:ascii="等线" w:hAnsi="Times New Roman" w:eastAsia="等线" w:cs="Times New Roman"/>
      <w:kern w:val="2"/>
      <w:sz w:val="21"/>
      <w:szCs w:val="22"/>
      <w:lang w:val="en-US" w:eastAsia="zh-CN" w:bidi="ar-SA"/>
    </w:rPr>
  </w:style>
  <w:style w:type="paragraph" w:customStyle="1" w:styleId="69">
    <w:name w:val="列出段落1"/>
    <w:basedOn w:val="1"/>
    <w:uiPriority w:val="0"/>
    <w:pPr>
      <w:ind w:firstLine="200" w:firstLineChars="200"/>
    </w:pPr>
    <w:rPr>
      <w:rFonts w:ascii="Times New Roman" w:hAnsi="Times New Roman" w:eastAsia="宋体" w:cs="Times New Roman"/>
      <w:szCs w:val="24"/>
    </w:rPr>
  </w:style>
  <w:style w:type="paragraph" w:customStyle="1" w:styleId="70">
    <w:name w:val="注释"/>
    <w:next w:val="1"/>
    <w:uiPriority w:val="0"/>
    <w:pPr>
      <w:ind w:firstLine="200" w:firstLineChars="200"/>
    </w:pPr>
    <w:rPr>
      <w:rFonts w:ascii="Times New Roman" w:hAnsi="Times New Roman" w:eastAsia="宋体" w:cs="Times New Roman"/>
      <w:kern w:val="2"/>
      <w:sz w:val="15"/>
      <w:szCs w:val="21"/>
      <w:lang w:val="en-US" w:eastAsia="zh-CN" w:bidi="ar-SA"/>
    </w:rPr>
  </w:style>
  <w:style w:type="paragraph" w:customStyle="1" w:styleId="71">
    <w:name w:val="图表标题"/>
    <w:next w:val="1"/>
    <w:uiPriority w:val="0"/>
    <w:pPr>
      <w:jc w:val="center"/>
    </w:pPr>
    <w:rPr>
      <w:rFonts w:ascii="Times New Roman" w:hAnsi="Times New Roman" w:eastAsia="黑体" w:cs="Times New Roman"/>
      <w:bCs/>
      <w:kern w:val="44"/>
      <w:sz w:val="21"/>
      <w:szCs w:val="44"/>
      <w:lang w:val="en-US" w:eastAsia="zh-CN" w:bidi="ar-SA"/>
    </w:rPr>
  </w:style>
  <w:style w:type="paragraph" w:customStyle="1" w:styleId="72">
    <w:name w:val="序号1"/>
    <w:next w:val="1"/>
    <w:uiPriority w:val="0"/>
    <w:pPr>
      <w:spacing w:beforeLines="50" w:afterLines="50" w:line="360" w:lineRule="auto"/>
      <w:ind w:firstLine="200" w:firstLineChars="200"/>
    </w:pPr>
    <w:rPr>
      <w:rFonts w:ascii="黑体" w:hAnsi="Times New Roman" w:eastAsia="黑体" w:cs="Times New Roman"/>
      <w:kern w:val="2"/>
      <w:sz w:val="24"/>
      <w:szCs w:val="21"/>
      <w:lang w:val="en-US" w:eastAsia="zh-CN" w:bidi="ar-SA"/>
    </w:rPr>
  </w:style>
  <w:style w:type="paragraph" w:customStyle="1" w:styleId="73">
    <w:name w:val="修订2"/>
    <w:uiPriority w:val="0"/>
    <w:rPr>
      <w:rFonts w:ascii="等线" w:hAnsi="Times New Roman" w:eastAsia="等线" w:cs="Times New Roman"/>
      <w:kern w:val="2"/>
      <w:sz w:val="21"/>
      <w:szCs w:val="22"/>
      <w:lang w:val="en-US" w:eastAsia="zh-CN" w:bidi="ar-SA"/>
    </w:rPr>
  </w:style>
  <w:style w:type="paragraph" w:customStyle="1" w:styleId="74">
    <w:name w:val="Revision"/>
    <w:uiPriority w:val="0"/>
    <w:rPr>
      <w:rFonts w:ascii="Times New Roman" w:hAnsi="Times New Roman" w:eastAsia="宋体" w:cs="Times New Roman"/>
      <w:kern w:val="2"/>
      <w:sz w:val="21"/>
      <w:szCs w:val="24"/>
      <w:lang w:val="en-US" w:eastAsia="zh-CN" w:bidi="ar-SA"/>
    </w:rPr>
  </w:style>
  <w:style w:type="paragraph" w:customStyle="1" w:styleId="75">
    <w:name w:val="报告名称"/>
    <w:next w:val="1"/>
    <w:uiPriority w:val="0"/>
    <w:pPr>
      <w:spacing w:beforeLines="600"/>
      <w:jc w:val="center"/>
    </w:pPr>
    <w:rPr>
      <w:rFonts w:ascii="Times New Roman" w:hAnsi="Times New Roman" w:eastAsia="华文中宋" w:cs="Times New Roman"/>
      <w:kern w:val="2"/>
      <w:sz w:val="52"/>
      <w:szCs w:val="21"/>
      <w:lang w:val="en-US" w:eastAsia="zh-CN" w:bidi="ar-SA"/>
    </w:rPr>
  </w:style>
  <w:style w:type="paragraph" w:customStyle="1" w:styleId="76">
    <w:name w:val="表头格式"/>
    <w:next w:val="1"/>
    <w:uiPriority w:val="0"/>
    <w:pPr>
      <w:jc w:val="center"/>
    </w:pPr>
    <w:rPr>
      <w:rFonts w:ascii="宋体" w:hAnsi="Times New Roman" w:eastAsia="宋体" w:cs="Times New Roman"/>
      <w:b/>
      <w:smallCaps/>
      <w:color w:val="FFFFFF"/>
      <w:kern w:val="2"/>
      <w:sz w:val="18"/>
      <w:szCs w:val="21"/>
      <w:lang w:val="en-US" w:eastAsia="zh-CN" w:bidi="ar-SA"/>
    </w:rPr>
  </w:style>
  <w:style w:type="paragraph" w:customStyle="1" w:styleId="77">
    <w:name w:val="图样式"/>
    <w:next w:val="1"/>
    <w:uiPriority w:val="0"/>
    <w:pPr>
      <w:keepNext/>
      <w:jc w:val="center"/>
    </w:pPr>
    <w:rPr>
      <w:rFonts w:ascii="Times New Roman" w:hAnsi="Times New Roman" w:eastAsia="宋体" w:cs="Times New Roman"/>
      <w:color w:val="000000"/>
      <w:kern w:val="2"/>
      <w:sz w:val="24"/>
      <w:szCs w:val="21"/>
      <w:lang w:val="en-US" w:eastAsia="zh-CN" w:bidi="ar-SA"/>
    </w:rPr>
  </w:style>
  <w:style w:type="paragraph" w:customStyle="1" w:styleId="78">
    <w:name w:val="单位落款"/>
    <w:next w:val="1"/>
    <w:uiPriority w:val="0"/>
    <w:pPr>
      <w:jc w:val="center"/>
    </w:pPr>
    <w:rPr>
      <w:rFonts w:ascii="华文中宋" w:hAnsi="Times New Roman" w:eastAsia="华文中宋" w:cs="Times New Roman"/>
      <w:kern w:val="2"/>
      <w:sz w:val="28"/>
      <w:szCs w:val="21"/>
      <w:lang w:val="en-US" w:eastAsia="zh-CN" w:bidi="ar-SA"/>
    </w:rPr>
  </w:style>
  <w:style w:type="paragraph" w:customStyle="1" w:styleId="79">
    <w:name w:val="正文 A"/>
    <w:uiPriority w:val="0"/>
    <w:pPr>
      <w:widowControl w:val="0"/>
      <w:jc w:val="both"/>
    </w:pPr>
    <w:rPr>
      <w:rFonts w:ascii="Arial Unicode MS" w:hAnsi="Times New Roman" w:eastAsia="Arial Unicode MS" w:cs="Arial Unicode MS"/>
      <w:color w:val="000000"/>
      <w:kern w:val="2"/>
      <w:sz w:val="31"/>
      <w:szCs w:val="31"/>
      <w:lang w:val="en-US" w:eastAsia="zh-CN" w:bidi="ar-SA"/>
    </w:rPr>
  </w:style>
  <w:style w:type="paragraph" w:customStyle="1" w:styleId="80">
    <w:name w:val="FootnoteText"/>
    <w:basedOn w:val="1"/>
    <w:uiPriority w:val="0"/>
    <w:pPr>
      <w:snapToGrid w:val="0"/>
      <w:jc w:val="left"/>
      <w:textAlignment w:val="baseline"/>
    </w:pPr>
    <w:rPr>
      <w:rFonts w:ascii="Times New Roman" w:hAnsi="Times New Roman" w:eastAsia="宋体" w:cs="Times New Roman"/>
      <w:szCs w:val="24"/>
    </w:rPr>
  </w:style>
  <w:style w:type="paragraph" w:customStyle="1" w:styleId="81">
    <w:name w:val="Body text|1"/>
    <w:basedOn w:val="1"/>
    <w:qFormat/>
    <w:uiPriority w:val="0"/>
    <w:pPr>
      <w:spacing w:line="410" w:lineRule="auto"/>
      <w:ind w:firstLine="400"/>
    </w:pPr>
    <w:rPr>
      <w:rFonts w:ascii="宋体" w:hAnsi="宋体" w:eastAsia="宋体" w:cs="宋体"/>
      <w:sz w:val="28"/>
      <w:szCs w:val="28"/>
      <w:lang w:val="zh-TW" w:eastAsia="zh-TW" w:bidi="zh-TW"/>
    </w:rPr>
  </w:style>
  <w:style w:type="paragraph" w:styleId="82">
    <w:name w:val="List Paragraph"/>
    <w:basedOn w:val="1"/>
    <w:qFormat/>
    <w:uiPriority w:val="34"/>
    <w:pPr>
      <w:ind w:firstLine="420" w:firstLineChars="200"/>
    </w:pPr>
    <w:rPr>
      <w:rFonts w:ascii="等线" w:hAnsi="等线" w:eastAsia="等线" w:cs="宋体"/>
    </w:rPr>
  </w:style>
  <w:style w:type="paragraph" w:customStyle="1" w:styleId="83">
    <w:name w:val="TOC 标题1"/>
    <w:basedOn w:val="2"/>
    <w:next w:val="1"/>
    <w:qFormat/>
    <w:uiPriority w:val="39"/>
    <w:pPr>
      <w:widowControl/>
      <w:spacing w:before="240" w:line="259" w:lineRule="auto"/>
      <w:jc w:val="left"/>
      <w:outlineLvl w:val="9"/>
    </w:pPr>
    <w:rPr>
      <w:rFonts w:ascii="等线 Light" w:hAnsi="等线 Light" w:eastAsia="等线 Light" w:cs="宋体"/>
      <w:b w:val="0"/>
      <w:color w:val="2F5496"/>
      <w:kern w:val="0"/>
      <w:sz w:val="32"/>
      <w:szCs w:val="32"/>
    </w:rPr>
  </w:style>
  <w:style w:type="paragraph" w:customStyle="1" w:styleId="84">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Fangsong Bodytext"/>
    <w:basedOn w:val="1"/>
    <w:qFormat/>
    <w:uiPriority w:val="0"/>
    <w:pPr>
      <w:ind w:firstLine="200" w:firstLineChars="200"/>
      <w:contextualSpacing/>
    </w:pPr>
    <w:rPr>
      <w:rFonts w:ascii="华文仿宋" w:hAnsi="华文仿宋" w:eastAsia="华文仿宋" w:cs="Times New Roman"/>
      <w:color w:val="000000"/>
      <w:sz w:val="32"/>
      <w:szCs w:val="32"/>
    </w:rPr>
  </w:style>
  <w:style w:type="paragraph" w:customStyle="1" w:styleId="86">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87">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88">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table" w:customStyle="1" w:styleId="89">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543</Words>
  <Characters>569</Characters>
  <Lines>445</Lines>
  <Paragraphs>125</Paragraphs>
  <TotalTime>3</TotalTime>
  <ScaleCrop>false</ScaleCrop>
  <LinksUpToDate>false</LinksUpToDate>
  <CharactersWithSpaces>643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2022-03-07T10:34:00Z</dcterms:created>
  <dc:creator>pc</dc:creator>
  <cp:lastModifiedBy>渝</cp:lastModifiedBy>
  <dcterms:modified xsi:type="dcterms:W3CDTF">2026-03-05T02:50:30Z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33843BC54E6B475FA5636FAF75A5BD40_13</vt:lpwstr>
  </property>
  <property fmtid="{D5CDD505-2E9C-101B-9397-08002B2CF9AE}" pid="4" name="KSOTemplateDocerSaveRecord">
    <vt:lpwstr>eyJoZGlkIjoiNGM2MzU1ZmYxNGE4ODI0ZDI0YTJjMDZlNGYzZDVlMzMiLCJ1c2VySWQiOiIzMDU3NjU4ODAifQ==</vt:lpwstr>
  </property>
</Properties>
</file>