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956" w:line="300" w:lineRule="auto"/>
        <w:jc w:val="center"/>
        <w:rPr>
          <w:rFonts w:ascii="Times New Roman" w:hAnsi="Times New Roman" w:eastAsia="方正小标宋简体" w:cs="Times New Roman"/>
          <w:sz w:val="52"/>
          <w:szCs w:val="48"/>
        </w:rPr>
      </w:pPr>
      <w:r>
        <w:rPr>
          <w:rFonts w:ascii="Times New Roman" w:hAnsi="Times New Roman" w:eastAsia="方正小标宋简体" w:cs="Times New Roman"/>
          <w:sz w:val="52"/>
          <w:szCs w:val="48"/>
        </w:rPr>
        <w:t>泉州市“十四五”数字泉州</w:t>
      </w:r>
      <w:r>
        <w:rPr>
          <w:rFonts w:ascii="Times New Roman" w:hAnsi="Times New Roman" w:eastAsia="方正小标宋简体" w:cs="Times New Roman"/>
          <w:sz w:val="52"/>
          <w:szCs w:val="48"/>
        </w:rPr>
        <w:br w:type="textWrapping"/>
      </w:r>
      <w:r>
        <w:rPr>
          <w:rFonts w:ascii="Times New Roman" w:hAnsi="Times New Roman" w:eastAsia="方正小标宋简体" w:cs="Times New Roman"/>
          <w:sz w:val="52"/>
          <w:szCs w:val="48"/>
        </w:rPr>
        <w:t>专项规划</w:t>
      </w:r>
    </w:p>
    <w:p>
      <w:pPr>
        <w:spacing w:after="97"/>
        <w:ind w:firstLine="480"/>
        <w:rPr>
          <w:rFonts w:ascii="Times New Roman" w:hAnsi="Times New Roman" w:eastAsia="宋体" w:cs="Times New Roman"/>
          <w:sz w:val="22"/>
          <w:szCs w:val="24"/>
        </w:rPr>
      </w:pPr>
    </w:p>
    <w:p>
      <w:pPr>
        <w:spacing w:after="97"/>
        <w:ind w:firstLine="480"/>
        <w:rPr>
          <w:rFonts w:ascii="Times New Roman" w:hAnsi="Times New Roman" w:eastAsia="宋体" w:cs="Times New Roman"/>
          <w:sz w:val="22"/>
          <w:szCs w:val="24"/>
        </w:rPr>
      </w:pPr>
    </w:p>
    <w:p>
      <w:pPr>
        <w:spacing w:after="97"/>
        <w:ind w:firstLine="480"/>
        <w:rPr>
          <w:rFonts w:ascii="Times New Roman" w:hAnsi="Times New Roman" w:eastAsia="宋体" w:cs="Times New Roman"/>
          <w:sz w:val="22"/>
          <w:szCs w:val="24"/>
        </w:rPr>
      </w:pPr>
    </w:p>
    <w:p>
      <w:pPr>
        <w:spacing w:after="97"/>
        <w:ind w:firstLine="480"/>
        <w:rPr>
          <w:rFonts w:ascii="Times New Roman" w:hAnsi="Times New Roman" w:eastAsia="宋体" w:cs="Times New Roman"/>
          <w:sz w:val="22"/>
          <w:szCs w:val="24"/>
        </w:rPr>
      </w:pPr>
    </w:p>
    <w:p>
      <w:pPr>
        <w:spacing w:after="97"/>
        <w:ind w:firstLine="480"/>
        <w:jc w:val="center"/>
        <w:rPr>
          <w:rFonts w:ascii="Times New Roman" w:hAnsi="Times New Roman" w:eastAsia="宋体" w:cs="Times New Roman"/>
          <w:sz w:val="22"/>
          <w:szCs w:val="24"/>
        </w:rPr>
      </w:pPr>
    </w:p>
    <w:p>
      <w:pPr>
        <w:spacing w:after="97"/>
        <w:ind w:firstLine="480"/>
        <w:rPr>
          <w:rFonts w:ascii="Times New Roman" w:hAnsi="Times New Roman" w:eastAsia="宋体" w:cs="Times New Roman"/>
          <w:sz w:val="22"/>
          <w:szCs w:val="24"/>
        </w:rPr>
      </w:pPr>
    </w:p>
    <w:p>
      <w:pPr>
        <w:spacing w:after="97"/>
        <w:ind w:firstLine="480"/>
        <w:rPr>
          <w:rFonts w:ascii="Times New Roman" w:hAnsi="Times New Roman" w:eastAsia="宋体" w:cs="Times New Roman"/>
          <w:sz w:val="22"/>
          <w:szCs w:val="24"/>
        </w:rPr>
      </w:pPr>
    </w:p>
    <w:p>
      <w:pPr>
        <w:spacing w:after="97"/>
        <w:ind w:firstLine="480"/>
        <w:rPr>
          <w:rFonts w:ascii="Times New Roman" w:hAnsi="Times New Roman" w:eastAsia="宋体" w:cs="Times New Roman"/>
          <w:sz w:val="22"/>
          <w:szCs w:val="24"/>
        </w:rPr>
      </w:pPr>
    </w:p>
    <w:p>
      <w:pPr>
        <w:spacing w:after="97"/>
        <w:ind w:firstLine="480"/>
        <w:rPr>
          <w:rFonts w:ascii="Times New Roman" w:hAnsi="Times New Roman" w:eastAsia="宋体" w:cs="Times New Roman"/>
          <w:sz w:val="22"/>
          <w:szCs w:val="24"/>
        </w:rPr>
      </w:pPr>
    </w:p>
    <w:p>
      <w:pPr>
        <w:spacing w:after="97"/>
        <w:ind w:firstLine="480"/>
        <w:rPr>
          <w:rFonts w:ascii="Times New Roman" w:hAnsi="Times New Roman" w:eastAsia="宋体" w:cs="Times New Roman"/>
          <w:sz w:val="22"/>
          <w:szCs w:val="24"/>
        </w:rPr>
      </w:pPr>
    </w:p>
    <w:p>
      <w:pPr>
        <w:spacing w:after="97"/>
        <w:ind w:firstLine="480"/>
        <w:rPr>
          <w:rFonts w:ascii="Times New Roman" w:hAnsi="Times New Roman" w:eastAsia="宋体" w:cs="Times New Roman"/>
          <w:sz w:val="22"/>
          <w:szCs w:val="24"/>
        </w:rPr>
      </w:pPr>
    </w:p>
    <w:p>
      <w:pPr>
        <w:rPr>
          <w:rFonts w:ascii="Times New Roman" w:hAnsi="Times New Roman" w:eastAsia="宋体" w:cs="Times New Roman"/>
          <w:sz w:val="22"/>
          <w:szCs w:val="24"/>
        </w:rPr>
      </w:pPr>
    </w:p>
    <w:p>
      <w:pPr>
        <w:rPr>
          <w:rFonts w:ascii="Times New Roman" w:hAnsi="Times New Roman" w:eastAsia="宋体" w:cs="Times New Roman"/>
          <w:sz w:val="22"/>
          <w:szCs w:val="24"/>
        </w:rPr>
      </w:pPr>
    </w:p>
    <w:p>
      <w:pPr>
        <w:rPr>
          <w:rFonts w:ascii="Times New Roman" w:hAnsi="Times New Roman" w:eastAsia="宋体" w:cs="Times New Roman"/>
          <w:sz w:val="22"/>
          <w:szCs w:val="24"/>
        </w:rPr>
      </w:pPr>
    </w:p>
    <w:p>
      <w:pPr>
        <w:rPr>
          <w:rFonts w:ascii="Times New Roman" w:hAnsi="Times New Roman" w:eastAsia="宋体" w:cs="Times New Roman"/>
          <w:sz w:val="22"/>
          <w:szCs w:val="24"/>
        </w:rPr>
      </w:pPr>
    </w:p>
    <w:p>
      <w:pPr>
        <w:rPr>
          <w:rFonts w:ascii="Times New Roman" w:hAnsi="Times New Roman" w:eastAsia="宋体" w:cs="Times New Roman"/>
          <w:sz w:val="22"/>
          <w:szCs w:val="24"/>
        </w:rPr>
      </w:pPr>
    </w:p>
    <w:p>
      <w:pPr>
        <w:rPr>
          <w:rFonts w:ascii="Times New Roman" w:hAnsi="Times New Roman" w:eastAsia="宋体" w:cs="Times New Roman"/>
          <w:sz w:val="22"/>
          <w:szCs w:val="24"/>
        </w:rPr>
      </w:pPr>
    </w:p>
    <w:p>
      <w:pPr>
        <w:rPr>
          <w:rFonts w:ascii="Times New Roman" w:hAnsi="Times New Roman" w:eastAsia="宋体" w:cs="Times New Roman"/>
          <w:sz w:val="22"/>
          <w:szCs w:val="24"/>
        </w:rPr>
      </w:pPr>
    </w:p>
    <w:p>
      <w:pPr>
        <w:rPr>
          <w:rFonts w:ascii="Times New Roman" w:hAnsi="Times New Roman" w:eastAsia="宋体" w:cs="Times New Roman"/>
          <w:sz w:val="22"/>
          <w:szCs w:val="24"/>
        </w:rPr>
      </w:pPr>
    </w:p>
    <w:p>
      <w:pPr>
        <w:rPr>
          <w:rFonts w:ascii="Times New Roman" w:hAnsi="Times New Roman" w:eastAsia="宋体" w:cs="Times New Roman"/>
          <w:sz w:val="22"/>
          <w:szCs w:val="24"/>
        </w:rPr>
      </w:pPr>
    </w:p>
    <w:p>
      <w:pPr>
        <w:rPr>
          <w:rFonts w:ascii="Times New Roman" w:hAnsi="Times New Roman" w:eastAsia="宋体" w:cs="Times New Roman"/>
          <w:sz w:val="22"/>
          <w:szCs w:val="24"/>
        </w:rPr>
      </w:pPr>
    </w:p>
    <w:p>
      <w:pPr>
        <w:rPr>
          <w:rFonts w:ascii="Times New Roman" w:hAnsi="Times New Roman" w:eastAsia="宋体" w:cs="Times New Roman"/>
          <w:sz w:val="22"/>
          <w:szCs w:val="24"/>
        </w:rPr>
      </w:pPr>
    </w:p>
    <w:p>
      <w:pPr>
        <w:rPr>
          <w:rFonts w:ascii="Times New Roman" w:hAnsi="Times New Roman" w:eastAsia="宋体" w:cs="Times New Roman"/>
          <w:sz w:val="22"/>
          <w:szCs w:val="24"/>
        </w:rPr>
      </w:pPr>
    </w:p>
    <w:p>
      <w:pPr>
        <w:jc w:val="center"/>
        <w:rPr>
          <w:rFonts w:ascii="Times New Roman" w:hAnsi="Times New Roman" w:eastAsia="宋体" w:cs="Times New Roman"/>
          <w:sz w:val="22"/>
          <w:szCs w:val="24"/>
        </w:rPr>
      </w:pPr>
    </w:p>
    <w:p>
      <w:pPr>
        <w:rPr>
          <w:rFonts w:ascii="Times New Roman" w:hAnsi="Times New Roman" w:eastAsia="宋体" w:cs="Times New Roman"/>
          <w:sz w:val="22"/>
          <w:szCs w:val="24"/>
        </w:rPr>
        <w:sectPr>
          <w:headerReference r:id="rId3" w:type="default"/>
          <w:footerReference r:id="rId4" w:type="default"/>
          <w:footerReference r:id="rId5" w:type="even"/>
          <w:pgSz w:w="11906" w:h="16838"/>
          <w:pgMar w:top="2098" w:right="1418" w:bottom="1089" w:left="1588" w:header="851" w:footer="992" w:gutter="0"/>
          <w:cols w:space="720" w:num="1"/>
          <w:docGrid w:type="lines" w:linePitch="326" w:charSpace="0"/>
        </w:sectPr>
      </w:pPr>
    </w:p>
    <w:p>
      <w:pPr>
        <w:keepNext/>
        <w:keepLines/>
        <w:spacing w:before="340" w:after="330" w:line="578" w:lineRule="auto"/>
        <w:jc w:val="center"/>
        <w:rPr>
          <w:rFonts w:ascii="Times New Roman" w:hAnsi="Times New Roman" w:eastAsia="方正小标宋简体" w:cs="Times New Roman"/>
          <w:kern w:val="44"/>
          <w:sz w:val="44"/>
          <w:szCs w:val="44"/>
        </w:rPr>
      </w:pPr>
      <w:bookmarkStart w:id="0" w:name="_Toc1157139511"/>
      <w:r>
        <w:rPr>
          <w:rFonts w:ascii="Times New Roman" w:hAnsi="Times New Roman" w:eastAsia="方正小标宋简体" w:cs="Times New Roman"/>
          <w:kern w:val="44"/>
          <w:sz w:val="44"/>
          <w:szCs w:val="44"/>
          <w:lang w:val="zh-CN"/>
        </w:rPr>
        <w:t>目   录</w:t>
      </w:r>
      <w:bookmarkEnd w:id="0"/>
    </w:p>
    <w:p>
      <w:pPr>
        <w:tabs>
          <w:tab w:val="right" w:leader="dot" w:pos="8834"/>
        </w:tabs>
        <w:rPr>
          <w:rFonts w:ascii="Times New Roman" w:hAnsi="Times New Roman" w:eastAsia="等线" w:cs="Times New Roman"/>
          <w:sz w:val="28"/>
          <w:szCs w:val="28"/>
          <w:lang w:val="en-US" w:eastAsia="zh-CN"/>
        </w:rPr>
      </w:pPr>
      <w:r>
        <w:rPr>
          <w:rFonts w:ascii="Times New Roman" w:hAnsi="Times New Roman" w:eastAsia="宋体" w:cs="Times New Roman"/>
          <w:sz w:val="28"/>
          <w:szCs w:val="28"/>
        </w:rPr>
        <w:fldChar w:fldCharType="begin"/>
      </w:r>
      <w:r>
        <w:rPr>
          <w:rFonts w:ascii="Times New Roman" w:hAnsi="Times New Roman" w:eastAsia="宋体" w:cs="Times New Roman"/>
          <w:sz w:val="28"/>
          <w:szCs w:val="28"/>
        </w:rPr>
        <w:instrText xml:space="preserve"> TOC \o "1-3" \h \z \u </w:instrText>
      </w:r>
      <w:r>
        <w:rPr>
          <w:rFonts w:ascii="Times New Roman" w:hAnsi="Times New Roman" w:eastAsia="宋体" w:cs="Times New Roman"/>
          <w:sz w:val="28"/>
          <w:szCs w:val="28"/>
        </w:rPr>
        <w:fldChar w:fldCharType="separate"/>
      </w:r>
      <w:r>
        <w:fldChar w:fldCharType="begin"/>
      </w:r>
      <w:r>
        <w:instrText xml:space="preserve"> HYPERLINK \l "_Toc94308399" </w:instrText>
      </w:r>
      <w:r>
        <w:fldChar w:fldCharType="separate"/>
      </w:r>
      <w:r>
        <w:rPr>
          <w:rFonts w:ascii="Times New Roman" w:hAnsi="Times New Roman" w:eastAsia="黑体" w:cs="Times New Roman"/>
          <w:color w:val="0000FF"/>
          <w:sz w:val="28"/>
          <w:u w:val="single"/>
          <w:lang w:val="en-US" w:eastAsia="zh-CN"/>
        </w:rPr>
        <w:t>前  言</w:t>
      </w:r>
      <w:r>
        <w:rPr>
          <w:rFonts w:ascii="Times New Roman" w:hAnsi="Times New Roman" w:eastAsia="宋体" w:cs="Times New Roman"/>
          <w:sz w:val="28"/>
          <w:szCs w:val="28"/>
          <w:lang w:val="en-US" w:eastAsia="zh-CN"/>
        </w:rPr>
        <w:tab/>
      </w:r>
      <w:r>
        <w:rPr>
          <w:rFonts w:ascii="Times New Roman" w:hAnsi="Times New Roman" w:eastAsia="宋体" w:cs="Times New Roman"/>
          <w:sz w:val="28"/>
          <w:szCs w:val="28"/>
          <w:lang w:val="en-US" w:eastAsia="zh-CN"/>
        </w:rPr>
        <w:fldChar w:fldCharType="begin"/>
      </w:r>
      <w:r>
        <w:rPr>
          <w:rFonts w:ascii="Times New Roman" w:hAnsi="Times New Roman" w:eastAsia="宋体" w:cs="Times New Roman"/>
          <w:sz w:val="28"/>
          <w:szCs w:val="28"/>
          <w:lang w:val="en-US" w:eastAsia="zh-CN"/>
        </w:rPr>
        <w:instrText xml:space="preserve"> PAGEREF _Toc94308399 \h </w:instrText>
      </w:r>
      <w:r>
        <w:rPr>
          <w:rFonts w:ascii="Times New Roman" w:hAnsi="Times New Roman" w:eastAsia="宋体" w:cs="Times New Roman"/>
          <w:sz w:val="28"/>
          <w:szCs w:val="28"/>
          <w:lang w:val="en-US" w:eastAsia="zh-CN"/>
        </w:rPr>
        <w:fldChar w:fldCharType="separate"/>
      </w:r>
      <w:r>
        <w:rPr>
          <w:rFonts w:ascii="Times New Roman" w:hAnsi="Times New Roman" w:eastAsia="宋体" w:cs="Times New Roman"/>
          <w:sz w:val="28"/>
          <w:szCs w:val="28"/>
          <w:lang w:val="en-US" w:eastAsia="zh-CN"/>
        </w:rPr>
        <w:t>1</w:t>
      </w:r>
      <w:r>
        <w:rPr>
          <w:rFonts w:ascii="Times New Roman" w:hAnsi="Times New Roman" w:eastAsia="宋体" w:cs="Times New Roman"/>
          <w:sz w:val="28"/>
          <w:szCs w:val="28"/>
          <w:lang w:val="en-US" w:eastAsia="zh-CN"/>
        </w:rPr>
        <w:fldChar w:fldCharType="end"/>
      </w:r>
      <w:r>
        <w:rPr>
          <w:rFonts w:ascii="Times New Roman" w:hAnsi="Times New Roman" w:eastAsia="宋体" w:cs="Times New Roman"/>
          <w:sz w:val="28"/>
          <w:szCs w:val="28"/>
          <w:lang w:val="en-US" w:eastAsia="zh-CN"/>
        </w:rPr>
        <w:fldChar w:fldCharType="end"/>
      </w:r>
    </w:p>
    <w:p>
      <w:pPr>
        <w:tabs>
          <w:tab w:val="right" w:leader="dot" w:pos="8834"/>
        </w:tabs>
        <w:rPr>
          <w:rFonts w:ascii="Times New Roman" w:hAnsi="Times New Roman" w:eastAsia="等线" w:cs="Times New Roman"/>
          <w:sz w:val="28"/>
          <w:szCs w:val="28"/>
          <w:lang w:val="en-US" w:eastAsia="zh-CN"/>
        </w:rPr>
      </w:pPr>
      <w:r>
        <w:fldChar w:fldCharType="begin"/>
      </w:r>
      <w:r>
        <w:instrText xml:space="preserve"> HYPERLINK \l "_Toc94308400" </w:instrText>
      </w:r>
      <w:r>
        <w:fldChar w:fldCharType="separate"/>
      </w:r>
      <w:r>
        <w:rPr>
          <w:rFonts w:ascii="Times New Roman" w:hAnsi="Times New Roman" w:eastAsia="黑体" w:cs="Times New Roman"/>
          <w:color w:val="0000FF"/>
          <w:sz w:val="28"/>
          <w:u w:val="single"/>
          <w:lang w:val="en-US" w:eastAsia="zh-CN"/>
        </w:rPr>
        <w:t>第一章 发展基础</w:t>
      </w:r>
      <w:r>
        <w:rPr>
          <w:rFonts w:ascii="Times New Roman" w:hAnsi="Times New Roman" w:eastAsia="宋体" w:cs="Times New Roman"/>
          <w:sz w:val="28"/>
          <w:szCs w:val="28"/>
          <w:lang w:val="en-US" w:eastAsia="zh-CN"/>
        </w:rPr>
        <w:tab/>
      </w:r>
      <w:r>
        <w:rPr>
          <w:rFonts w:ascii="Times New Roman" w:hAnsi="Times New Roman" w:eastAsia="宋体" w:cs="Times New Roman"/>
          <w:sz w:val="28"/>
          <w:szCs w:val="28"/>
          <w:lang w:val="en-US" w:eastAsia="zh-CN"/>
        </w:rPr>
        <w:fldChar w:fldCharType="begin"/>
      </w:r>
      <w:r>
        <w:rPr>
          <w:rFonts w:ascii="Times New Roman" w:hAnsi="Times New Roman" w:eastAsia="宋体" w:cs="Times New Roman"/>
          <w:sz w:val="28"/>
          <w:szCs w:val="28"/>
          <w:lang w:val="en-US" w:eastAsia="zh-CN"/>
        </w:rPr>
        <w:instrText xml:space="preserve"> PAGEREF _Toc94308400 \h </w:instrText>
      </w:r>
      <w:r>
        <w:rPr>
          <w:rFonts w:ascii="Times New Roman" w:hAnsi="Times New Roman" w:eastAsia="宋体" w:cs="Times New Roman"/>
          <w:sz w:val="28"/>
          <w:szCs w:val="28"/>
          <w:lang w:val="en-US" w:eastAsia="zh-CN"/>
        </w:rPr>
        <w:fldChar w:fldCharType="separate"/>
      </w:r>
      <w:r>
        <w:rPr>
          <w:rFonts w:ascii="Times New Roman" w:hAnsi="Times New Roman" w:eastAsia="宋体" w:cs="Times New Roman"/>
          <w:sz w:val="28"/>
          <w:szCs w:val="28"/>
          <w:lang w:val="en-US" w:eastAsia="zh-CN"/>
        </w:rPr>
        <w:t>2</w:t>
      </w:r>
      <w:r>
        <w:rPr>
          <w:rFonts w:ascii="Times New Roman" w:hAnsi="Times New Roman" w:eastAsia="宋体" w:cs="Times New Roman"/>
          <w:sz w:val="28"/>
          <w:szCs w:val="28"/>
          <w:lang w:val="en-US" w:eastAsia="zh-CN"/>
        </w:rPr>
        <w:fldChar w:fldCharType="end"/>
      </w:r>
      <w:r>
        <w:rPr>
          <w:rFonts w:ascii="Times New Roman" w:hAnsi="Times New Roman" w:eastAsia="宋体" w:cs="Times New Roman"/>
          <w:sz w:val="28"/>
          <w:szCs w:val="28"/>
          <w:lang w:val="en-US" w:eastAsia="zh-CN"/>
        </w:rPr>
        <w:fldChar w:fldCharType="end"/>
      </w:r>
    </w:p>
    <w:p>
      <w:pPr>
        <w:tabs>
          <w:tab w:val="right" w:leader="dot" w:pos="8834"/>
        </w:tabs>
        <w:rPr>
          <w:rFonts w:ascii="Times New Roman" w:hAnsi="Times New Roman" w:eastAsia="等线" w:cs="Times New Roman"/>
          <w:sz w:val="28"/>
          <w:szCs w:val="28"/>
          <w:lang w:val="en-US" w:eastAsia="zh-CN"/>
        </w:rPr>
      </w:pPr>
      <w:r>
        <w:fldChar w:fldCharType="begin"/>
      </w:r>
      <w:r>
        <w:instrText xml:space="preserve"> HYPERLINK \l "_Toc94308401" </w:instrText>
      </w:r>
      <w:r>
        <w:fldChar w:fldCharType="separate"/>
      </w:r>
      <w:r>
        <w:rPr>
          <w:rFonts w:ascii="Times New Roman" w:hAnsi="Times New Roman" w:eastAsia="楷体_GB2312" w:cs="Times New Roman"/>
          <w:color w:val="0000FF"/>
          <w:sz w:val="28"/>
          <w:u w:val="single"/>
          <w:lang w:val="en-US" w:eastAsia="zh-CN"/>
        </w:rPr>
        <w:t>第一节 发展现状</w:t>
      </w:r>
      <w:r>
        <w:rPr>
          <w:rFonts w:ascii="Times New Roman" w:hAnsi="Times New Roman" w:eastAsia="宋体" w:cs="Times New Roman"/>
          <w:sz w:val="28"/>
          <w:szCs w:val="28"/>
          <w:lang w:val="en-US" w:eastAsia="zh-CN"/>
        </w:rPr>
        <w:tab/>
      </w:r>
      <w:r>
        <w:rPr>
          <w:rFonts w:ascii="Times New Roman" w:hAnsi="Times New Roman" w:eastAsia="宋体" w:cs="Times New Roman"/>
          <w:sz w:val="28"/>
          <w:szCs w:val="28"/>
          <w:lang w:val="en-US" w:eastAsia="zh-CN"/>
        </w:rPr>
        <w:fldChar w:fldCharType="begin"/>
      </w:r>
      <w:r>
        <w:rPr>
          <w:rFonts w:ascii="Times New Roman" w:hAnsi="Times New Roman" w:eastAsia="宋体" w:cs="Times New Roman"/>
          <w:sz w:val="28"/>
          <w:szCs w:val="28"/>
          <w:lang w:val="en-US" w:eastAsia="zh-CN"/>
        </w:rPr>
        <w:instrText xml:space="preserve"> PAGEREF _Toc94308401 \h </w:instrText>
      </w:r>
      <w:r>
        <w:rPr>
          <w:rFonts w:ascii="Times New Roman" w:hAnsi="Times New Roman" w:eastAsia="宋体" w:cs="Times New Roman"/>
          <w:sz w:val="28"/>
          <w:szCs w:val="28"/>
          <w:lang w:val="en-US" w:eastAsia="zh-CN"/>
        </w:rPr>
        <w:fldChar w:fldCharType="separate"/>
      </w:r>
      <w:r>
        <w:rPr>
          <w:rFonts w:ascii="Times New Roman" w:hAnsi="Times New Roman" w:eastAsia="宋体" w:cs="Times New Roman"/>
          <w:sz w:val="28"/>
          <w:szCs w:val="28"/>
          <w:lang w:val="en-US" w:eastAsia="zh-CN"/>
        </w:rPr>
        <w:t>2</w:t>
      </w:r>
      <w:r>
        <w:rPr>
          <w:rFonts w:ascii="Times New Roman" w:hAnsi="Times New Roman" w:eastAsia="宋体" w:cs="Times New Roman"/>
          <w:sz w:val="28"/>
          <w:szCs w:val="28"/>
          <w:lang w:val="en-US" w:eastAsia="zh-CN"/>
        </w:rPr>
        <w:fldChar w:fldCharType="end"/>
      </w:r>
      <w:r>
        <w:rPr>
          <w:rFonts w:ascii="Times New Roman" w:hAnsi="Times New Roman" w:eastAsia="宋体" w:cs="Times New Roman"/>
          <w:sz w:val="28"/>
          <w:szCs w:val="28"/>
          <w:lang w:val="en-US" w:eastAsia="zh-CN"/>
        </w:rPr>
        <w:fldChar w:fldCharType="end"/>
      </w:r>
    </w:p>
    <w:p>
      <w:pPr>
        <w:tabs>
          <w:tab w:val="right" w:leader="dot" w:pos="8834"/>
        </w:tabs>
        <w:rPr>
          <w:rFonts w:ascii="Times New Roman" w:hAnsi="Times New Roman" w:eastAsia="等线" w:cs="Times New Roman"/>
          <w:sz w:val="28"/>
          <w:szCs w:val="28"/>
          <w:lang w:val="en-US" w:eastAsia="zh-CN"/>
        </w:rPr>
      </w:pPr>
      <w:r>
        <w:fldChar w:fldCharType="begin"/>
      </w:r>
      <w:r>
        <w:instrText xml:space="preserve"> HYPERLINK \l "_Toc94308402" </w:instrText>
      </w:r>
      <w:r>
        <w:fldChar w:fldCharType="separate"/>
      </w:r>
      <w:r>
        <w:rPr>
          <w:rFonts w:ascii="Times New Roman" w:hAnsi="Times New Roman" w:eastAsia="楷体_GB2312" w:cs="Times New Roman"/>
          <w:color w:val="0000FF"/>
          <w:sz w:val="28"/>
          <w:u w:val="single"/>
          <w:lang w:val="en-US" w:eastAsia="zh-CN"/>
        </w:rPr>
        <w:t>第二节 发展形势</w:t>
      </w:r>
      <w:r>
        <w:rPr>
          <w:rFonts w:ascii="Times New Roman" w:hAnsi="Times New Roman" w:eastAsia="宋体" w:cs="Times New Roman"/>
          <w:sz w:val="28"/>
          <w:szCs w:val="28"/>
          <w:lang w:val="en-US" w:eastAsia="zh-CN"/>
        </w:rPr>
        <w:tab/>
      </w:r>
      <w:r>
        <w:rPr>
          <w:rFonts w:ascii="Times New Roman" w:hAnsi="Times New Roman" w:eastAsia="宋体" w:cs="Times New Roman"/>
          <w:sz w:val="28"/>
          <w:szCs w:val="28"/>
          <w:lang w:val="en-US" w:eastAsia="zh-CN"/>
        </w:rPr>
        <w:fldChar w:fldCharType="begin"/>
      </w:r>
      <w:r>
        <w:rPr>
          <w:rFonts w:ascii="Times New Roman" w:hAnsi="Times New Roman" w:eastAsia="宋体" w:cs="Times New Roman"/>
          <w:sz w:val="28"/>
          <w:szCs w:val="28"/>
          <w:lang w:val="en-US" w:eastAsia="zh-CN"/>
        </w:rPr>
        <w:instrText xml:space="preserve"> PAGEREF _Toc94308402 \h </w:instrText>
      </w:r>
      <w:r>
        <w:rPr>
          <w:rFonts w:ascii="Times New Roman" w:hAnsi="Times New Roman" w:eastAsia="宋体" w:cs="Times New Roman"/>
          <w:sz w:val="28"/>
          <w:szCs w:val="28"/>
          <w:lang w:val="en-US" w:eastAsia="zh-CN"/>
        </w:rPr>
        <w:fldChar w:fldCharType="separate"/>
      </w:r>
      <w:r>
        <w:rPr>
          <w:rFonts w:ascii="Times New Roman" w:hAnsi="Times New Roman" w:eastAsia="宋体" w:cs="Times New Roman"/>
          <w:sz w:val="28"/>
          <w:szCs w:val="28"/>
          <w:lang w:val="en-US" w:eastAsia="zh-CN"/>
        </w:rPr>
        <w:t>4</w:t>
      </w:r>
      <w:r>
        <w:rPr>
          <w:rFonts w:ascii="Times New Roman" w:hAnsi="Times New Roman" w:eastAsia="宋体" w:cs="Times New Roman"/>
          <w:sz w:val="28"/>
          <w:szCs w:val="28"/>
          <w:lang w:val="en-US" w:eastAsia="zh-CN"/>
        </w:rPr>
        <w:fldChar w:fldCharType="end"/>
      </w:r>
      <w:r>
        <w:rPr>
          <w:rFonts w:ascii="Times New Roman" w:hAnsi="Times New Roman" w:eastAsia="宋体" w:cs="Times New Roman"/>
          <w:sz w:val="28"/>
          <w:szCs w:val="28"/>
          <w:lang w:val="en-US" w:eastAsia="zh-CN"/>
        </w:rPr>
        <w:fldChar w:fldCharType="end"/>
      </w:r>
    </w:p>
    <w:p>
      <w:pPr>
        <w:tabs>
          <w:tab w:val="right" w:leader="dot" w:pos="8834"/>
        </w:tabs>
        <w:rPr>
          <w:rFonts w:ascii="Times New Roman" w:hAnsi="Times New Roman" w:eastAsia="等线" w:cs="Times New Roman"/>
          <w:sz w:val="28"/>
          <w:szCs w:val="28"/>
          <w:lang w:val="en-US" w:eastAsia="zh-CN"/>
        </w:rPr>
      </w:pPr>
      <w:r>
        <w:fldChar w:fldCharType="begin"/>
      </w:r>
      <w:r>
        <w:instrText xml:space="preserve"> HYPERLINK \l "_Toc94308403" </w:instrText>
      </w:r>
      <w:r>
        <w:fldChar w:fldCharType="separate"/>
      </w:r>
      <w:r>
        <w:rPr>
          <w:rFonts w:ascii="Times New Roman" w:hAnsi="Times New Roman" w:eastAsia="黑体" w:cs="Times New Roman"/>
          <w:color w:val="0000FF"/>
          <w:sz w:val="28"/>
          <w:u w:val="single"/>
          <w:lang w:val="en-US" w:eastAsia="zh-CN"/>
        </w:rPr>
        <w:t>第二章 总体要求</w:t>
      </w:r>
      <w:r>
        <w:rPr>
          <w:rFonts w:ascii="Times New Roman" w:hAnsi="Times New Roman" w:eastAsia="宋体" w:cs="Times New Roman"/>
          <w:sz w:val="28"/>
          <w:szCs w:val="28"/>
          <w:lang w:val="en-US" w:eastAsia="zh-CN"/>
        </w:rPr>
        <w:tab/>
      </w:r>
      <w:r>
        <w:rPr>
          <w:rFonts w:ascii="Times New Roman" w:hAnsi="Times New Roman" w:eastAsia="宋体" w:cs="Times New Roman"/>
          <w:sz w:val="28"/>
          <w:szCs w:val="28"/>
          <w:lang w:val="en-US" w:eastAsia="zh-CN"/>
        </w:rPr>
        <w:fldChar w:fldCharType="begin"/>
      </w:r>
      <w:r>
        <w:rPr>
          <w:rFonts w:ascii="Times New Roman" w:hAnsi="Times New Roman" w:eastAsia="宋体" w:cs="Times New Roman"/>
          <w:sz w:val="28"/>
          <w:szCs w:val="28"/>
          <w:lang w:val="en-US" w:eastAsia="zh-CN"/>
        </w:rPr>
        <w:instrText xml:space="preserve"> PAGEREF _Toc94308403 \h </w:instrText>
      </w:r>
      <w:r>
        <w:rPr>
          <w:rFonts w:ascii="Times New Roman" w:hAnsi="Times New Roman" w:eastAsia="宋体" w:cs="Times New Roman"/>
          <w:sz w:val="28"/>
          <w:szCs w:val="28"/>
          <w:lang w:val="en-US" w:eastAsia="zh-CN"/>
        </w:rPr>
        <w:fldChar w:fldCharType="separate"/>
      </w:r>
      <w:r>
        <w:rPr>
          <w:rFonts w:ascii="Times New Roman" w:hAnsi="Times New Roman" w:eastAsia="宋体" w:cs="Times New Roman"/>
          <w:sz w:val="28"/>
          <w:szCs w:val="28"/>
          <w:lang w:val="en-US" w:eastAsia="zh-CN"/>
        </w:rPr>
        <w:t>7</w:t>
      </w:r>
      <w:r>
        <w:rPr>
          <w:rFonts w:ascii="Times New Roman" w:hAnsi="Times New Roman" w:eastAsia="宋体" w:cs="Times New Roman"/>
          <w:sz w:val="28"/>
          <w:szCs w:val="28"/>
          <w:lang w:val="en-US" w:eastAsia="zh-CN"/>
        </w:rPr>
        <w:fldChar w:fldCharType="end"/>
      </w:r>
      <w:r>
        <w:rPr>
          <w:rFonts w:ascii="Times New Roman" w:hAnsi="Times New Roman" w:eastAsia="宋体" w:cs="Times New Roman"/>
          <w:sz w:val="28"/>
          <w:szCs w:val="28"/>
          <w:lang w:val="en-US" w:eastAsia="zh-CN"/>
        </w:rPr>
        <w:fldChar w:fldCharType="end"/>
      </w:r>
    </w:p>
    <w:p>
      <w:pPr>
        <w:tabs>
          <w:tab w:val="right" w:leader="dot" w:pos="8834"/>
        </w:tabs>
        <w:rPr>
          <w:rFonts w:ascii="Times New Roman" w:hAnsi="Times New Roman" w:eastAsia="等线" w:cs="Times New Roman"/>
          <w:sz w:val="28"/>
          <w:szCs w:val="28"/>
          <w:lang w:val="en-US" w:eastAsia="zh-CN"/>
        </w:rPr>
      </w:pPr>
      <w:r>
        <w:fldChar w:fldCharType="begin"/>
      </w:r>
      <w:r>
        <w:instrText xml:space="preserve"> HYPERLINK \l "_Toc94308404" </w:instrText>
      </w:r>
      <w:r>
        <w:fldChar w:fldCharType="separate"/>
      </w:r>
      <w:r>
        <w:rPr>
          <w:rFonts w:ascii="Times New Roman" w:hAnsi="Times New Roman" w:eastAsia="楷体_GB2312" w:cs="Times New Roman"/>
          <w:color w:val="0000FF"/>
          <w:sz w:val="28"/>
          <w:u w:val="single"/>
          <w:lang w:val="en-US" w:eastAsia="zh-CN"/>
        </w:rPr>
        <w:t>第一节 指导思想</w:t>
      </w:r>
      <w:r>
        <w:rPr>
          <w:rFonts w:ascii="Times New Roman" w:hAnsi="Times New Roman" w:eastAsia="宋体" w:cs="Times New Roman"/>
          <w:sz w:val="28"/>
          <w:szCs w:val="28"/>
          <w:lang w:val="en-US" w:eastAsia="zh-CN"/>
        </w:rPr>
        <w:tab/>
      </w:r>
      <w:r>
        <w:rPr>
          <w:rFonts w:ascii="Times New Roman" w:hAnsi="Times New Roman" w:eastAsia="宋体" w:cs="Times New Roman"/>
          <w:sz w:val="28"/>
          <w:szCs w:val="28"/>
          <w:lang w:val="en-US" w:eastAsia="zh-CN"/>
        </w:rPr>
        <w:fldChar w:fldCharType="begin"/>
      </w:r>
      <w:r>
        <w:rPr>
          <w:rFonts w:ascii="Times New Roman" w:hAnsi="Times New Roman" w:eastAsia="宋体" w:cs="Times New Roman"/>
          <w:sz w:val="28"/>
          <w:szCs w:val="28"/>
          <w:lang w:val="en-US" w:eastAsia="zh-CN"/>
        </w:rPr>
        <w:instrText xml:space="preserve"> PAGEREF _Toc94308404 \h </w:instrText>
      </w:r>
      <w:r>
        <w:rPr>
          <w:rFonts w:ascii="Times New Roman" w:hAnsi="Times New Roman" w:eastAsia="宋体" w:cs="Times New Roman"/>
          <w:sz w:val="28"/>
          <w:szCs w:val="28"/>
          <w:lang w:val="en-US" w:eastAsia="zh-CN"/>
        </w:rPr>
        <w:fldChar w:fldCharType="separate"/>
      </w:r>
      <w:r>
        <w:rPr>
          <w:rFonts w:ascii="Times New Roman" w:hAnsi="Times New Roman" w:eastAsia="宋体" w:cs="Times New Roman"/>
          <w:sz w:val="28"/>
          <w:szCs w:val="28"/>
          <w:lang w:val="en-US" w:eastAsia="zh-CN"/>
        </w:rPr>
        <w:t>7</w:t>
      </w:r>
      <w:r>
        <w:rPr>
          <w:rFonts w:ascii="Times New Roman" w:hAnsi="Times New Roman" w:eastAsia="宋体" w:cs="Times New Roman"/>
          <w:sz w:val="28"/>
          <w:szCs w:val="28"/>
          <w:lang w:val="en-US" w:eastAsia="zh-CN"/>
        </w:rPr>
        <w:fldChar w:fldCharType="end"/>
      </w:r>
      <w:r>
        <w:rPr>
          <w:rFonts w:ascii="Times New Roman" w:hAnsi="Times New Roman" w:eastAsia="宋体" w:cs="Times New Roman"/>
          <w:sz w:val="28"/>
          <w:szCs w:val="28"/>
          <w:lang w:val="en-US" w:eastAsia="zh-CN"/>
        </w:rPr>
        <w:fldChar w:fldCharType="end"/>
      </w:r>
    </w:p>
    <w:p>
      <w:pPr>
        <w:tabs>
          <w:tab w:val="right" w:leader="dot" w:pos="8834"/>
        </w:tabs>
        <w:rPr>
          <w:rFonts w:ascii="Times New Roman" w:hAnsi="Times New Roman" w:eastAsia="等线" w:cs="Times New Roman"/>
          <w:sz w:val="28"/>
          <w:szCs w:val="28"/>
          <w:lang w:val="en-US" w:eastAsia="zh-CN"/>
        </w:rPr>
      </w:pPr>
      <w:r>
        <w:fldChar w:fldCharType="begin"/>
      </w:r>
      <w:r>
        <w:instrText xml:space="preserve"> HYPERLINK \l "_Toc94308405" </w:instrText>
      </w:r>
      <w:r>
        <w:fldChar w:fldCharType="separate"/>
      </w:r>
      <w:r>
        <w:rPr>
          <w:rFonts w:ascii="Times New Roman" w:hAnsi="Times New Roman" w:eastAsia="楷体_GB2312" w:cs="Times New Roman"/>
          <w:color w:val="0000FF"/>
          <w:sz w:val="28"/>
          <w:u w:val="single"/>
          <w:lang w:val="en-US" w:eastAsia="zh-CN"/>
        </w:rPr>
        <w:t>第二节 基本原则</w:t>
      </w:r>
      <w:r>
        <w:rPr>
          <w:rFonts w:ascii="Times New Roman" w:hAnsi="Times New Roman" w:eastAsia="宋体" w:cs="Times New Roman"/>
          <w:sz w:val="28"/>
          <w:szCs w:val="28"/>
          <w:lang w:val="en-US" w:eastAsia="zh-CN"/>
        </w:rPr>
        <w:tab/>
      </w:r>
      <w:r>
        <w:rPr>
          <w:rFonts w:ascii="Times New Roman" w:hAnsi="Times New Roman" w:eastAsia="宋体" w:cs="Times New Roman"/>
          <w:sz w:val="28"/>
          <w:szCs w:val="28"/>
          <w:lang w:val="en-US" w:eastAsia="zh-CN"/>
        </w:rPr>
        <w:fldChar w:fldCharType="begin"/>
      </w:r>
      <w:r>
        <w:rPr>
          <w:rFonts w:ascii="Times New Roman" w:hAnsi="Times New Roman" w:eastAsia="宋体" w:cs="Times New Roman"/>
          <w:sz w:val="28"/>
          <w:szCs w:val="28"/>
          <w:lang w:val="en-US" w:eastAsia="zh-CN"/>
        </w:rPr>
        <w:instrText xml:space="preserve"> PAGEREF _Toc94308405 \h </w:instrText>
      </w:r>
      <w:r>
        <w:rPr>
          <w:rFonts w:ascii="Times New Roman" w:hAnsi="Times New Roman" w:eastAsia="宋体" w:cs="Times New Roman"/>
          <w:sz w:val="28"/>
          <w:szCs w:val="28"/>
          <w:lang w:val="en-US" w:eastAsia="zh-CN"/>
        </w:rPr>
        <w:fldChar w:fldCharType="separate"/>
      </w:r>
      <w:r>
        <w:rPr>
          <w:rFonts w:ascii="Times New Roman" w:hAnsi="Times New Roman" w:eastAsia="宋体" w:cs="Times New Roman"/>
          <w:sz w:val="28"/>
          <w:szCs w:val="28"/>
          <w:lang w:val="en-US" w:eastAsia="zh-CN"/>
        </w:rPr>
        <w:t>7</w:t>
      </w:r>
      <w:r>
        <w:rPr>
          <w:rFonts w:ascii="Times New Roman" w:hAnsi="Times New Roman" w:eastAsia="宋体" w:cs="Times New Roman"/>
          <w:sz w:val="28"/>
          <w:szCs w:val="28"/>
          <w:lang w:val="en-US" w:eastAsia="zh-CN"/>
        </w:rPr>
        <w:fldChar w:fldCharType="end"/>
      </w:r>
      <w:r>
        <w:rPr>
          <w:rFonts w:ascii="Times New Roman" w:hAnsi="Times New Roman" w:eastAsia="宋体" w:cs="Times New Roman"/>
          <w:sz w:val="28"/>
          <w:szCs w:val="28"/>
          <w:lang w:val="en-US" w:eastAsia="zh-CN"/>
        </w:rPr>
        <w:fldChar w:fldCharType="end"/>
      </w:r>
    </w:p>
    <w:p>
      <w:pPr>
        <w:tabs>
          <w:tab w:val="right" w:leader="dot" w:pos="8834"/>
        </w:tabs>
        <w:rPr>
          <w:rFonts w:ascii="Times New Roman" w:hAnsi="Times New Roman" w:eastAsia="等线" w:cs="Times New Roman"/>
          <w:sz w:val="28"/>
          <w:szCs w:val="28"/>
          <w:lang w:val="en-US" w:eastAsia="zh-CN"/>
        </w:rPr>
      </w:pPr>
      <w:r>
        <w:fldChar w:fldCharType="begin"/>
      </w:r>
      <w:r>
        <w:instrText xml:space="preserve"> HYPERLINK \l "_Toc94308406" </w:instrText>
      </w:r>
      <w:r>
        <w:fldChar w:fldCharType="separate"/>
      </w:r>
      <w:r>
        <w:rPr>
          <w:rFonts w:ascii="Times New Roman" w:hAnsi="Times New Roman" w:eastAsia="楷体_GB2312" w:cs="Times New Roman"/>
          <w:color w:val="0000FF"/>
          <w:sz w:val="28"/>
          <w:u w:val="single"/>
          <w:lang w:val="en-US" w:eastAsia="zh-CN"/>
        </w:rPr>
        <w:t>第三节 发展目标</w:t>
      </w:r>
      <w:r>
        <w:rPr>
          <w:rFonts w:ascii="Times New Roman" w:hAnsi="Times New Roman" w:eastAsia="宋体" w:cs="Times New Roman"/>
          <w:sz w:val="28"/>
          <w:szCs w:val="28"/>
          <w:lang w:val="en-US" w:eastAsia="zh-CN"/>
        </w:rPr>
        <w:tab/>
      </w:r>
      <w:r>
        <w:rPr>
          <w:rFonts w:ascii="Times New Roman" w:hAnsi="Times New Roman" w:eastAsia="宋体" w:cs="Times New Roman"/>
          <w:sz w:val="28"/>
          <w:szCs w:val="28"/>
          <w:lang w:val="en-US" w:eastAsia="zh-CN"/>
        </w:rPr>
        <w:fldChar w:fldCharType="begin"/>
      </w:r>
      <w:r>
        <w:rPr>
          <w:rFonts w:ascii="Times New Roman" w:hAnsi="Times New Roman" w:eastAsia="宋体" w:cs="Times New Roman"/>
          <w:sz w:val="28"/>
          <w:szCs w:val="28"/>
          <w:lang w:val="en-US" w:eastAsia="zh-CN"/>
        </w:rPr>
        <w:instrText xml:space="preserve"> PAGEREF _Toc94308406 \h </w:instrText>
      </w:r>
      <w:r>
        <w:rPr>
          <w:rFonts w:ascii="Times New Roman" w:hAnsi="Times New Roman" w:eastAsia="宋体" w:cs="Times New Roman"/>
          <w:sz w:val="28"/>
          <w:szCs w:val="28"/>
          <w:lang w:val="en-US" w:eastAsia="zh-CN"/>
        </w:rPr>
        <w:fldChar w:fldCharType="separate"/>
      </w:r>
      <w:r>
        <w:rPr>
          <w:rFonts w:ascii="Times New Roman" w:hAnsi="Times New Roman" w:eastAsia="宋体" w:cs="Times New Roman"/>
          <w:sz w:val="28"/>
          <w:szCs w:val="28"/>
          <w:lang w:val="en-US" w:eastAsia="zh-CN"/>
        </w:rPr>
        <w:t>8</w:t>
      </w:r>
      <w:r>
        <w:rPr>
          <w:rFonts w:ascii="Times New Roman" w:hAnsi="Times New Roman" w:eastAsia="宋体" w:cs="Times New Roman"/>
          <w:sz w:val="28"/>
          <w:szCs w:val="28"/>
          <w:lang w:val="en-US" w:eastAsia="zh-CN"/>
        </w:rPr>
        <w:fldChar w:fldCharType="end"/>
      </w:r>
      <w:r>
        <w:rPr>
          <w:rFonts w:ascii="Times New Roman" w:hAnsi="Times New Roman" w:eastAsia="宋体" w:cs="Times New Roman"/>
          <w:sz w:val="28"/>
          <w:szCs w:val="28"/>
          <w:lang w:val="en-US" w:eastAsia="zh-CN"/>
        </w:rPr>
        <w:fldChar w:fldCharType="end"/>
      </w:r>
    </w:p>
    <w:p>
      <w:pPr>
        <w:tabs>
          <w:tab w:val="right" w:leader="dot" w:pos="8834"/>
        </w:tabs>
        <w:rPr>
          <w:rFonts w:ascii="Times New Roman" w:hAnsi="Times New Roman" w:eastAsia="等线" w:cs="Times New Roman"/>
          <w:sz w:val="28"/>
          <w:szCs w:val="28"/>
          <w:lang w:val="en-US" w:eastAsia="zh-CN"/>
        </w:rPr>
      </w:pPr>
      <w:r>
        <w:fldChar w:fldCharType="begin"/>
      </w:r>
      <w:r>
        <w:instrText xml:space="preserve"> HYPERLINK \l "_Toc94308407" </w:instrText>
      </w:r>
      <w:r>
        <w:fldChar w:fldCharType="separate"/>
      </w:r>
      <w:r>
        <w:rPr>
          <w:rFonts w:ascii="Times New Roman" w:hAnsi="Times New Roman" w:eastAsia="黑体" w:cs="Times New Roman"/>
          <w:color w:val="0000FF"/>
          <w:sz w:val="28"/>
          <w:u w:val="single"/>
          <w:lang w:val="en-US" w:eastAsia="zh-CN"/>
        </w:rPr>
        <w:t>第三章 提升数字化治理能力，构建数字政府新模式</w:t>
      </w:r>
      <w:r>
        <w:rPr>
          <w:rFonts w:ascii="Times New Roman" w:hAnsi="Times New Roman" w:eastAsia="宋体" w:cs="Times New Roman"/>
          <w:sz w:val="28"/>
          <w:szCs w:val="28"/>
          <w:lang w:val="en-US" w:eastAsia="zh-CN"/>
        </w:rPr>
        <w:tab/>
      </w:r>
      <w:r>
        <w:rPr>
          <w:rFonts w:ascii="Times New Roman" w:hAnsi="Times New Roman" w:eastAsia="宋体" w:cs="Times New Roman"/>
          <w:sz w:val="28"/>
          <w:szCs w:val="28"/>
          <w:lang w:val="en-US" w:eastAsia="zh-CN"/>
        </w:rPr>
        <w:fldChar w:fldCharType="begin"/>
      </w:r>
      <w:r>
        <w:rPr>
          <w:rFonts w:ascii="Times New Roman" w:hAnsi="Times New Roman" w:eastAsia="宋体" w:cs="Times New Roman"/>
          <w:sz w:val="28"/>
          <w:szCs w:val="28"/>
          <w:lang w:val="en-US" w:eastAsia="zh-CN"/>
        </w:rPr>
        <w:instrText xml:space="preserve"> PAGEREF _Toc94308407 \h </w:instrText>
      </w:r>
      <w:r>
        <w:rPr>
          <w:rFonts w:ascii="Times New Roman" w:hAnsi="Times New Roman" w:eastAsia="宋体" w:cs="Times New Roman"/>
          <w:sz w:val="28"/>
          <w:szCs w:val="28"/>
          <w:lang w:val="en-US" w:eastAsia="zh-CN"/>
        </w:rPr>
        <w:fldChar w:fldCharType="separate"/>
      </w:r>
      <w:r>
        <w:rPr>
          <w:rFonts w:ascii="Times New Roman" w:hAnsi="Times New Roman" w:eastAsia="宋体" w:cs="Times New Roman"/>
          <w:sz w:val="28"/>
          <w:szCs w:val="28"/>
          <w:lang w:val="en-US" w:eastAsia="zh-CN"/>
        </w:rPr>
        <w:t>11</w:t>
      </w:r>
      <w:r>
        <w:rPr>
          <w:rFonts w:ascii="Times New Roman" w:hAnsi="Times New Roman" w:eastAsia="宋体" w:cs="Times New Roman"/>
          <w:sz w:val="28"/>
          <w:szCs w:val="28"/>
          <w:lang w:val="en-US" w:eastAsia="zh-CN"/>
        </w:rPr>
        <w:fldChar w:fldCharType="end"/>
      </w:r>
      <w:r>
        <w:rPr>
          <w:rFonts w:ascii="Times New Roman" w:hAnsi="Times New Roman" w:eastAsia="宋体" w:cs="Times New Roman"/>
          <w:sz w:val="28"/>
          <w:szCs w:val="28"/>
          <w:lang w:val="en-US" w:eastAsia="zh-CN"/>
        </w:rPr>
        <w:fldChar w:fldCharType="end"/>
      </w:r>
    </w:p>
    <w:p>
      <w:pPr>
        <w:tabs>
          <w:tab w:val="right" w:leader="dot" w:pos="8834"/>
        </w:tabs>
        <w:rPr>
          <w:rFonts w:ascii="Times New Roman" w:hAnsi="Times New Roman" w:eastAsia="等线" w:cs="Times New Roman"/>
          <w:sz w:val="28"/>
          <w:szCs w:val="28"/>
          <w:lang w:val="en-US" w:eastAsia="zh-CN"/>
        </w:rPr>
      </w:pPr>
      <w:r>
        <w:fldChar w:fldCharType="begin"/>
      </w:r>
      <w:r>
        <w:instrText xml:space="preserve"> HYPERLINK \l "_Toc94308408" </w:instrText>
      </w:r>
      <w:r>
        <w:fldChar w:fldCharType="separate"/>
      </w:r>
      <w:r>
        <w:rPr>
          <w:rFonts w:ascii="Times New Roman" w:hAnsi="Times New Roman" w:eastAsia="楷体_GB2312" w:cs="Times New Roman"/>
          <w:color w:val="0000FF"/>
          <w:sz w:val="28"/>
          <w:u w:val="single"/>
          <w:lang w:val="en-US" w:eastAsia="zh-CN"/>
        </w:rPr>
        <w:t>第一节 夯实数字政府基础支撑能力</w:t>
      </w:r>
      <w:r>
        <w:rPr>
          <w:rFonts w:ascii="Times New Roman" w:hAnsi="Times New Roman" w:eastAsia="宋体" w:cs="Times New Roman"/>
          <w:sz w:val="28"/>
          <w:szCs w:val="28"/>
          <w:lang w:val="en-US" w:eastAsia="zh-CN"/>
        </w:rPr>
        <w:tab/>
      </w:r>
      <w:r>
        <w:rPr>
          <w:rFonts w:ascii="Times New Roman" w:hAnsi="Times New Roman" w:eastAsia="宋体" w:cs="Times New Roman"/>
          <w:sz w:val="28"/>
          <w:szCs w:val="28"/>
          <w:lang w:val="en-US" w:eastAsia="zh-CN"/>
        </w:rPr>
        <w:fldChar w:fldCharType="begin"/>
      </w:r>
      <w:r>
        <w:rPr>
          <w:rFonts w:ascii="Times New Roman" w:hAnsi="Times New Roman" w:eastAsia="宋体" w:cs="Times New Roman"/>
          <w:sz w:val="28"/>
          <w:szCs w:val="28"/>
          <w:lang w:val="en-US" w:eastAsia="zh-CN"/>
        </w:rPr>
        <w:instrText xml:space="preserve"> PAGEREF _Toc94308408 \h </w:instrText>
      </w:r>
      <w:r>
        <w:rPr>
          <w:rFonts w:ascii="Times New Roman" w:hAnsi="Times New Roman" w:eastAsia="宋体" w:cs="Times New Roman"/>
          <w:sz w:val="28"/>
          <w:szCs w:val="28"/>
          <w:lang w:val="en-US" w:eastAsia="zh-CN"/>
        </w:rPr>
        <w:fldChar w:fldCharType="separate"/>
      </w:r>
      <w:r>
        <w:rPr>
          <w:rFonts w:ascii="Times New Roman" w:hAnsi="Times New Roman" w:eastAsia="宋体" w:cs="Times New Roman"/>
          <w:sz w:val="28"/>
          <w:szCs w:val="28"/>
          <w:lang w:val="en-US" w:eastAsia="zh-CN"/>
        </w:rPr>
        <w:t>11</w:t>
      </w:r>
      <w:r>
        <w:rPr>
          <w:rFonts w:ascii="Times New Roman" w:hAnsi="Times New Roman" w:eastAsia="宋体" w:cs="Times New Roman"/>
          <w:sz w:val="28"/>
          <w:szCs w:val="28"/>
          <w:lang w:val="en-US" w:eastAsia="zh-CN"/>
        </w:rPr>
        <w:fldChar w:fldCharType="end"/>
      </w:r>
      <w:r>
        <w:rPr>
          <w:rFonts w:ascii="Times New Roman" w:hAnsi="Times New Roman" w:eastAsia="宋体" w:cs="Times New Roman"/>
          <w:sz w:val="28"/>
          <w:szCs w:val="28"/>
          <w:lang w:val="en-US" w:eastAsia="zh-CN"/>
        </w:rPr>
        <w:fldChar w:fldCharType="end"/>
      </w:r>
    </w:p>
    <w:p>
      <w:pPr>
        <w:tabs>
          <w:tab w:val="right" w:leader="dot" w:pos="8834"/>
        </w:tabs>
        <w:rPr>
          <w:rFonts w:ascii="Times New Roman" w:hAnsi="Times New Roman" w:eastAsia="等线" w:cs="Times New Roman"/>
          <w:sz w:val="28"/>
          <w:szCs w:val="28"/>
          <w:lang w:val="en-US" w:eastAsia="zh-CN"/>
        </w:rPr>
      </w:pPr>
      <w:r>
        <w:fldChar w:fldCharType="begin"/>
      </w:r>
      <w:r>
        <w:instrText xml:space="preserve"> HYPERLINK \l "_Toc94308409" </w:instrText>
      </w:r>
      <w:r>
        <w:fldChar w:fldCharType="separate"/>
      </w:r>
      <w:r>
        <w:rPr>
          <w:rFonts w:ascii="Times New Roman" w:hAnsi="Times New Roman" w:eastAsia="楷体_GB2312" w:cs="Times New Roman"/>
          <w:color w:val="0000FF"/>
          <w:sz w:val="28"/>
          <w:u w:val="single"/>
          <w:lang w:val="en-US" w:eastAsia="zh-CN"/>
        </w:rPr>
        <w:t>第二节 增强数字政府政务服务效能</w:t>
      </w:r>
      <w:r>
        <w:rPr>
          <w:rFonts w:ascii="Times New Roman" w:hAnsi="Times New Roman" w:eastAsia="宋体" w:cs="Times New Roman"/>
          <w:sz w:val="28"/>
          <w:szCs w:val="28"/>
          <w:lang w:val="en-US" w:eastAsia="zh-CN"/>
        </w:rPr>
        <w:tab/>
      </w:r>
      <w:r>
        <w:rPr>
          <w:rFonts w:ascii="Times New Roman" w:hAnsi="Times New Roman" w:eastAsia="宋体" w:cs="Times New Roman"/>
          <w:sz w:val="28"/>
          <w:szCs w:val="28"/>
          <w:lang w:val="en-US" w:eastAsia="zh-CN"/>
        </w:rPr>
        <w:fldChar w:fldCharType="begin"/>
      </w:r>
      <w:r>
        <w:rPr>
          <w:rFonts w:ascii="Times New Roman" w:hAnsi="Times New Roman" w:eastAsia="宋体" w:cs="Times New Roman"/>
          <w:sz w:val="28"/>
          <w:szCs w:val="28"/>
          <w:lang w:val="en-US" w:eastAsia="zh-CN"/>
        </w:rPr>
        <w:instrText xml:space="preserve"> PAGEREF _Toc94308409 \h </w:instrText>
      </w:r>
      <w:r>
        <w:rPr>
          <w:rFonts w:ascii="Times New Roman" w:hAnsi="Times New Roman" w:eastAsia="宋体" w:cs="Times New Roman"/>
          <w:sz w:val="28"/>
          <w:szCs w:val="28"/>
          <w:lang w:val="en-US" w:eastAsia="zh-CN"/>
        </w:rPr>
        <w:fldChar w:fldCharType="separate"/>
      </w:r>
      <w:r>
        <w:rPr>
          <w:rFonts w:ascii="Times New Roman" w:hAnsi="Times New Roman" w:eastAsia="宋体" w:cs="Times New Roman"/>
          <w:sz w:val="28"/>
          <w:szCs w:val="28"/>
          <w:lang w:val="en-US" w:eastAsia="zh-CN"/>
        </w:rPr>
        <w:t>13</w:t>
      </w:r>
      <w:r>
        <w:rPr>
          <w:rFonts w:ascii="Times New Roman" w:hAnsi="Times New Roman" w:eastAsia="宋体" w:cs="Times New Roman"/>
          <w:sz w:val="28"/>
          <w:szCs w:val="28"/>
          <w:lang w:val="en-US" w:eastAsia="zh-CN"/>
        </w:rPr>
        <w:fldChar w:fldCharType="end"/>
      </w:r>
      <w:r>
        <w:rPr>
          <w:rFonts w:ascii="Times New Roman" w:hAnsi="Times New Roman" w:eastAsia="宋体" w:cs="Times New Roman"/>
          <w:sz w:val="28"/>
          <w:szCs w:val="28"/>
          <w:lang w:val="en-US" w:eastAsia="zh-CN"/>
        </w:rPr>
        <w:fldChar w:fldCharType="end"/>
      </w:r>
    </w:p>
    <w:p>
      <w:pPr>
        <w:tabs>
          <w:tab w:val="right" w:leader="dot" w:pos="8834"/>
        </w:tabs>
        <w:rPr>
          <w:rFonts w:ascii="Times New Roman" w:hAnsi="Times New Roman" w:eastAsia="等线" w:cs="Times New Roman"/>
          <w:sz w:val="28"/>
          <w:szCs w:val="28"/>
          <w:lang w:val="en-US" w:eastAsia="zh-CN"/>
        </w:rPr>
      </w:pPr>
      <w:r>
        <w:fldChar w:fldCharType="begin"/>
      </w:r>
      <w:r>
        <w:instrText xml:space="preserve"> HYPERLINK \l "_Toc94308410" </w:instrText>
      </w:r>
      <w:r>
        <w:fldChar w:fldCharType="separate"/>
      </w:r>
      <w:r>
        <w:rPr>
          <w:rFonts w:ascii="Times New Roman" w:hAnsi="Times New Roman" w:eastAsia="楷体_GB2312" w:cs="Times New Roman"/>
          <w:color w:val="0000FF"/>
          <w:sz w:val="28"/>
          <w:u w:val="single"/>
          <w:lang w:val="en-US" w:eastAsia="zh-CN"/>
        </w:rPr>
        <w:t>第三节 提升数字政府精准治理能力</w:t>
      </w:r>
      <w:r>
        <w:rPr>
          <w:rFonts w:ascii="Times New Roman" w:hAnsi="Times New Roman" w:eastAsia="宋体" w:cs="Times New Roman"/>
          <w:sz w:val="28"/>
          <w:szCs w:val="28"/>
          <w:lang w:val="en-US" w:eastAsia="zh-CN"/>
        </w:rPr>
        <w:tab/>
      </w:r>
      <w:r>
        <w:rPr>
          <w:rFonts w:ascii="Times New Roman" w:hAnsi="Times New Roman" w:eastAsia="宋体" w:cs="Times New Roman"/>
          <w:sz w:val="28"/>
          <w:szCs w:val="28"/>
          <w:lang w:val="en-US" w:eastAsia="zh-CN"/>
        </w:rPr>
        <w:fldChar w:fldCharType="begin"/>
      </w:r>
      <w:r>
        <w:rPr>
          <w:rFonts w:ascii="Times New Roman" w:hAnsi="Times New Roman" w:eastAsia="宋体" w:cs="Times New Roman"/>
          <w:sz w:val="28"/>
          <w:szCs w:val="28"/>
          <w:lang w:val="en-US" w:eastAsia="zh-CN"/>
        </w:rPr>
        <w:instrText xml:space="preserve"> PAGEREF _Toc94308410 \h </w:instrText>
      </w:r>
      <w:r>
        <w:rPr>
          <w:rFonts w:ascii="Times New Roman" w:hAnsi="Times New Roman" w:eastAsia="宋体" w:cs="Times New Roman"/>
          <w:sz w:val="28"/>
          <w:szCs w:val="28"/>
          <w:lang w:val="en-US" w:eastAsia="zh-CN"/>
        </w:rPr>
        <w:fldChar w:fldCharType="separate"/>
      </w:r>
      <w:r>
        <w:rPr>
          <w:rFonts w:ascii="Times New Roman" w:hAnsi="Times New Roman" w:eastAsia="宋体" w:cs="Times New Roman"/>
          <w:sz w:val="28"/>
          <w:szCs w:val="28"/>
          <w:lang w:val="en-US" w:eastAsia="zh-CN"/>
        </w:rPr>
        <w:t>17</w:t>
      </w:r>
      <w:r>
        <w:rPr>
          <w:rFonts w:ascii="Times New Roman" w:hAnsi="Times New Roman" w:eastAsia="宋体" w:cs="Times New Roman"/>
          <w:sz w:val="28"/>
          <w:szCs w:val="28"/>
          <w:lang w:val="en-US" w:eastAsia="zh-CN"/>
        </w:rPr>
        <w:fldChar w:fldCharType="end"/>
      </w:r>
      <w:r>
        <w:rPr>
          <w:rFonts w:ascii="Times New Roman" w:hAnsi="Times New Roman" w:eastAsia="宋体" w:cs="Times New Roman"/>
          <w:sz w:val="28"/>
          <w:szCs w:val="28"/>
          <w:lang w:val="en-US" w:eastAsia="zh-CN"/>
        </w:rPr>
        <w:fldChar w:fldCharType="end"/>
      </w:r>
    </w:p>
    <w:p>
      <w:pPr>
        <w:tabs>
          <w:tab w:val="right" w:leader="dot" w:pos="8834"/>
        </w:tabs>
        <w:rPr>
          <w:rFonts w:ascii="Times New Roman" w:hAnsi="Times New Roman" w:eastAsia="等线" w:cs="Times New Roman"/>
          <w:sz w:val="28"/>
          <w:szCs w:val="28"/>
          <w:lang w:val="en-US" w:eastAsia="zh-CN"/>
        </w:rPr>
      </w:pPr>
      <w:r>
        <w:fldChar w:fldCharType="begin"/>
      </w:r>
      <w:r>
        <w:instrText xml:space="preserve"> HYPERLINK \l "_Toc94308411" </w:instrText>
      </w:r>
      <w:r>
        <w:fldChar w:fldCharType="separate"/>
      </w:r>
      <w:r>
        <w:rPr>
          <w:rFonts w:ascii="Times New Roman" w:hAnsi="Times New Roman" w:eastAsia="黑体" w:cs="Times New Roman"/>
          <w:color w:val="0000FF"/>
          <w:sz w:val="28"/>
          <w:u w:val="single"/>
          <w:lang w:val="en-US" w:eastAsia="zh-CN"/>
        </w:rPr>
        <w:t>第四章 推进新经济融合创新，打造数字经济新优势</w:t>
      </w:r>
      <w:r>
        <w:rPr>
          <w:rFonts w:ascii="Times New Roman" w:hAnsi="Times New Roman" w:eastAsia="宋体" w:cs="Times New Roman"/>
          <w:sz w:val="28"/>
          <w:szCs w:val="28"/>
          <w:lang w:val="en-US" w:eastAsia="zh-CN"/>
        </w:rPr>
        <w:tab/>
      </w:r>
      <w:r>
        <w:rPr>
          <w:rFonts w:ascii="Times New Roman" w:hAnsi="Times New Roman" w:eastAsia="宋体" w:cs="Times New Roman"/>
          <w:sz w:val="28"/>
          <w:szCs w:val="28"/>
          <w:lang w:val="en-US" w:eastAsia="zh-CN"/>
        </w:rPr>
        <w:fldChar w:fldCharType="begin"/>
      </w:r>
      <w:r>
        <w:rPr>
          <w:rFonts w:ascii="Times New Roman" w:hAnsi="Times New Roman" w:eastAsia="宋体" w:cs="Times New Roman"/>
          <w:sz w:val="28"/>
          <w:szCs w:val="28"/>
          <w:lang w:val="en-US" w:eastAsia="zh-CN"/>
        </w:rPr>
        <w:instrText xml:space="preserve"> PAGEREF _Toc94308411 \h </w:instrText>
      </w:r>
      <w:r>
        <w:rPr>
          <w:rFonts w:ascii="Times New Roman" w:hAnsi="Times New Roman" w:eastAsia="宋体" w:cs="Times New Roman"/>
          <w:sz w:val="28"/>
          <w:szCs w:val="28"/>
          <w:lang w:val="en-US" w:eastAsia="zh-CN"/>
        </w:rPr>
        <w:fldChar w:fldCharType="separate"/>
      </w:r>
      <w:r>
        <w:rPr>
          <w:rFonts w:ascii="Times New Roman" w:hAnsi="Times New Roman" w:eastAsia="宋体" w:cs="Times New Roman"/>
          <w:sz w:val="28"/>
          <w:szCs w:val="28"/>
          <w:lang w:val="en-US" w:eastAsia="zh-CN"/>
        </w:rPr>
        <w:t>22</w:t>
      </w:r>
      <w:r>
        <w:rPr>
          <w:rFonts w:ascii="Times New Roman" w:hAnsi="Times New Roman" w:eastAsia="宋体" w:cs="Times New Roman"/>
          <w:sz w:val="28"/>
          <w:szCs w:val="28"/>
          <w:lang w:val="en-US" w:eastAsia="zh-CN"/>
        </w:rPr>
        <w:fldChar w:fldCharType="end"/>
      </w:r>
      <w:r>
        <w:rPr>
          <w:rFonts w:ascii="Times New Roman" w:hAnsi="Times New Roman" w:eastAsia="宋体" w:cs="Times New Roman"/>
          <w:sz w:val="28"/>
          <w:szCs w:val="28"/>
          <w:lang w:val="en-US" w:eastAsia="zh-CN"/>
        </w:rPr>
        <w:fldChar w:fldCharType="end"/>
      </w:r>
    </w:p>
    <w:p>
      <w:pPr>
        <w:tabs>
          <w:tab w:val="right" w:leader="dot" w:pos="8834"/>
        </w:tabs>
        <w:rPr>
          <w:rFonts w:ascii="Times New Roman" w:hAnsi="Times New Roman" w:eastAsia="等线" w:cs="Times New Roman"/>
          <w:sz w:val="28"/>
          <w:szCs w:val="28"/>
          <w:lang w:val="en-US" w:eastAsia="zh-CN"/>
        </w:rPr>
      </w:pPr>
      <w:r>
        <w:fldChar w:fldCharType="begin"/>
      </w:r>
      <w:r>
        <w:instrText xml:space="preserve"> HYPERLINK \l "_Toc94308412" </w:instrText>
      </w:r>
      <w:r>
        <w:fldChar w:fldCharType="separate"/>
      </w:r>
      <w:r>
        <w:rPr>
          <w:rFonts w:ascii="Times New Roman" w:hAnsi="Times New Roman" w:eastAsia="楷体_GB2312" w:cs="Times New Roman"/>
          <w:color w:val="0000FF"/>
          <w:sz w:val="28"/>
          <w:u w:val="single"/>
          <w:lang w:val="en-US" w:eastAsia="zh-CN"/>
        </w:rPr>
        <w:t>第一节 加快推进数字产业化，发展数字经济新产业</w:t>
      </w:r>
      <w:r>
        <w:rPr>
          <w:rFonts w:ascii="Times New Roman" w:hAnsi="Times New Roman" w:eastAsia="宋体" w:cs="Times New Roman"/>
          <w:sz w:val="28"/>
          <w:szCs w:val="28"/>
          <w:lang w:val="en-US" w:eastAsia="zh-CN"/>
        </w:rPr>
        <w:tab/>
      </w:r>
      <w:r>
        <w:rPr>
          <w:rFonts w:ascii="Times New Roman" w:hAnsi="Times New Roman" w:eastAsia="宋体" w:cs="Times New Roman"/>
          <w:sz w:val="28"/>
          <w:szCs w:val="28"/>
          <w:lang w:val="en-US" w:eastAsia="zh-CN"/>
        </w:rPr>
        <w:fldChar w:fldCharType="begin"/>
      </w:r>
      <w:r>
        <w:rPr>
          <w:rFonts w:ascii="Times New Roman" w:hAnsi="Times New Roman" w:eastAsia="宋体" w:cs="Times New Roman"/>
          <w:sz w:val="28"/>
          <w:szCs w:val="28"/>
          <w:lang w:val="en-US" w:eastAsia="zh-CN"/>
        </w:rPr>
        <w:instrText xml:space="preserve"> PAGEREF _Toc94308412 \h </w:instrText>
      </w:r>
      <w:r>
        <w:rPr>
          <w:rFonts w:ascii="Times New Roman" w:hAnsi="Times New Roman" w:eastAsia="宋体" w:cs="Times New Roman"/>
          <w:sz w:val="28"/>
          <w:szCs w:val="28"/>
          <w:lang w:val="en-US" w:eastAsia="zh-CN"/>
        </w:rPr>
        <w:fldChar w:fldCharType="separate"/>
      </w:r>
      <w:r>
        <w:rPr>
          <w:rFonts w:ascii="Times New Roman" w:hAnsi="Times New Roman" w:eastAsia="宋体" w:cs="Times New Roman"/>
          <w:sz w:val="28"/>
          <w:szCs w:val="28"/>
          <w:lang w:val="en-US" w:eastAsia="zh-CN"/>
        </w:rPr>
        <w:t>22</w:t>
      </w:r>
      <w:r>
        <w:rPr>
          <w:rFonts w:ascii="Times New Roman" w:hAnsi="Times New Roman" w:eastAsia="宋体" w:cs="Times New Roman"/>
          <w:sz w:val="28"/>
          <w:szCs w:val="28"/>
          <w:lang w:val="en-US" w:eastAsia="zh-CN"/>
        </w:rPr>
        <w:fldChar w:fldCharType="end"/>
      </w:r>
      <w:r>
        <w:rPr>
          <w:rFonts w:ascii="Times New Roman" w:hAnsi="Times New Roman" w:eastAsia="宋体" w:cs="Times New Roman"/>
          <w:sz w:val="28"/>
          <w:szCs w:val="28"/>
          <w:lang w:val="en-US" w:eastAsia="zh-CN"/>
        </w:rPr>
        <w:fldChar w:fldCharType="end"/>
      </w:r>
    </w:p>
    <w:p>
      <w:pPr>
        <w:tabs>
          <w:tab w:val="right" w:leader="dot" w:pos="8834"/>
        </w:tabs>
        <w:rPr>
          <w:rFonts w:hint="eastAsia" w:ascii="Times New Roman" w:hAnsi="Times New Roman" w:eastAsia="宋体" w:cs="Times New Roman"/>
          <w:sz w:val="28"/>
          <w:szCs w:val="28"/>
          <w:lang w:val="en-US"/>
        </w:rPr>
      </w:pPr>
      <w:r>
        <w:fldChar w:fldCharType="begin"/>
      </w:r>
      <w:r>
        <w:instrText xml:space="preserve"> HYPERLINK \l "_Toc94308413" </w:instrText>
      </w:r>
      <w:r>
        <w:fldChar w:fldCharType="separate"/>
      </w:r>
      <w:r>
        <w:rPr>
          <w:rFonts w:ascii="Times New Roman" w:hAnsi="Times New Roman" w:eastAsia="楷体_GB2312" w:cs="Times New Roman"/>
          <w:color w:val="0000FF"/>
          <w:sz w:val="28"/>
          <w:u w:val="single"/>
          <w:lang w:val="en-US" w:eastAsia="zh-CN"/>
        </w:rPr>
        <w:t>第二节 转型升级产业数字化，打造数字经济新引擎</w:t>
      </w:r>
      <w:r>
        <w:rPr>
          <w:rFonts w:ascii="Times New Roman" w:hAnsi="Times New Roman" w:eastAsia="宋体" w:cs="Times New Roman"/>
          <w:sz w:val="28"/>
          <w:szCs w:val="28"/>
          <w:lang w:val="en-US" w:eastAsia="zh-CN"/>
        </w:rPr>
        <w:tab/>
      </w:r>
      <w:r>
        <w:rPr>
          <w:rFonts w:ascii="Times New Roman" w:hAnsi="Times New Roman" w:eastAsia="宋体" w:cs="Times New Roman"/>
          <w:sz w:val="28"/>
          <w:szCs w:val="28"/>
          <w:lang w:val="en-US" w:eastAsia="zh-CN"/>
        </w:rPr>
        <w:fldChar w:fldCharType="begin"/>
      </w:r>
      <w:r>
        <w:rPr>
          <w:rFonts w:ascii="Times New Roman" w:hAnsi="Times New Roman" w:eastAsia="宋体" w:cs="Times New Roman"/>
          <w:sz w:val="28"/>
          <w:szCs w:val="28"/>
          <w:lang w:val="en-US" w:eastAsia="zh-CN"/>
        </w:rPr>
        <w:instrText xml:space="preserve"> PAGEREF _Toc94308413 \h </w:instrText>
      </w:r>
      <w:r>
        <w:rPr>
          <w:rFonts w:ascii="Times New Roman" w:hAnsi="Times New Roman" w:eastAsia="宋体" w:cs="Times New Roman"/>
          <w:sz w:val="28"/>
          <w:szCs w:val="28"/>
          <w:lang w:val="en-US" w:eastAsia="zh-CN"/>
        </w:rPr>
        <w:fldChar w:fldCharType="separate"/>
      </w:r>
      <w:r>
        <w:rPr>
          <w:rFonts w:ascii="Times New Roman" w:hAnsi="Times New Roman" w:eastAsia="宋体" w:cs="Times New Roman"/>
          <w:sz w:val="28"/>
          <w:szCs w:val="28"/>
          <w:lang w:val="en-US" w:eastAsia="zh-CN"/>
        </w:rPr>
        <w:t>3</w:t>
      </w:r>
      <w:r>
        <w:rPr>
          <w:rFonts w:ascii="Times New Roman" w:hAnsi="Times New Roman" w:eastAsia="宋体" w:cs="Times New Roman"/>
          <w:sz w:val="28"/>
          <w:szCs w:val="28"/>
          <w:lang w:val="en-US" w:eastAsia="zh-CN"/>
        </w:rPr>
        <w:fldChar w:fldCharType="end"/>
      </w:r>
      <w:r>
        <w:rPr>
          <w:rFonts w:ascii="Times New Roman" w:hAnsi="Times New Roman" w:eastAsia="宋体" w:cs="Times New Roman"/>
          <w:sz w:val="28"/>
          <w:szCs w:val="28"/>
          <w:lang w:val="en-US" w:eastAsia="zh-CN"/>
        </w:rPr>
        <w:fldChar w:fldCharType="end"/>
      </w:r>
      <w:r>
        <w:rPr>
          <w:rFonts w:hint="eastAsia" w:ascii="Times New Roman" w:hAnsi="Times New Roman" w:eastAsia="宋体" w:cs="Times New Roman"/>
          <w:sz w:val="28"/>
          <w:szCs w:val="28"/>
        </w:rPr>
        <w:t>0</w:t>
      </w:r>
    </w:p>
    <w:p>
      <w:pPr>
        <w:tabs>
          <w:tab w:val="right" w:leader="dot" w:pos="8834"/>
        </w:tabs>
        <w:rPr>
          <w:rFonts w:ascii="Times New Roman" w:hAnsi="Times New Roman" w:eastAsia="等线" w:cs="Times New Roman"/>
          <w:sz w:val="28"/>
          <w:szCs w:val="28"/>
          <w:lang w:val="en-US" w:eastAsia="zh-CN"/>
        </w:rPr>
      </w:pPr>
      <w:r>
        <w:fldChar w:fldCharType="begin"/>
      </w:r>
      <w:r>
        <w:instrText xml:space="preserve"> HYPERLINK \l "_Toc94308414" </w:instrText>
      </w:r>
      <w:r>
        <w:fldChar w:fldCharType="separate"/>
      </w:r>
      <w:r>
        <w:rPr>
          <w:rFonts w:ascii="Times New Roman" w:hAnsi="Times New Roman" w:eastAsia="黑体" w:cs="Times New Roman"/>
          <w:color w:val="0000FF"/>
          <w:sz w:val="28"/>
          <w:u w:val="single"/>
          <w:lang w:val="en-US" w:eastAsia="zh-CN"/>
        </w:rPr>
        <w:t>第五章 促进跨区域融合发展，建设数字社会新篇章</w:t>
      </w:r>
      <w:r>
        <w:rPr>
          <w:rFonts w:ascii="Times New Roman" w:hAnsi="Times New Roman" w:eastAsia="宋体" w:cs="Times New Roman"/>
          <w:sz w:val="28"/>
          <w:szCs w:val="28"/>
          <w:lang w:val="en-US" w:eastAsia="zh-CN"/>
        </w:rPr>
        <w:tab/>
      </w:r>
      <w:r>
        <w:rPr>
          <w:rFonts w:ascii="Times New Roman" w:hAnsi="Times New Roman" w:eastAsia="宋体" w:cs="Times New Roman"/>
          <w:sz w:val="28"/>
          <w:szCs w:val="28"/>
          <w:lang w:val="en-US" w:eastAsia="zh-CN"/>
        </w:rPr>
        <w:fldChar w:fldCharType="begin"/>
      </w:r>
      <w:r>
        <w:rPr>
          <w:rFonts w:ascii="Times New Roman" w:hAnsi="Times New Roman" w:eastAsia="宋体" w:cs="Times New Roman"/>
          <w:sz w:val="28"/>
          <w:szCs w:val="28"/>
          <w:lang w:val="en-US" w:eastAsia="zh-CN"/>
        </w:rPr>
        <w:instrText xml:space="preserve"> PAGEREF _Toc94308414 \h </w:instrText>
      </w:r>
      <w:r>
        <w:rPr>
          <w:rFonts w:ascii="Times New Roman" w:hAnsi="Times New Roman" w:eastAsia="宋体" w:cs="Times New Roman"/>
          <w:sz w:val="28"/>
          <w:szCs w:val="28"/>
          <w:lang w:val="en-US" w:eastAsia="zh-CN"/>
        </w:rPr>
        <w:fldChar w:fldCharType="separate"/>
      </w:r>
      <w:r>
        <w:rPr>
          <w:rFonts w:ascii="Times New Roman" w:hAnsi="Times New Roman" w:eastAsia="宋体" w:cs="Times New Roman"/>
          <w:sz w:val="28"/>
          <w:szCs w:val="28"/>
          <w:lang w:val="en-US" w:eastAsia="zh-CN"/>
        </w:rPr>
        <w:t>42</w:t>
      </w:r>
      <w:r>
        <w:rPr>
          <w:rFonts w:ascii="Times New Roman" w:hAnsi="Times New Roman" w:eastAsia="宋体" w:cs="Times New Roman"/>
          <w:sz w:val="28"/>
          <w:szCs w:val="28"/>
          <w:lang w:val="en-US" w:eastAsia="zh-CN"/>
        </w:rPr>
        <w:fldChar w:fldCharType="end"/>
      </w:r>
      <w:r>
        <w:rPr>
          <w:rFonts w:ascii="Times New Roman" w:hAnsi="Times New Roman" w:eastAsia="宋体" w:cs="Times New Roman"/>
          <w:sz w:val="28"/>
          <w:szCs w:val="28"/>
          <w:lang w:val="en-US" w:eastAsia="zh-CN"/>
        </w:rPr>
        <w:fldChar w:fldCharType="end"/>
      </w:r>
    </w:p>
    <w:p>
      <w:pPr>
        <w:tabs>
          <w:tab w:val="right" w:leader="dot" w:pos="8834"/>
        </w:tabs>
        <w:rPr>
          <w:rFonts w:ascii="Times New Roman" w:hAnsi="Times New Roman" w:eastAsia="等线" w:cs="Times New Roman"/>
          <w:sz w:val="28"/>
          <w:szCs w:val="28"/>
          <w:lang w:val="en-US" w:eastAsia="zh-CN"/>
        </w:rPr>
      </w:pPr>
      <w:r>
        <w:fldChar w:fldCharType="begin"/>
      </w:r>
      <w:r>
        <w:instrText xml:space="preserve"> HYPERLINK \l "_Toc94308415" </w:instrText>
      </w:r>
      <w:r>
        <w:fldChar w:fldCharType="separate"/>
      </w:r>
      <w:r>
        <w:rPr>
          <w:rFonts w:ascii="Times New Roman" w:hAnsi="Times New Roman" w:eastAsia="楷体_GB2312" w:cs="Times New Roman"/>
          <w:color w:val="0000FF"/>
          <w:sz w:val="28"/>
          <w:u w:val="single"/>
          <w:lang w:val="en-US" w:eastAsia="zh-CN"/>
        </w:rPr>
        <w:t>第一节 全面优化数字民生服务</w:t>
      </w:r>
      <w:r>
        <w:rPr>
          <w:rFonts w:ascii="Times New Roman" w:hAnsi="Times New Roman" w:eastAsia="宋体" w:cs="Times New Roman"/>
          <w:sz w:val="28"/>
          <w:szCs w:val="28"/>
          <w:lang w:val="en-US" w:eastAsia="zh-CN"/>
        </w:rPr>
        <w:tab/>
      </w:r>
      <w:r>
        <w:rPr>
          <w:rFonts w:ascii="Times New Roman" w:hAnsi="Times New Roman" w:eastAsia="宋体" w:cs="Times New Roman"/>
          <w:sz w:val="28"/>
          <w:szCs w:val="28"/>
          <w:lang w:val="en-US" w:eastAsia="zh-CN"/>
        </w:rPr>
        <w:fldChar w:fldCharType="begin"/>
      </w:r>
      <w:r>
        <w:rPr>
          <w:rFonts w:ascii="Times New Roman" w:hAnsi="Times New Roman" w:eastAsia="宋体" w:cs="Times New Roman"/>
          <w:sz w:val="28"/>
          <w:szCs w:val="28"/>
          <w:lang w:val="en-US" w:eastAsia="zh-CN"/>
        </w:rPr>
        <w:instrText xml:space="preserve"> PAGEREF _Toc94308415 \h </w:instrText>
      </w:r>
      <w:r>
        <w:rPr>
          <w:rFonts w:ascii="Times New Roman" w:hAnsi="Times New Roman" w:eastAsia="宋体" w:cs="Times New Roman"/>
          <w:sz w:val="28"/>
          <w:szCs w:val="28"/>
          <w:lang w:val="en-US" w:eastAsia="zh-CN"/>
        </w:rPr>
        <w:fldChar w:fldCharType="separate"/>
      </w:r>
      <w:r>
        <w:rPr>
          <w:rFonts w:ascii="Times New Roman" w:hAnsi="Times New Roman" w:eastAsia="宋体" w:cs="Times New Roman"/>
          <w:sz w:val="28"/>
          <w:szCs w:val="28"/>
          <w:lang w:val="en-US" w:eastAsia="zh-CN"/>
        </w:rPr>
        <w:t>42</w:t>
      </w:r>
      <w:r>
        <w:rPr>
          <w:rFonts w:ascii="Times New Roman" w:hAnsi="Times New Roman" w:eastAsia="宋体" w:cs="Times New Roman"/>
          <w:sz w:val="28"/>
          <w:szCs w:val="28"/>
          <w:lang w:val="en-US" w:eastAsia="zh-CN"/>
        </w:rPr>
        <w:fldChar w:fldCharType="end"/>
      </w:r>
      <w:r>
        <w:rPr>
          <w:rFonts w:ascii="Times New Roman" w:hAnsi="Times New Roman" w:eastAsia="宋体" w:cs="Times New Roman"/>
          <w:sz w:val="28"/>
          <w:szCs w:val="28"/>
          <w:lang w:val="en-US" w:eastAsia="zh-CN"/>
        </w:rPr>
        <w:fldChar w:fldCharType="end"/>
      </w:r>
    </w:p>
    <w:p>
      <w:pPr>
        <w:tabs>
          <w:tab w:val="right" w:leader="dot" w:pos="8834"/>
        </w:tabs>
        <w:rPr>
          <w:rFonts w:hint="eastAsia" w:ascii="Times New Roman" w:hAnsi="Times New Roman" w:eastAsia="宋体" w:cs="Times New Roman"/>
          <w:sz w:val="28"/>
          <w:szCs w:val="28"/>
          <w:lang w:val="en-US"/>
        </w:rPr>
      </w:pPr>
      <w:r>
        <w:fldChar w:fldCharType="begin"/>
      </w:r>
      <w:r>
        <w:instrText xml:space="preserve"> HYPERLINK \l "_Toc94308416" </w:instrText>
      </w:r>
      <w:r>
        <w:fldChar w:fldCharType="separate"/>
      </w:r>
      <w:r>
        <w:rPr>
          <w:rFonts w:ascii="Times New Roman" w:hAnsi="Times New Roman" w:eastAsia="楷体_GB2312" w:cs="Times New Roman"/>
          <w:color w:val="0000FF"/>
          <w:sz w:val="28"/>
          <w:u w:val="single"/>
          <w:lang w:val="en-US" w:eastAsia="zh-CN"/>
        </w:rPr>
        <w:t>第二节 全面推动智慧城市建设</w:t>
      </w:r>
      <w:r>
        <w:rPr>
          <w:rFonts w:ascii="Times New Roman" w:hAnsi="Times New Roman" w:eastAsia="宋体" w:cs="Times New Roman"/>
          <w:sz w:val="28"/>
          <w:szCs w:val="28"/>
          <w:lang w:val="en-US" w:eastAsia="zh-CN"/>
        </w:rPr>
        <w:tab/>
      </w:r>
      <w:r>
        <w:rPr>
          <w:rFonts w:ascii="Times New Roman" w:hAnsi="Times New Roman" w:eastAsia="宋体" w:cs="Times New Roman"/>
          <w:sz w:val="28"/>
          <w:szCs w:val="28"/>
          <w:lang w:val="en-US" w:eastAsia="zh-CN"/>
        </w:rPr>
        <w:fldChar w:fldCharType="begin"/>
      </w:r>
      <w:r>
        <w:rPr>
          <w:rFonts w:ascii="Times New Roman" w:hAnsi="Times New Roman" w:eastAsia="宋体" w:cs="Times New Roman"/>
          <w:sz w:val="28"/>
          <w:szCs w:val="28"/>
          <w:lang w:val="en-US" w:eastAsia="zh-CN"/>
        </w:rPr>
        <w:instrText xml:space="preserve"> PAGEREF _Toc94308416 \h </w:instrText>
      </w:r>
      <w:r>
        <w:rPr>
          <w:rFonts w:ascii="Times New Roman" w:hAnsi="Times New Roman" w:eastAsia="宋体" w:cs="Times New Roman"/>
          <w:sz w:val="28"/>
          <w:szCs w:val="28"/>
          <w:lang w:val="en-US" w:eastAsia="zh-CN"/>
        </w:rPr>
        <w:fldChar w:fldCharType="separate"/>
      </w:r>
      <w:r>
        <w:rPr>
          <w:rFonts w:ascii="Times New Roman" w:hAnsi="Times New Roman" w:eastAsia="宋体" w:cs="Times New Roman"/>
          <w:sz w:val="28"/>
          <w:szCs w:val="28"/>
          <w:lang w:val="en-US" w:eastAsia="zh-CN"/>
        </w:rPr>
        <w:t>4</w:t>
      </w:r>
      <w:r>
        <w:rPr>
          <w:rFonts w:ascii="Times New Roman" w:hAnsi="Times New Roman" w:eastAsia="宋体" w:cs="Times New Roman"/>
          <w:sz w:val="28"/>
          <w:szCs w:val="28"/>
          <w:lang w:val="en-US" w:eastAsia="zh-CN"/>
        </w:rPr>
        <w:fldChar w:fldCharType="end"/>
      </w:r>
      <w:r>
        <w:rPr>
          <w:rFonts w:ascii="Times New Roman" w:hAnsi="Times New Roman" w:eastAsia="宋体" w:cs="Times New Roman"/>
          <w:sz w:val="28"/>
          <w:szCs w:val="28"/>
          <w:lang w:val="en-US" w:eastAsia="zh-CN"/>
        </w:rPr>
        <w:fldChar w:fldCharType="end"/>
      </w:r>
      <w:r>
        <w:rPr>
          <w:rFonts w:hint="eastAsia" w:ascii="Times New Roman" w:hAnsi="Times New Roman" w:eastAsia="宋体" w:cs="Times New Roman"/>
          <w:sz w:val="28"/>
          <w:szCs w:val="28"/>
        </w:rPr>
        <w:t>7</w:t>
      </w:r>
    </w:p>
    <w:p>
      <w:pPr>
        <w:tabs>
          <w:tab w:val="right" w:leader="dot" w:pos="8834"/>
        </w:tabs>
        <w:rPr>
          <w:rFonts w:ascii="Times New Roman" w:hAnsi="Times New Roman" w:eastAsia="等线" w:cs="Times New Roman"/>
          <w:sz w:val="28"/>
          <w:szCs w:val="28"/>
          <w:lang w:val="en-US" w:eastAsia="zh-CN"/>
        </w:rPr>
      </w:pPr>
      <w:r>
        <w:fldChar w:fldCharType="begin"/>
      </w:r>
      <w:r>
        <w:instrText xml:space="preserve"> HYPERLINK \l "_Toc94308417" </w:instrText>
      </w:r>
      <w:r>
        <w:fldChar w:fldCharType="separate"/>
      </w:r>
      <w:r>
        <w:rPr>
          <w:rFonts w:ascii="Times New Roman" w:hAnsi="Times New Roman" w:eastAsia="楷体_GB2312" w:cs="Times New Roman"/>
          <w:color w:val="0000FF"/>
          <w:sz w:val="28"/>
          <w:u w:val="single"/>
          <w:lang w:val="en-US" w:eastAsia="zh-CN"/>
        </w:rPr>
        <w:t>第三节 加快推动数字乡村发展</w:t>
      </w:r>
      <w:r>
        <w:rPr>
          <w:rFonts w:ascii="Times New Roman" w:hAnsi="Times New Roman" w:eastAsia="宋体" w:cs="Times New Roman"/>
          <w:sz w:val="28"/>
          <w:szCs w:val="28"/>
          <w:lang w:val="en-US" w:eastAsia="zh-CN"/>
        </w:rPr>
        <w:tab/>
      </w:r>
      <w:r>
        <w:rPr>
          <w:rFonts w:ascii="Times New Roman" w:hAnsi="Times New Roman" w:eastAsia="宋体" w:cs="Times New Roman"/>
          <w:sz w:val="28"/>
          <w:szCs w:val="28"/>
          <w:lang w:val="en-US" w:eastAsia="zh-CN"/>
        </w:rPr>
        <w:fldChar w:fldCharType="begin"/>
      </w:r>
      <w:r>
        <w:rPr>
          <w:rFonts w:ascii="Times New Roman" w:hAnsi="Times New Roman" w:eastAsia="宋体" w:cs="Times New Roman"/>
          <w:sz w:val="28"/>
          <w:szCs w:val="28"/>
          <w:lang w:val="en-US" w:eastAsia="zh-CN"/>
        </w:rPr>
        <w:instrText xml:space="preserve"> PAGEREF _Toc94308417 \h </w:instrText>
      </w:r>
      <w:r>
        <w:rPr>
          <w:rFonts w:ascii="Times New Roman" w:hAnsi="Times New Roman" w:eastAsia="宋体" w:cs="Times New Roman"/>
          <w:sz w:val="28"/>
          <w:szCs w:val="28"/>
          <w:lang w:val="en-US" w:eastAsia="zh-CN"/>
        </w:rPr>
        <w:fldChar w:fldCharType="separate"/>
      </w:r>
      <w:r>
        <w:rPr>
          <w:rFonts w:ascii="Times New Roman" w:hAnsi="Times New Roman" w:eastAsia="宋体" w:cs="Times New Roman"/>
          <w:sz w:val="28"/>
          <w:szCs w:val="28"/>
          <w:lang w:val="en-US" w:eastAsia="zh-CN"/>
        </w:rPr>
        <w:t>49</w:t>
      </w:r>
      <w:r>
        <w:rPr>
          <w:rFonts w:ascii="Times New Roman" w:hAnsi="Times New Roman" w:eastAsia="宋体" w:cs="Times New Roman"/>
          <w:sz w:val="28"/>
          <w:szCs w:val="28"/>
          <w:lang w:val="en-US" w:eastAsia="zh-CN"/>
        </w:rPr>
        <w:fldChar w:fldCharType="end"/>
      </w:r>
      <w:r>
        <w:rPr>
          <w:rFonts w:ascii="Times New Roman" w:hAnsi="Times New Roman" w:eastAsia="宋体" w:cs="Times New Roman"/>
          <w:sz w:val="28"/>
          <w:szCs w:val="28"/>
          <w:lang w:val="en-US" w:eastAsia="zh-CN"/>
        </w:rPr>
        <w:fldChar w:fldCharType="end"/>
      </w:r>
    </w:p>
    <w:p>
      <w:pPr>
        <w:tabs>
          <w:tab w:val="right" w:leader="dot" w:pos="8834"/>
        </w:tabs>
        <w:rPr>
          <w:rFonts w:ascii="Times New Roman" w:hAnsi="Times New Roman" w:eastAsia="宋体" w:cs="Times New Roman"/>
          <w:szCs w:val="24"/>
        </w:rPr>
        <w:sectPr>
          <w:footerReference r:id="rId6" w:type="default"/>
          <w:pgSz w:w="11906" w:h="16838"/>
          <w:pgMar w:top="1418" w:right="1474" w:bottom="1418" w:left="1588" w:header="851" w:footer="992" w:gutter="0"/>
          <w:pgNumType w:start="1"/>
          <w:cols w:space="720" w:num="1"/>
          <w:docGrid w:type="lines" w:linePitch="326" w:charSpace="0"/>
        </w:sectPr>
      </w:pPr>
    </w:p>
    <w:p>
      <w:pPr>
        <w:tabs>
          <w:tab w:val="right" w:leader="dot" w:pos="8834"/>
        </w:tabs>
        <w:rPr>
          <w:rFonts w:hint="eastAsia" w:ascii="Times New Roman" w:hAnsi="Times New Roman" w:eastAsia="宋体" w:cs="Times New Roman"/>
          <w:sz w:val="28"/>
          <w:szCs w:val="28"/>
          <w:lang w:val="en-US"/>
        </w:rPr>
      </w:pPr>
      <w:r>
        <w:fldChar w:fldCharType="begin"/>
      </w:r>
      <w:r>
        <w:instrText xml:space="preserve"> HYPERLINK \l "_Toc94308418" </w:instrText>
      </w:r>
      <w:r>
        <w:fldChar w:fldCharType="separate"/>
      </w:r>
      <w:r>
        <w:rPr>
          <w:rFonts w:ascii="Times New Roman" w:hAnsi="Times New Roman" w:eastAsia="楷体_GB2312" w:cs="Times New Roman"/>
          <w:color w:val="0000FF"/>
          <w:sz w:val="28"/>
          <w:u w:val="single"/>
          <w:lang w:val="en-US" w:eastAsia="zh-CN"/>
        </w:rPr>
        <w:t>第四节 深入推进数字丝路建设</w:t>
      </w:r>
      <w:r>
        <w:rPr>
          <w:rFonts w:ascii="Times New Roman" w:hAnsi="Times New Roman" w:eastAsia="宋体" w:cs="Times New Roman"/>
          <w:sz w:val="28"/>
          <w:szCs w:val="28"/>
          <w:lang w:val="en-US" w:eastAsia="zh-CN"/>
        </w:rPr>
        <w:tab/>
      </w:r>
      <w:r>
        <w:rPr>
          <w:rFonts w:ascii="Times New Roman" w:hAnsi="Times New Roman" w:eastAsia="宋体" w:cs="Times New Roman"/>
          <w:sz w:val="28"/>
          <w:szCs w:val="28"/>
          <w:lang w:val="en-US" w:eastAsia="zh-CN"/>
        </w:rPr>
        <w:fldChar w:fldCharType="begin"/>
      </w:r>
      <w:r>
        <w:rPr>
          <w:rFonts w:ascii="Times New Roman" w:hAnsi="Times New Roman" w:eastAsia="宋体" w:cs="Times New Roman"/>
          <w:sz w:val="28"/>
          <w:szCs w:val="28"/>
          <w:lang w:val="en-US" w:eastAsia="zh-CN"/>
        </w:rPr>
        <w:instrText xml:space="preserve"> PAGEREF _Toc94308418 \h </w:instrText>
      </w:r>
      <w:r>
        <w:rPr>
          <w:rFonts w:ascii="Times New Roman" w:hAnsi="Times New Roman" w:eastAsia="宋体" w:cs="Times New Roman"/>
          <w:sz w:val="28"/>
          <w:szCs w:val="28"/>
          <w:lang w:val="en-US" w:eastAsia="zh-CN"/>
        </w:rPr>
        <w:fldChar w:fldCharType="separate"/>
      </w:r>
      <w:r>
        <w:rPr>
          <w:rFonts w:ascii="Times New Roman" w:hAnsi="Times New Roman" w:eastAsia="宋体" w:cs="Times New Roman"/>
          <w:sz w:val="28"/>
          <w:szCs w:val="28"/>
          <w:lang w:val="en-US" w:eastAsia="zh-CN"/>
        </w:rPr>
        <w:t>5</w:t>
      </w:r>
      <w:r>
        <w:rPr>
          <w:rFonts w:ascii="Times New Roman" w:hAnsi="Times New Roman" w:eastAsia="宋体" w:cs="Times New Roman"/>
          <w:sz w:val="28"/>
          <w:szCs w:val="28"/>
          <w:lang w:val="en-US" w:eastAsia="zh-CN"/>
        </w:rPr>
        <w:fldChar w:fldCharType="end"/>
      </w:r>
      <w:r>
        <w:rPr>
          <w:rFonts w:ascii="Times New Roman" w:hAnsi="Times New Roman" w:eastAsia="宋体" w:cs="Times New Roman"/>
          <w:sz w:val="28"/>
          <w:szCs w:val="28"/>
          <w:lang w:val="en-US" w:eastAsia="zh-CN"/>
        </w:rPr>
        <w:fldChar w:fldCharType="end"/>
      </w:r>
      <w:r>
        <w:rPr>
          <w:rFonts w:hint="eastAsia" w:ascii="Times New Roman" w:hAnsi="Times New Roman" w:eastAsia="宋体" w:cs="Times New Roman"/>
          <w:sz w:val="28"/>
          <w:szCs w:val="28"/>
        </w:rPr>
        <w:t>0</w:t>
      </w:r>
    </w:p>
    <w:p>
      <w:pPr>
        <w:tabs>
          <w:tab w:val="right" w:leader="dot" w:pos="8834"/>
        </w:tabs>
        <w:rPr>
          <w:rFonts w:ascii="Times New Roman" w:hAnsi="Times New Roman" w:eastAsia="等线" w:cs="Times New Roman"/>
          <w:sz w:val="28"/>
          <w:szCs w:val="28"/>
          <w:lang w:val="en-US" w:eastAsia="zh-CN"/>
        </w:rPr>
      </w:pPr>
      <w:r>
        <w:fldChar w:fldCharType="begin"/>
      </w:r>
      <w:r>
        <w:instrText xml:space="preserve"> HYPERLINK \l "_Toc94308419" </w:instrText>
      </w:r>
      <w:r>
        <w:fldChar w:fldCharType="separate"/>
      </w:r>
      <w:r>
        <w:rPr>
          <w:rFonts w:ascii="Times New Roman" w:hAnsi="Times New Roman" w:eastAsia="黑体" w:cs="Times New Roman"/>
          <w:color w:val="0000FF"/>
          <w:sz w:val="28"/>
          <w:u w:val="single"/>
          <w:lang w:val="en-US" w:eastAsia="zh-CN"/>
        </w:rPr>
        <w:t>第六章 加快数据资源价值化，激发数据要素新活力</w:t>
      </w:r>
      <w:r>
        <w:rPr>
          <w:rFonts w:ascii="Times New Roman" w:hAnsi="Times New Roman" w:eastAsia="宋体" w:cs="Times New Roman"/>
          <w:sz w:val="28"/>
          <w:szCs w:val="28"/>
          <w:lang w:val="en-US" w:eastAsia="zh-CN"/>
        </w:rPr>
        <w:tab/>
      </w:r>
      <w:r>
        <w:rPr>
          <w:rFonts w:ascii="Times New Roman" w:hAnsi="Times New Roman" w:eastAsia="宋体" w:cs="Times New Roman"/>
          <w:sz w:val="28"/>
          <w:szCs w:val="28"/>
          <w:lang w:val="en-US" w:eastAsia="zh-CN"/>
        </w:rPr>
        <w:fldChar w:fldCharType="begin"/>
      </w:r>
      <w:r>
        <w:rPr>
          <w:rFonts w:ascii="Times New Roman" w:hAnsi="Times New Roman" w:eastAsia="宋体" w:cs="Times New Roman"/>
          <w:sz w:val="28"/>
          <w:szCs w:val="28"/>
          <w:lang w:val="en-US" w:eastAsia="zh-CN"/>
        </w:rPr>
        <w:instrText xml:space="preserve"> PAGEREF _Toc94308419 \h </w:instrText>
      </w:r>
      <w:r>
        <w:rPr>
          <w:rFonts w:ascii="Times New Roman" w:hAnsi="Times New Roman" w:eastAsia="宋体" w:cs="Times New Roman"/>
          <w:sz w:val="28"/>
          <w:szCs w:val="28"/>
          <w:lang w:val="en-US" w:eastAsia="zh-CN"/>
        </w:rPr>
        <w:fldChar w:fldCharType="separate"/>
      </w:r>
      <w:r>
        <w:rPr>
          <w:rFonts w:ascii="Times New Roman" w:hAnsi="Times New Roman" w:eastAsia="宋体" w:cs="Times New Roman"/>
          <w:sz w:val="28"/>
          <w:szCs w:val="28"/>
          <w:lang w:val="en-US" w:eastAsia="zh-CN"/>
        </w:rPr>
        <w:t>54</w:t>
      </w:r>
      <w:r>
        <w:rPr>
          <w:rFonts w:ascii="Times New Roman" w:hAnsi="Times New Roman" w:eastAsia="宋体" w:cs="Times New Roman"/>
          <w:sz w:val="28"/>
          <w:szCs w:val="28"/>
          <w:lang w:val="en-US" w:eastAsia="zh-CN"/>
        </w:rPr>
        <w:fldChar w:fldCharType="end"/>
      </w:r>
      <w:r>
        <w:rPr>
          <w:rFonts w:ascii="Times New Roman" w:hAnsi="Times New Roman" w:eastAsia="宋体" w:cs="Times New Roman"/>
          <w:sz w:val="28"/>
          <w:szCs w:val="28"/>
          <w:lang w:val="en-US" w:eastAsia="zh-CN"/>
        </w:rPr>
        <w:fldChar w:fldCharType="end"/>
      </w:r>
    </w:p>
    <w:p>
      <w:pPr>
        <w:tabs>
          <w:tab w:val="right" w:leader="dot" w:pos="8834"/>
        </w:tabs>
        <w:rPr>
          <w:rFonts w:ascii="Times New Roman" w:hAnsi="Times New Roman" w:eastAsia="等线" w:cs="Times New Roman"/>
          <w:sz w:val="28"/>
          <w:szCs w:val="28"/>
          <w:lang w:val="en-US" w:eastAsia="zh-CN"/>
        </w:rPr>
      </w:pPr>
      <w:r>
        <w:fldChar w:fldCharType="begin"/>
      </w:r>
      <w:r>
        <w:instrText xml:space="preserve"> HYPERLINK \l "_Toc94308420" </w:instrText>
      </w:r>
      <w:r>
        <w:fldChar w:fldCharType="separate"/>
      </w:r>
      <w:r>
        <w:rPr>
          <w:rFonts w:ascii="Times New Roman" w:hAnsi="Times New Roman" w:eastAsia="楷体_GB2312" w:cs="Times New Roman"/>
          <w:color w:val="0000FF"/>
          <w:sz w:val="28"/>
          <w:u w:val="single"/>
          <w:lang w:val="en-US" w:eastAsia="zh-CN"/>
        </w:rPr>
        <w:t>第一节 完善公共数据汇聚治理体系</w:t>
      </w:r>
      <w:r>
        <w:rPr>
          <w:rFonts w:ascii="Times New Roman" w:hAnsi="Times New Roman" w:eastAsia="宋体" w:cs="Times New Roman"/>
          <w:sz w:val="28"/>
          <w:szCs w:val="28"/>
          <w:lang w:val="en-US" w:eastAsia="zh-CN"/>
        </w:rPr>
        <w:tab/>
      </w:r>
      <w:r>
        <w:rPr>
          <w:rFonts w:ascii="Times New Roman" w:hAnsi="Times New Roman" w:eastAsia="宋体" w:cs="Times New Roman"/>
          <w:sz w:val="28"/>
          <w:szCs w:val="28"/>
          <w:lang w:val="en-US" w:eastAsia="zh-CN"/>
        </w:rPr>
        <w:fldChar w:fldCharType="begin"/>
      </w:r>
      <w:r>
        <w:rPr>
          <w:rFonts w:ascii="Times New Roman" w:hAnsi="Times New Roman" w:eastAsia="宋体" w:cs="Times New Roman"/>
          <w:sz w:val="28"/>
          <w:szCs w:val="28"/>
          <w:lang w:val="en-US" w:eastAsia="zh-CN"/>
        </w:rPr>
        <w:instrText xml:space="preserve"> PAGEREF _Toc94308420 \h </w:instrText>
      </w:r>
      <w:r>
        <w:rPr>
          <w:rFonts w:ascii="Times New Roman" w:hAnsi="Times New Roman" w:eastAsia="宋体" w:cs="Times New Roman"/>
          <w:sz w:val="28"/>
          <w:szCs w:val="28"/>
          <w:lang w:val="en-US" w:eastAsia="zh-CN"/>
        </w:rPr>
        <w:fldChar w:fldCharType="separate"/>
      </w:r>
      <w:r>
        <w:rPr>
          <w:rFonts w:ascii="Times New Roman" w:hAnsi="Times New Roman" w:eastAsia="宋体" w:cs="Times New Roman"/>
          <w:sz w:val="28"/>
          <w:szCs w:val="28"/>
          <w:lang w:val="en-US" w:eastAsia="zh-CN"/>
        </w:rPr>
        <w:t>54</w:t>
      </w:r>
      <w:r>
        <w:rPr>
          <w:rFonts w:ascii="Times New Roman" w:hAnsi="Times New Roman" w:eastAsia="宋体" w:cs="Times New Roman"/>
          <w:sz w:val="28"/>
          <w:szCs w:val="28"/>
          <w:lang w:val="en-US" w:eastAsia="zh-CN"/>
        </w:rPr>
        <w:fldChar w:fldCharType="end"/>
      </w:r>
      <w:r>
        <w:rPr>
          <w:rFonts w:ascii="Times New Roman" w:hAnsi="Times New Roman" w:eastAsia="宋体" w:cs="Times New Roman"/>
          <w:sz w:val="28"/>
          <w:szCs w:val="28"/>
          <w:lang w:val="en-US" w:eastAsia="zh-CN"/>
        </w:rPr>
        <w:fldChar w:fldCharType="end"/>
      </w:r>
    </w:p>
    <w:p>
      <w:pPr>
        <w:tabs>
          <w:tab w:val="right" w:leader="dot" w:pos="8834"/>
        </w:tabs>
        <w:rPr>
          <w:rFonts w:ascii="Times New Roman" w:hAnsi="Times New Roman" w:eastAsia="等线" w:cs="Times New Roman"/>
          <w:sz w:val="28"/>
          <w:szCs w:val="28"/>
          <w:lang w:val="en-US" w:eastAsia="zh-CN"/>
        </w:rPr>
      </w:pPr>
      <w:r>
        <w:fldChar w:fldCharType="begin"/>
      </w:r>
      <w:r>
        <w:instrText xml:space="preserve"> HYPERLINK \l "_Toc94308421" </w:instrText>
      </w:r>
      <w:r>
        <w:fldChar w:fldCharType="separate"/>
      </w:r>
      <w:r>
        <w:rPr>
          <w:rFonts w:ascii="Times New Roman" w:hAnsi="Times New Roman" w:eastAsia="楷体_GB2312" w:cs="Times New Roman"/>
          <w:color w:val="0000FF"/>
          <w:sz w:val="28"/>
          <w:u w:val="single"/>
          <w:lang w:val="en-US" w:eastAsia="zh-CN"/>
        </w:rPr>
        <w:t>第二节 加速数据资源开发利用</w:t>
      </w:r>
      <w:r>
        <w:rPr>
          <w:rFonts w:ascii="Times New Roman" w:hAnsi="Times New Roman" w:eastAsia="宋体" w:cs="Times New Roman"/>
          <w:sz w:val="28"/>
          <w:szCs w:val="28"/>
          <w:lang w:val="en-US" w:eastAsia="zh-CN"/>
        </w:rPr>
        <w:tab/>
      </w:r>
      <w:r>
        <w:rPr>
          <w:rFonts w:ascii="Times New Roman" w:hAnsi="Times New Roman" w:eastAsia="宋体" w:cs="Times New Roman"/>
          <w:sz w:val="28"/>
          <w:szCs w:val="28"/>
          <w:lang w:val="en-US" w:eastAsia="zh-CN"/>
        </w:rPr>
        <w:fldChar w:fldCharType="begin"/>
      </w:r>
      <w:r>
        <w:rPr>
          <w:rFonts w:ascii="Times New Roman" w:hAnsi="Times New Roman" w:eastAsia="宋体" w:cs="Times New Roman"/>
          <w:sz w:val="28"/>
          <w:szCs w:val="28"/>
          <w:lang w:val="en-US" w:eastAsia="zh-CN"/>
        </w:rPr>
        <w:instrText xml:space="preserve"> PAGEREF _Toc94308421 \h </w:instrText>
      </w:r>
      <w:r>
        <w:rPr>
          <w:rFonts w:ascii="Times New Roman" w:hAnsi="Times New Roman" w:eastAsia="宋体" w:cs="Times New Roman"/>
          <w:sz w:val="28"/>
          <w:szCs w:val="28"/>
          <w:lang w:val="en-US" w:eastAsia="zh-CN"/>
        </w:rPr>
        <w:fldChar w:fldCharType="separate"/>
      </w:r>
      <w:r>
        <w:rPr>
          <w:rFonts w:ascii="Times New Roman" w:hAnsi="Times New Roman" w:eastAsia="宋体" w:cs="Times New Roman"/>
          <w:sz w:val="28"/>
          <w:szCs w:val="28"/>
          <w:lang w:val="en-US" w:eastAsia="zh-CN"/>
        </w:rPr>
        <w:t>56</w:t>
      </w:r>
      <w:r>
        <w:rPr>
          <w:rFonts w:ascii="Times New Roman" w:hAnsi="Times New Roman" w:eastAsia="宋体" w:cs="Times New Roman"/>
          <w:sz w:val="28"/>
          <w:szCs w:val="28"/>
          <w:lang w:val="en-US" w:eastAsia="zh-CN"/>
        </w:rPr>
        <w:fldChar w:fldCharType="end"/>
      </w:r>
      <w:r>
        <w:rPr>
          <w:rFonts w:ascii="Times New Roman" w:hAnsi="Times New Roman" w:eastAsia="宋体" w:cs="Times New Roman"/>
          <w:sz w:val="28"/>
          <w:szCs w:val="28"/>
          <w:lang w:val="en-US" w:eastAsia="zh-CN"/>
        </w:rPr>
        <w:fldChar w:fldCharType="end"/>
      </w:r>
    </w:p>
    <w:p>
      <w:pPr>
        <w:tabs>
          <w:tab w:val="right" w:leader="dot" w:pos="8834"/>
        </w:tabs>
        <w:rPr>
          <w:rFonts w:ascii="Times New Roman" w:hAnsi="Times New Roman" w:eastAsia="等线" w:cs="Times New Roman"/>
          <w:sz w:val="28"/>
          <w:szCs w:val="28"/>
          <w:lang w:val="en-US" w:eastAsia="zh-CN"/>
        </w:rPr>
      </w:pPr>
      <w:r>
        <w:fldChar w:fldCharType="begin"/>
      </w:r>
      <w:r>
        <w:instrText xml:space="preserve"> HYPERLINK \l "_Toc94308422" </w:instrText>
      </w:r>
      <w:r>
        <w:fldChar w:fldCharType="separate"/>
      </w:r>
      <w:r>
        <w:rPr>
          <w:rFonts w:ascii="Times New Roman" w:hAnsi="Times New Roman" w:eastAsia="楷体_GB2312" w:cs="Times New Roman"/>
          <w:color w:val="0000FF"/>
          <w:sz w:val="28"/>
          <w:u w:val="single"/>
          <w:lang w:val="en-US" w:eastAsia="zh-CN"/>
        </w:rPr>
        <w:t>第三节 营造良好数据要素流通市场环境</w:t>
      </w:r>
      <w:r>
        <w:rPr>
          <w:rFonts w:ascii="Times New Roman" w:hAnsi="Times New Roman" w:eastAsia="宋体" w:cs="Times New Roman"/>
          <w:sz w:val="28"/>
          <w:szCs w:val="28"/>
          <w:lang w:val="en-US" w:eastAsia="zh-CN"/>
        </w:rPr>
        <w:tab/>
      </w:r>
      <w:r>
        <w:rPr>
          <w:rFonts w:ascii="Times New Roman" w:hAnsi="Times New Roman" w:eastAsia="宋体" w:cs="Times New Roman"/>
          <w:sz w:val="28"/>
          <w:szCs w:val="28"/>
          <w:lang w:val="en-US" w:eastAsia="zh-CN"/>
        </w:rPr>
        <w:fldChar w:fldCharType="begin"/>
      </w:r>
      <w:r>
        <w:rPr>
          <w:rFonts w:ascii="Times New Roman" w:hAnsi="Times New Roman" w:eastAsia="宋体" w:cs="Times New Roman"/>
          <w:sz w:val="28"/>
          <w:szCs w:val="28"/>
          <w:lang w:val="en-US" w:eastAsia="zh-CN"/>
        </w:rPr>
        <w:instrText xml:space="preserve"> PAGEREF _Toc94308422 \h </w:instrText>
      </w:r>
      <w:r>
        <w:rPr>
          <w:rFonts w:ascii="Times New Roman" w:hAnsi="Times New Roman" w:eastAsia="宋体" w:cs="Times New Roman"/>
          <w:sz w:val="28"/>
          <w:szCs w:val="28"/>
          <w:lang w:val="en-US" w:eastAsia="zh-CN"/>
        </w:rPr>
        <w:fldChar w:fldCharType="separate"/>
      </w:r>
      <w:r>
        <w:rPr>
          <w:rFonts w:ascii="Times New Roman" w:hAnsi="Times New Roman" w:eastAsia="宋体" w:cs="Times New Roman"/>
          <w:sz w:val="28"/>
          <w:szCs w:val="28"/>
          <w:lang w:val="en-US" w:eastAsia="zh-CN"/>
        </w:rPr>
        <w:t>58</w:t>
      </w:r>
      <w:r>
        <w:rPr>
          <w:rFonts w:ascii="Times New Roman" w:hAnsi="Times New Roman" w:eastAsia="宋体" w:cs="Times New Roman"/>
          <w:sz w:val="28"/>
          <w:szCs w:val="28"/>
          <w:lang w:val="en-US" w:eastAsia="zh-CN"/>
        </w:rPr>
        <w:fldChar w:fldCharType="end"/>
      </w:r>
      <w:r>
        <w:rPr>
          <w:rFonts w:ascii="Times New Roman" w:hAnsi="Times New Roman" w:eastAsia="宋体" w:cs="Times New Roman"/>
          <w:sz w:val="28"/>
          <w:szCs w:val="28"/>
          <w:lang w:val="en-US" w:eastAsia="zh-CN"/>
        </w:rPr>
        <w:fldChar w:fldCharType="end"/>
      </w:r>
    </w:p>
    <w:p>
      <w:pPr>
        <w:tabs>
          <w:tab w:val="right" w:leader="dot" w:pos="8834"/>
        </w:tabs>
        <w:rPr>
          <w:rFonts w:ascii="Times New Roman" w:hAnsi="Times New Roman" w:eastAsia="等线" w:cs="Times New Roman"/>
          <w:sz w:val="28"/>
          <w:szCs w:val="28"/>
          <w:lang w:val="en-US" w:eastAsia="zh-CN"/>
        </w:rPr>
      </w:pPr>
      <w:r>
        <w:fldChar w:fldCharType="begin"/>
      </w:r>
      <w:r>
        <w:instrText xml:space="preserve"> HYPERLINK \l "_Toc94308423" </w:instrText>
      </w:r>
      <w:r>
        <w:fldChar w:fldCharType="separate"/>
      </w:r>
      <w:r>
        <w:rPr>
          <w:rFonts w:ascii="Times New Roman" w:hAnsi="Times New Roman" w:eastAsia="黑体" w:cs="Times New Roman"/>
          <w:color w:val="0000FF"/>
          <w:sz w:val="28"/>
          <w:u w:val="single"/>
          <w:lang w:val="en-US" w:eastAsia="zh-CN"/>
        </w:rPr>
        <w:t>第七章 加速基础设施新型化，牢筑网络信息安全线</w:t>
      </w:r>
      <w:r>
        <w:rPr>
          <w:rFonts w:ascii="Times New Roman" w:hAnsi="Times New Roman" w:eastAsia="宋体" w:cs="Times New Roman"/>
          <w:sz w:val="28"/>
          <w:szCs w:val="28"/>
          <w:lang w:val="en-US" w:eastAsia="zh-CN"/>
        </w:rPr>
        <w:tab/>
      </w:r>
      <w:r>
        <w:rPr>
          <w:rFonts w:ascii="Times New Roman" w:hAnsi="Times New Roman" w:eastAsia="宋体" w:cs="Times New Roman"/>
          <w:sz w:val="28"/>
          <w:szCs w:val="28"/>
          <w:lang w:val="en-US" w:eastAsia="zh-CN"/>
        </w:rPr>
        <w:fldChar w:fldCharType="begin"/>
      </w:r>
      <w:r>
        <w:rPr>
          <w:rFonts w:ascii="Times New Roman" w:hAnsi="Times New Roman" w:eastAsia="宋体" w:cs="Times New Roman"/>
          <w:sz w:val="28"/>
          <w:szCs w:val="28"/>
          <w:lang w:val="en-US" w:eastAsia="zh-CN"/>
        </w:rPr>
        <w:instrText xml:space="preserve"> PAGEREF _Toc94308423 \h </w:instrText>
      </w:r>
      <w:r>
        <w:rPr>
          <w:rFonts w:ascii="Times New Roman" w:hAnsi="Times New Roman" w:eastAsia="宋体" w:cs="Times New Roman"/>
          <w:sz w:val="28"/>
          <w:szCs w:val="28"/>
          <w:lang w:val="en-US" w:eastAsia="zh-CN"/>
        </w:rPr>
        <w:fldChar w:fldCharType="separate"/>
      </w:r>
      <w:r>
        <w:rPr>
          <w:rFonts w:ascii="Times New Roman" w:hAnsi="Times New Roman" w:eastAsia="宋体" w:cs="Times New Roman"/>
          <w:sz w:val="28"/>
          <w:szCs w:val="28"/>
          <w:lang w:val="en-US" w:eastAsia="zh-CN"/>
        </w:rPr>
        <w:t>60</w:t>
      </w:r>
      <w:r>
        <w:rPr>
          <w:rFonts w:ascii="Times New Roman" w:hAnsi="Times New Roman" w:eastAsia="宋体" w:cs="Times New Roman"/>
          <w:sz w:val="28"/>
          <w:szCs w:val="28"/>
          <w:lang w:val="en-US" w:eastAsia="zh-CN"/>
        </w:rPr>
        <w:fldChar w:fldCharType="end"/>
      </w:r>
      <w:r>
        <w:rPr>
          <w:rFonts w:ascii="Times New Roman" w:hAnsi="Times New Roman" w:eastAsia="宋体" w:cs="Times New Roman"/>
          <w:sz w:val="28"/>
          <w:szCs w:val="28"/>
          <w:lang w:val="en-US" w:eastAsia="zh-CN"/>
        </w:rPr>
        <w:fldChar w:fldCharType="end"/>
      </w:r>
    </w:p>
    <w:p>
      <w:pPr>
        <w:tabs>
          <w:tab w:val="right" w:leader="dot" w:pos="8834"/>
        </w:tabs>
        <w:rPr>
          <w:rFonts w:ascii="Times New Roman" w:hAnsi="Times New Roman" w:eastAsia="等线" w:cs="Times New Roman"/>
          <w:sz w:val="28"/>
          <w:szCs w:val="28"/>
          <w:lang w:val="en-US" w:eastAsia="zh-CN"/>
        </w:rPr>
      </w:pPr>
      <w:r>
        <w:fldChar w:fldCharType="begin"/>
      </w:r>
      <w:r>
        <w:instrText xml:space="preserve"> HYPERLINK \l "_Toc94308424" </w:instrText>
      </w:r>
      <w:r>
        <w:fldChar w:fldCharType="separate"/>
      </w:r>
      <w:r>
        <w:rPr>
          <w:rFonts w:ascii="Times New Roman" w:hAnsi="Times New Roman" w:eastAsia="楷体_GB2312" w:cs="Times New Roman"/>
          <w:color w:val="0000FF"/>
          <w:sz w:val="28"/>
          <w:u w:val="single"/>
          <w:lang w:val="en-US" w:eastAsia="zh-CN"/>
        </w:rPr>
        <w:t>第一节 超前布局新型基础设施</w:t>
      </w:r>
      <w:r>
        <w:rPr>
          <w:rFonts w:ascii="Times New Roman" w:hAnsi="Times New Roman" w:eastAsia="宋体" w:cs="Times New Roman"/>
          <w:sz w:val="28"/>
          <w:szCs w:val="28"/>
          <w:lang w:val="en-US" w:eastAsia="zh-CN"/>
        </w:rPr>
        <w:tab/>
      </w:r>
      <w:r>
        <w:rPr>
          <w:rFonts w:ascii="Times New Roman" w:hAnsi="Times New Roman" w:eastAsia="宋体" w:cs="Times New Roman"/>
          <w:sz w:val="28"/>
          <w:szCs w:val="28"/>
          <w:lang w:val="en-US" w:eastAsia="zh-CN"/>
        </w:rPr>
        <w:fldChar w:fldCharType="begin"/>
      </w:r>
      <w:r>
        <w:rPr>
          <w:rFonts w:ascii="Times New Roman" w:hAnsi="Times New Roman" w:eastAsia="宋体" w:cs="Times New Roman"/>
          <w:sz w:val="28"/>
          <w:szCs w:val="28"/>
          <w:lang w:val="en-US" w:eastAsia="zh-CN"/>
        </w:rPr>
        <w:instrText xml:space="preserve"> PAGEREF _Toc94308424 \h </w:instrText>
      </w:r>
      <w:r>
        <w:rPr>
          <w:rFonts w:ascii="Times New Roman" w:hAnsi="Times New Roman" w:eastAsia="宋体" w:cs="Times New Roman"/>
          <w:sz w:val="28"/>
          <w:szCs w:val="28"/>
          <w:lang w:val="en-US" w:eastAsia="zh-CN"/>
        </w:rPr>
        <w:fldChar w:fldCharType="separate"/>
      </w:r>
      <w:r>
        <w:rPr>
          <w:rFonts w:ascii="Times New Roman" w:hAnsi="Times New Roman" w:eastAsia="宋体" w:cs="Times New Roman"/>
          <w:sz w:val="28"/>
          <w:szCs w:val="28"/>
          <w:lang w:val="en-US" w:eastAsia="zh-CN"/>
        </w:rPr>
        <w:t>60</w:t>
      </w:r>
      <w:r>
        <w:rPr>
          <w:rFonts w:ascii="Times New Roman" w:hAnsi="Times New Roman" w:eastAsia="宋体" w:cs="Times New Roman"/>
          <w:sz w:val="28"/>
          <w:szCs w:val="28"/>
          <w:lang w:val="en-US" w:eastAsia="zh-CN"/>
        </w:rPr>
        <w:fldChar w:fldCharType="end"/>
      </w:r>
      <w:r>
        <w:rPr>
          <w:rFonts w:ascii="Times New Roman" w:hAnsi="Times New Roman" w:eastAsia="宋体" w:cs="Times New Roman"/>
          <w:sz w:val="28"/>
          <w:szCs w:val="28"/>
          <w:lang w:val="en-US" w:eastAsia="zh-CN"/>
        </w:rPr>
        <w:fldChar w:fldCharType="end"/>
      </w:r>
    </w:p>
    <w:p>
      <w:pPr>
        <w:tabs>
          <w:tab w:val="right" w:leader="dot" w:pos="8834"/>
        </w:tabs>
        <w:rPr>
          <w:rFonts w:ascii="Times New Roman" w:hAnsi="Times New Roman" w:eastAsia="等线" w:cs="Times New Roman"/>
          <w:sz w:val="28"/>
          <w:szCs w:val="28"/>
          <w:lang w:val="en-US" w:eastAsia="zh-CN"/>
        </w:rPr>
      </w:pPr>
      <w:r>
        <w:fldChar w:fldCharType="begin"/>
      </w:r>
      <w:r>
        <w:instrText xml:space="preserve"> HYPERLINK \l "_Toc94308425" </w:instrText>
      </w:r>
      <w:r>
        <w:fldChar w:fldCharType="separate"/>
      </w:r>
      <w:r>
        <w:rPr>
          <w:rFonts w:ascii="Times New Roman" w:hAnsi="Times New Roman" w:eastAsia="楷体_GB2312" w:cs="Times New Roman"/>
          <w:color w:val="0000FF"/>
          <w:sz w:val="28"/>
          <w:u w:val="single"/>
          <w:lang w:val="en-US" w:eastAsia="zh-CN"/>
        </w:rPr>
        <w:t>第二节 完善信息安全基础设施</w:t>
      </w:r>
      <w:r>
        <w:rPr>
          <w:rFonts w:ascii="Times New Roman" w:hAnsi="Times New Roman" w:eastAsia="宋体" w:cs="Times New Roman"/>
          <w:sz w:val="28"/>
          <w:szCs w:val="28"/>
          <w:lang w:val="en-US" w:eastAsia="zh-CN"/>
        </w:rPr>
        <w:tab/>
      </w:r>
      <w:r>
        <w:rPr>
          <w:rFonts w:ascii="Times New Roman" w:hAnsi="Times New Roman" w:eastAsia="宋体" w:cs="Times New Roman"/>
          <w:sz w:val="28"/>
          <w:szCs w:val="28"/>
          <w:lang w:val="en-US" w:eastAsia="zh-CN"/>
        </w:rPr>
        <w:fldChar w:fldCharType="begin"/>
      </w:r>
      <w:r>
        <w:rPr>
          <w:rFonts w:ascii="Times New Roman" w:hAnsi="Times New Roman" w:eastAsia="宋体" w:cs="Times New Roman"/>
          <w:sz w:val="28"/>
          <w:szCs w:val="28"/>
          <w:lang w:val="en-US" w:eastAsia="zh-CN"/>
        </w:rPr>
        <w:instrText xml:space="preserve"> PAGEREF _Toc94308425 \h </w:instrText>
      </w:r>
      <w:r>
        <w:rPr>
          <w:rFonts w:ascii="Times New Roman" w:hAnsi="Times New Roman" w:eastAsia="宋体" w:cs="Times New Roman"/>
          <w:sz w:val="28"/>
          <w:szCs w:val="28"/>
          <w:lang w:val="en-US" w:eastAsia="zh-CN"/>
        </w:rPr>
        <w:fldChar w:fldCharType="separate"/>
      </w:r>
      <w:r>
        <w:rPr>
          <w:rFonts w:ascii="Times New Roman" w:hAnsi="Times New Roman" w:eastAsia="宋体" w:cs="Times New Roman"/>
          <w:sz w:val="28"/>
          <w:szCs w:val="28"/>
          <w:lang w:val="en-US" w:eastAsia="zh-CN"/>
        </w:rPr>
        <w:t>64</w:t>
      </w:r>
      <w:r>
        <w:rPr>
          <w:rFonts w:ascii="Times New Roman" w:hAnsi="Times New Roman" w:eastAsia="宋体" w:cs="Times New Roman"/>
          <w:sz w:val="28"/>
          <w:szCs w:val="28"/>
          <w:lang w:val="en-US" w:eastAsia="zh-CN"/>
        </w:rPr>
        <w:fldChar w:fldCharType="end"/>
      </w:r>
      <w:r>
        <w:rPr>
          <w:rFonts w:ascii="Times New Roman" w:hAnsi="Times New Roman" w:eastAsia="宋体" w:cs="Times New Roman"/>
          <w:sz w:val="28"/>
          <w:szCs w:val="28"/>
          <w:lang w:val="en-US" w:eastAsia="zh-CN"/>
        </w:rPr>
        <w:fldChar w:fldCharType="end"/>
      </w:r>
    </w:p>
    <w:p>
      <w:pPr>
        <w:tabs>
          <w:tab w:val="right" w:leader="dot" w:pos="8834"/>
        </w:tabs>
        <w:rPr>
          <w:rFonts w:ascii="Times New Roman" w:hAnsi="Times New Roman" w:eastAsia="等线" w:cs="Times New Roman"/>
          <w:sz w:val="28"/>
          <w:szCs w:val="28"/>
          <w:lang w:val="en-US" w:eastAsia="zh-CN"/>
        </w:rPr>
      </w:pPr>
      <w:r>
        <w:fldChar w:fldCharType="begin"/>
      </w:r>
      <w:r>
        <w:instrText xml:space="preserve"> HYPERLINK \l "_Toc94308426" </w:instrText>
      </w:r>
      <w:r>
        <w:fldChar w:fldCharType="separate"/>
      </w:r>
      <w:r>
        <w:rPr>
          <w:rFonts w:ascii="Times New Roman" w:hAnsi="Times New Roman" w:eastAsia="黑体" w:cs="Times New Roman"/>
          <w:color w:val="0000FF"/>
          <w:sz w:val="28"/>
          <w:u w:val="single"/>
          <w:lang w:val="en-US" w:eastAsia="zh-CN"/>
        </w:rPr>
        <w:t>第八章 保障措施</w:t>
      </w:r>
      <w:r>
        <w:rPr>
          <w:rFonts w:ascii="Times New Roman" w:hAnsi="Times New Roman" w:eastAsia="宋体" w:cs="Times New Roman"/>
          <w:sz w:val="28"/>
          <w:szCs w:val="28"/>
          <w:lang w:val="en-US" w:eastAsia="zh-CN"/>
        </w:rPr>
        <w:tab/>
      </w:r>
      <w:r>
        <w:rPr>
          <w:rFonts w:ascii="Times New Roman" w:hAnsi="Times New Roman" w:eastAsia="宋体" w:cs="Times New Roman"/>
          <w:sz w:val="28"/>
          <w:szCs w:val="28"/>
          <w:lang w:val="en-US" w:eastAsia="zh-CN"/>
        </w:rPr>
        <w:fldChar w:fldCharType="begin"/>
      </w:r>
      <w:r>
        <w:rPr>
          <w:rFonts w:ascii="Times New Roman" w:hAnsi="Times New Roman" w:eastAsia="宋体" w:cs="Times New Roman"/>
          <w:sz w:val="28"/>
          <w:szCs w:val="28"/>
          <w:lang w:val="en-US" w:eastAsia="zh-CN"/>
        </w:rPr>
        <w:instrText xml:space="preserve"> PAGEREF _Toc94308426 \h </w:instrText>
      </w:r>
      <w:r>
        <w:rPr>
          <w:rFonts w:ascii="Times New Roman" w:hAnsi="Times New Roman" w:eastAsia="宋体" w:cs="Times New Roman"/>
          <w:sz w:val="28"/>
          <w:szCs w:val="28"/>
          <w:lang w:val="en-US" w:eastAsia="zh-CN"/>
        </w:rPr>
        <w:fldChar w:fldCharType="separate"/>
      </w:r>
      <w:r>
        <w:rPr>
          <w:rFonts w:ascii="Times New Roman" w:hAnsi="Times New Roman" w:eastAsia="宋体" w:cs="Times New Roman"/>
          <w:sz w:val="28"/>
          <w:szCs w:val="28"/>
          <w:lang w:val="en-US" w:eastAsia="zh-CN"/>
        </w:rPr>
        <w:t>66</w:t>
      </w:r>
      <w:r>
        <w:rPr>
          <w:rFonts w:ascii="Times New Roman" w:hAnsi="Times New Roman" w:eastAsia="宋体" w:cs="Times New Roman"/>
          <w:sz w:val="28"/>
          <w:szCs w:val="28"/>
          <w:lang w:val="en-US" w:eastAsia="zh-CN"/>
        </w:rPr>
        <w:fldChar w:fldCharType="end"/>
      </w:r>
      <w:r>
        <w:rPr>
          <w:rFonts w:ascii="Times New Roman" w:hAnsi="Times New Roman" w:eastAsia="宋体" w:cs="Times New Roman"/>
          <w:sz w:val="28"/>
          <w:szCs w:val="28"/>
          <w:lang w:val="en-US" w:eastAsia="zh-CN"/>
        </w:rPr>
        <w:fldChar w:fldCharType="end"/>
      </w:r>
    </w:p>
    <w:p>
      <w:pPr>
        <w:tabs>
          <w:tab w:val="right" w:leader="dot" w:pos="8834"/>
        </w:tabs>
        <w:rPr>
          <w:rFonts w:ascii="Times New Roman" w:hAnsi="Times New Roman" w:eastAsia="等线" w:cs="Times New Roman"/>
          <w:sz w:val="28"/>
          <w:szCs w:val="28"/>
          <w:lang w:val="en-US" w:eastAsia="zh-CN"/>
        </w:rPr>
      </w:pPr>
      <w:r>
        <w:fldChar w:fldCharType="begin"/>
      </w:r>
      <w:r>
        <w:instrText xml:space="preserve"> HYPERLINK \l "_Toc94308427" </w:instrText>
      </w:r>
      <w:r>
        <w:fldChar w:fldCharType="separate"/>
      </w:r>
      <w:r>
        <w:rPr>
          <w:rFonts w:ascii="Times New Roman" w:hAnsi="Times New Roman" w:eastAsia="楷体_GB2312" w:cs="Times New Roman"/>
          <w:color w:val="0000FF"/>
          <w:sz w:val="28"/>
          <w:u w:val="single"/>
          <w:lang w:val="en-US" w:eastAsia="zh-CN"/>
        </w:rPr>
        <w:t>第一节 加强组织领导，健全统筹协调机制</w:t>
      </w:r>
      <w:r>
        <w:rPr>
          <w:rFonts w:ascii="Times New Roman" w:hAnsi="Times New Roman" w:eastAsia="宋体" w:cs="Times New Roman"/>
          <w:sz w:val="28"/>
          <w:szCs w:val="28"/>
          <w:lang w:val="en-US" w:eastAsia="zh-CN"/>
        </w:rPr>
        <w:tab/>
      </w:r>
      <w:r>
        <w:rPr>
          <w:rFonts w:ascii="Times New Roman" w:hAnsi="Times New Roman" w:eastAsia="宋体" w:cs="Times New Roman"/>
          <w:sz w:val="28"/>
          <w:szCs w:val="28"/>
          <w:lang w:val="en-US" w:eastAsia="zh-CN"/>
        </w:rPr>
        <w:fldChar w:fldCharType="begin"/>
      </w:r>
      <w:r>
        <w:rPr>
          <w:rFonts w:ascii="Times New Roman" w:hAnsi="Times New Roman" w:eastAsia="宋体" w:cs="Times New Roman"/>
          <w:sz w:val="28"/>
          <w:szCs w:val="28"/>
          <w:lang w:val="en-US" w:eastAsia="zh-CN"/>
        </w:rPr>
        <w:instrText xml:space="preserve"> PAGEREF _Toc94308427 \h </w:instrText>
      </w:r>
      <w:r>
        <w:rPr>
          <w:rFonts w:ascii="Times New Roman" w:hAnsi="Times New Roman" w:eastAsia="宋体" w:cs="Times New Roman"/>
          <w:sz w:val="28"/>
          <w:szCs w:val="28"/>
          <w:lang w:val="en-US" w:eastAsia="zh-CN"/>
        </w:rPr>
        <w:fldChar w:fldCharType="separate"/>
      </w:r>
      <w:r>
        <w:rPr>
          <w:rFonts w:ascii="Times New Roman" w:hAnsi="Times New Roman" w:eastAsia="宋体" w:cs="Times New Roman"/>
          <w:sz w:val="28"/>
          <w:szCs w:val="28"/>
          <w:lang w:val="en-US" w:eastAsia="zh-CN"/>
        </w:rPr>
        <w:t>66</w:t>
      </w:r>
      <w:r>
        <w:rPr>
          <w:rFonts w:ascii="Times New Roman" w:hAnsi="Times New Roman" w:eastAsia="宋体" w:cs="Times New Roman"/>
          <w:sz w:val="28"/>
          <w:szCs w:val="28"/>
          <w:lang w:val="en-US" w:eastAsia="zh-CN"/>
        </w:rPr>
        <w:fldChar w:fldCharType="end"/>
      </w:r>
      <w:r>
        <w:rPr>
          <w:rFonts w:ascii="Times New Roman" w:hAnsi="Times New Roman" w:eastAsia="宋体" w:cs="Times New Roman"/>
          <w:sz w:val="28"/>
          <w:szCs w:val="28"/>
          <w:lang w:val="en-US" w:eastAsia="zh-CN"/>
        </w:rPr>
        <w:fldChar w:fldCharType="end"/>
      </w:r>
    </w:p>
    <w:p>
      <w:pPr>
        <w:tabs>
          <w:tab w:val="right" w:leader="dot" w:pos="8834"/>
        </w:tabs>
        <w:rPr>
          <w:rFonts w:ascii="Times New Roman" w:hAnsi="Times New Roman" w:eastAsia="等线" w:cs="Times New Roman"/>
          <w:sz w:val="28"/>
          <w:szCs w:val="28"/>
          <w:lang w:val="en-US" w:eastAsia="zh-CN"/>
        </w:rPr>
      </w:pPr>
      <w:r>
        <w:fldChar w:fldCharType="begin"/>
      </w:r>
      <w:r>
        <w:instrText xml:space="preserve"> HYPERLINK \l "_Toc94308428" </w:instrText>
      </w:r>
      <w:r>
        <w:fldChar w:fldCharType="separate"/>
      </w:r>
      <w:r>
        <w:rPr>
          <w:rFonts w:ascii="Times New Roman" w:hAnsi="Times New Roman" w:eastAsia="楷体_GB2312" w:cs="Times New Roman"/>
          <w:color w:val="0000FF"/>
          <w:sz w:val="28"/>
          <w:u w:val="single"/>
          <w:lang w:val="en-US" w:eastAsia="zh-CN"/>
        </w:rPr>
        <w:t>第二节 注重培养培训，加强人才队伍建设</w:t>
      </w:r>
      <w:r>
        <w:rPr>
          <w:rFonts w:ascii="Times New Roman" w:hAnsi="Times New Roman" w:eastAsia="宋体" w:cs="Times New Roman"/>
          <w:sz w:val="28"/>
          <w:szCs w:val="28"/>
          <w:lang w:val="en-US" w:eastAsia="zh-CN"/>
        </w:rPr>
        <w:tab/>
      </w:r>
      <w:r>
        <w:rPr>
          <w:rFonts w:ascii="Times New Roman" w:hAnsi="Times New Roman" w:eastAsia="宋体" w:cs="Times New Roman"/>
          <w:sz w:val="28"/>
          <w:szCs w:val="28"/>
          <w:lang w:val="en-US" w:eastAsia="zh-CN"/>
        </w:rPr>
        <w:fldChar w:fldCharType="begin"/>
      </w:r>
      <w:r>
        <w:rPr>
          <w:rFonts w:ascii="Times New Roman" w:hAnsi="Times New Roman" w:eastAsia="宋体" w:cs="Times New Roman"/>
          <w:sz w:val="28"/>
          <w:szCs w:val="28"/>
          <w:lang w:val="en-US" w:eastAsia="zh-CN"/>
        </w:rPr>
        <w:instrText xml:space="preserve"> PAGEREF _Toc94308428 \h </w:instrText>
      </w:r>
      <w:r>
        <w:rPr>
          <w:rFonts w:ascii="Times New Roman" w:hAnsi="Times New Roman" w:eastAsia="宋体" w:cs="Times New Roman"/>
          <w:sz w:val="28"/>
          <w:szCs w:val="28"/>
          <w:lang w:val="en-US" w:eastAsia="zh-CN"/>
        </w:rPr>
        <w:fldChar w:fldCharType="separate"/>
      </w:r>
      <w:r>
        <w:rPr>
          <w:rFonts w:ascii="Times New Roman" w:hAnsi="Times New Roman" w:eastAsia="宋体" w:cs="Times New Roman"/>
          <w:sz w:val="28"/>
          <w:szCs w:val="28"/>
          <w:lang w:val="en-US" w:eastAsia="zh-CN"/>
        </w:rPr>
        <w:t>66</w:t>
      </w:r>
      <w:r>
        <w:rPr>
          <w:rFonts w:ascii="Times New Roman" w:hAnsi="Times New Roman" w:eastAsia="宋体" w:cs="Times New Roman"/>
          <w:sz w:val="28"/>
          <w:szCs w:val="28"/>
          <w:lang w:val="en-US" w:eastAsia="zh-CN"/>
        </w:rPr>
        <w:fldChar w:fldCharType="end"/>
      </w:r>
      <w:r>
        <w:rPr>
          <w:rFonts w:ascii="Times New Roman" w:hAnsi="Times New Roman" w:eastAsia="宋体" w:cs="Times New Roman"/>
          <w:sz w:val="28"/>
          <w:szCs w:val="28"/>
          <w:lang w:val="en-US" w:eastAsia="zh-CN"/>
        </w:rPr>
        <w:fldChar w:fldCharType="end"/>
      </w:r>
    </w:p>
    <w:p>
      <w:pPr>
        <w:tabs>
          <w:tab w:val="right" w:leader="dot" w:pos="8834"/>
        </w:tabs>
        <w:rPr>
          <w:rFonts w:ascii="Times New Roman" w:hAnsi="Times New Roman" w:eastAsia="等线" w:cs="Times New Roman"/>
          <w:sz w:val="28"/>
          <w:szCs w:val="28"/>
          <w:lang w:val="en-US" w:eastAsia="zh-CN"/>
        </w:rPr>
      </w:pPr>
      <w:r>
        <w:fldChar w:fldCharType="begin"/>
      </w:r>
      <w:r>
        <w:instrText xml:space="preserve"> HYPERLINK \l "_Toc94308429" </w:instrText>
      </w:r>
      <w:r>
        <w:fldChar w:fldCharType="separate"/>
      </w:r>
      <w:r>
        <w:rPr>
          <w:rFonts w:ascii="Times New Roman" w:hAnsi="Times New Roman" w:eastAsia="楷体_GB2312" w:cs="Times New Roman"/>
          <w:color w:val="0000FF"/>
          <w:sz w:val="28"/>
          <w:u w:val="single"/>
          <w:lang w:val="en-US" w:eastAsia="zh-CN"/>
        </w:rPr>
        <w:t>第三节 强化监督管理，建立考核评估制度</w:t>
      </w:r>
      <w:r>
        <w:rPr>
          <w:rFonts w:ascii="Times New Roman" w:hAnsi="Times New Roman" w:eastAsia="宋体" w:cs="Times New Roman"/>
          <w:sz w:val="28"/>
          <w:szCs w:val="28"/>
          <w:lang w:val="en-US" w:eastAsia="zh-CN"/>
        </w:rPr>
        <w:tab/>
      </w:r>
      <w:r>
        <w:rPr>
          <w:rFonts w:ascii="Times New Roman" w:hAnsi="Times New Roman" w:eastAsia="宋体" w:cs="Times New Roman"/>
          <w:sz w:val="28"/>
          <w:szCs w:val="28"/>
          <w:lang w:val="en-US" w:eastAsia="zh-CN"/>
        </w:rPr>
        <w:fldChar w:fldCharType="begin"/>
      </w:r>
      <w:r>
        <w:rPr>
          <w:rFonts w:ascii="Times New Roman" w:hAnsi="Times New Roman" w:eastAsia="宋体" w:cs="Times New Roman"/>
          <w:sz w:val="28"/>
          <w:szCs w:val="28"/>
          <w:lang w:val="en-US" w:eastAsia="zh-CN"/>
        </w:rPr>
        <w:instrText xml:space="preserve"> PAGEREF _Toc94308429 \h </w:instrText>
      </w:r>
      <w:r>
        <w:rPr>
          <w:rFonts w:ascii="Times New Roman" w:hAnsi="Times New Roman" w:eastAsia="宋体" w:cs="Times New Roman"/>
          <w:sz w:val="28"/>
          <w:szCs w:val="28"/>
          <w:lang w:val="en-US" w:eastAsia="zh-CN"/>
        </w:rPr>
        <w:fldChar w:fldCharType="separate"/>
      </w:r>
      <w:r>
        <w:rPr>
          <w:rFonts w:ascii="Times New Roman" w:hAnsi="Times New Roman" w:eastAsia="宋体" w:cs="Times New Roman"/>
          <w:sz w:val="28"/>
          <w:szCs w:val="28"/>
          <w:lang w:val="en-US" w:eastAsia="zh-CN"/>
        </w:rPr>
        <w:t>67</w:t>
      </w:r>
      <w:r>
        <w:rPr>
          <w:rFonts w:ascii="Times New Roman" w:hAnsi="Times New Roman" w:eastAsia="宋体" w:cs="Times New Roman"/>
          <w:sz w:val="28"/>
          <w:szCs w:val="28"/>
          <w:lang w:val="en-US" w:eastAsia="zh-CN"/>
        </w:rPr>
        <w:fldChar w:fldCharType="end"/>
      </w:r>
      <w:r>
        <w:rPr>
          <w:rFonts w:ascii="Times New Roman" w:hAnsi="Times New Roman" w:eastAsia="宋体" w:cs="Times New Roman"/>
          <w:sz w:val="28"/>
          <w:szCs w:val="28"/>
          <w:lang w:val="en-US" w:eastAsia="zh-CN"/>
        </w:rPr>
        <w:fldChar w:fldCharType="end"/>
      </w:r>
    </w:p>
    <w:p>
      <w:pPr>
        <w:tabs>
          <w:tab w:val="right" w:leader="dot" w:pos="8834"/>
        </w:tabs>
        <w:rPr>
          <w:rFonts w:hint="eastAsia" w:ascii="Times New Roman" w:hAnsi="Times New Roman" w:eastAsia="宋体" w:cs="Times New Roman"/>
          <w:sz w:val="28"/>
          <w:szCs w:val="28"/>
          <w:lang w:val="en-US"/>
        </w:rPr>
      </w:pPr>
      <w:r>
        <w:fldChar w:fldCharType="begin"/>
      </w:r>
      <w:r>
        <w:instrText xml:space="preserve"> HYPERLINK \l "_Toc94308430" </w:instrText>
      </w:r>
      <w:r>
        <w:fldChar w:fldCharType="separate"/>
      </w:r>
      <w:r>
        <w:rPr>
          <w:rFonts w:ascii="Times New Roman" w:hAnsi="Times New Roman" w:eastAsia="楷体_GB2312" w:cs="Times New Roman"/>
          <w:color w:val="0000FF"/>
          <w:sz w:val="28"/>
          <w:u w:val="single"/>
          <w:lang w:val="en-US" w:eastAsia="zh-CN"/>
        </w:rPr>
        <w:t>第四节 拓宽投入渠道，统筹资金使用管理</w:t>
      </w:r>
      <w:r>
        <w:rPr>
          <w:rFonts w:ascii="Times New Roman" w:hAnsi="Times New Roman" w:eastAsia="宋体" w:cs="Times New Roman"/>
          <w:sz w:val="28"/>
          <w:szCs w:val="28"/>
          <w:lang w:val="en-US" w:eastAsia="zh-CN"/>
        </w:rPr>
        <w:tab/>
      </w:r>
      <w:r>
        <w:rPr>
          <w:rFonts w:ascii="Times New Roman" w:hAnsi="Times New Roman" w:eastAsia="宋体" w:cs="Times New Roman"/>
          <w:sz w:val="28"/>
          <w:szCs w:val="28"/>
          <w:lang w:val="en-US" w:eastAsia="zh-CN"/>
        </w:rPr>
        <w:fldChar w:fldCharType="begin"/>
      </w:r>
      <w:r>
        <w:rPr>
          <w:rFonts w:ascii="Times New Roman" w:hAnsi="Times New Roman" w:eastAsia="宋体" w:cs="Times New Roman"/>
          <w:sz w:val="28"/>
          <w:szCs w:val="28"/>
          <w:lang w:val="en-US" w:eastAsia="zh-CN"/>
        </w:rPr>
        <w:instrText xml:space="preserve"> PAGEREF _Toc94308430 \h </w:instrText>
      </w:r>
      <w:r>
        <w:rPr>
          <w:rFonts w:ascii="Times New Roman" w:hAnsi="Times New Roman" w:eastAsia="宋体" w:cs="Times New Roman"/>
          <w:sz w:val="28"/>
          <w:szCs w:val="28"/>
          <w:lang w:val="en-US" w:eastAsia="zh-CN"/>
        </w:rPr>
        <w:fldChar w:fldCharType="separate"/>
      </w:r>
      <w:r>
        <w:rPr>
          <w:rFonts w:ascii="Times New Roman" w:hAnsi="Times New Roman" w:eastAsia="宋体" w:cs="Times New Roman"/>
          <w:sz w:val="28"/>
          <w:szCs w:val="28"/>
          <w:lang w:val="en-US" w:eastAsia="zh-CN"/>
        </w:rPr>
        <w:t>67</w:t>
      </w:r>
      <w:r>
        <w:rPr>
          <w:rFonts w:ascii="Times New Roman" w:hAnsi="Times New Roman" w:eastAsia="宋体" w:cs="Times New Roman"/>
          <w:sz w:val="28"/>
          <w:szCs w:val="28"/>
          <w:lang w:val="en-US" w:eastAsia="zh-CN"/>
        </w:rPr>
        <w:fldChar w:fldCharType="end"/>
      </w:r>
      <w:r>
        <w:rPr>
          <w:rFonts w:ascii="Times New Roman" w:hAnsi="Times New Roman" w:eastAsia="宋体" w:cs="Times New Roman"/>
          <w:sz w:val="28"/>
          <w:szCs w:val="28"/>
          <w:lang w:val="en-US" w:eastAsia="zh-CN"/>
        </w:rPr>
        <w:fldChar w:fldCharType="end"/>
      </w:r>
    </w:p>
    <w:p>
      <w:pPr>
        <w:tabs>
          <w:tab w:val="right" w:leader="dot" w:pos="8834"/>
        </w:tabs>
        <w:rPr>
          <w:rFonts w:ascii="Times New Roman" w:hAnsi="Times New Roman" w:eastAsia="等线" w:cs="Times New Roman"/>
          <w:sz w:val="28"/>
          <w:szCs w:val="28"/>
          <w:lang w:val="en-US" w:eastAsia="zh-CN"/>
        </w:rPr>
      </w:pPr>
      <w:r>
        <w:fldChar w:fldCharType="begin"/>
      </w:r>
      <w:r>
        <w:instrText xml:space="preserve"> HYPERLINK \l "_Toc94308431" </w:instrText>
      </w:r>
      <w:r>
        <w:fldChar w:fldCharType="separate"/>
      </w:r>
      <w:r>
        <w:rPr>
          <w:rFonts w:ascii="Times New Roman" w:hAnsi="Times New Roman" w:eastAsia="楷体_GB2312" w:cs="Times New Roman"/>
          <w:color w:val="0000FF"/>
          <w:sz w:val="28"/>
          <w:u w:val="single"/>
          <w:lang w:val="en-US" w:eastAsia="zh-CN"/>
        </w:rPr>
        <w:t>第五节 构建标准体系，开展运营团队建设</w:t>
      </w:r>
      <w:r>
        <w:rPr>
          <w:rFonts w:ascii="Times New Roman" w:hAnsi="Times New Roman" w:eastAsia="宋体" w:cs="Times New Roman"/>
          <w:sz w:val="28"/>
          <w:szCs w:val="28"/>
          <w:lang w:val="en-US" w:eastAsia="zh-CN"/>
        </w:rPr>
        <w:tab/>
      </w:r>
      <w:r>
        <w:rPr>
          <w:rFonts w:ascii="Times New Roman" w:hAnsi="Times New Roman" w:eastAsia="宋体" w:cs="Times New Roman"/>
          <w:sz w:val="28"/>
          <w:szCs w:val="28"/>
          <w:lang w:val="en-US" w:eastAsia="zh-CN"/>
        </w:rPr>
        <w:fldChar w:fldCharType="begin"/>
      </w:r>
      <w:r>
        <w:rPr>
          <w:rFonts w:ascii="Times New Roman" w:hAnsi="Times New Roman" w:eastAsia="宋体" w:cs="Times New Roman"/>
          <w:sz w:val="28"/>
          <w:szCs w:val="28"/>
          <w:lang w:val="en-US" w:eastAsia="zh-CN"/>
        </w:rPr>
        <w:instrText xml:space="preserve"> PAGEREF _Toc94308431 \h </w:instrText>
      </w:r>
      <w:r>
        <w:rPr>
          <w:rFonts w:ascii="Times New Roman" w:hAnsi="Times New Roman" w:eastAsia="宋体" w:cs="Times New Roman"/>
          <w:sz w:val="28"/>
          <w:szCs w:val="28"/>
          <w:lang w:val="en-US" w:eastAsia="zh-CN"/>
        </w:rPr>
        <w:fldChar w:fldCharType="separate"/>
      </w:r>
      <w:r>
        <w:rPr>
          <w:rFonts w:ascii="Times New Roman" w:hAnsi="Times New Roman" w:eastAsia="宋体" w:cs="Times New Roman"/>
          <w:sz w:val="28"/>
          <w:szCs w:val="28"/>
          <w:lang w:val="en-US" w:eastAsia="zh-CN"/>
        </w:rPr>
        <w:t>68</w:t>
      </w:r>
      <w:r>
        <w:rPr>
          <w:rFonts w:ascii="Times New Roman" w:hAnsi="Times New Roman" w:eastAsia="宋体" w:cs="Times New Roman"/>
          <w:sz w:val="28"/>
          <w:szCs w:val="28"/>
          <w:lang w:val="en-US" w:eastAsia="zh-CN"/>
        </w:rPr>
        <w:fldChar w:fldCharType="end"/>
      </w:r>
      <w:r>
        <w:rPr>
          <w:rFonts w:ascii="Times New Roman" w:hAnsi="Times New Roman" w:eastAsia="宋体" w:cs="Times New Roman"/>
          <w:sz w:val="28"/>
          <w:szCs w:val="28"/>
          <w:lang w:val="en-US" w:eastAsia="zh-CN"/>
        </w:rPr>
        <w:fldChar w:fldCharType="end"/>
      </w:r>
    </w:p>
    <w:p>
      <w:pPr>
        <w:tabs>
          <w:tab w:val="right" w:leader="dot" w:pos="8834"/>
        </w:tabs>
        <w:ind w:firstLine="420" w:firstLineChars="200"/>
        <w:rPr>
          <w:rFonts w:ascii="Times New Roman" w:hAnsi="Times New Roman" w:eastAsia="等线" w:cs="Times New Roman"/>
          <w:sz w:val="28"/>
          <w:szCs w:val="28"/>
          <w:lang w:val="en-US" w:eastAsia="zh-CN"/>
        </w:rPr>
      </w:pPr>
      <w:r>
        <w:fldChar w:fldCharType="begin"/>
      </w:r>
      <w:r>
        <w:instrText xml:space="preserve"> HYPERLINK \l "_Toc94308432" </w:instrText>
      </w:r>
      <w:r>
        <w:fldChar w:fldCharType="separate"/>
      </w:r>
      <w:r>
        <w:rPr>
          <w:rFonts w:ascii="Times New Roman" w:hAnsi="Times New Roman" w:eastAsia="黑体" w:cs="Times New Roman"/>
          <w:color w:val="0000FF"/>
          <w:sz w:val="28"/>
          <w:u w:val="single"/>
          <w:lang w:val="en-US" w:eastAsia="zh-CN"/>
        </w:rPr>
        <w:t>附件</w:t>
      </w:r>
      <w:r>
        <w:rPr>
          <w:rFonts w:ascii="Times New Roman" w:hAnsi="Times New Roman" w:eastAsia="黑体" w:cs="Times New Roman"/>
          <w:color w:val="0000FF"/>
          <w:sz w:val="28"/>
          <w:u w:val="single"/>
          <w:lang w:val="en-US" w:eastAsia="zh-CN"/>
        </w:rPr>
        <w:fldChar w:fldCharType="end"/>
      </w:r>
      <w:r>
        <w:rPr>
          <w:rFonts w:ascii="Times New Roman" w:hAnsi="Times New Roman" w:eastAsia="黑体" w:cs="Times New Roman"/>
          <w:color w:val="0000FF"/>
          <w:sz w:val="28"/>
          <w:u w:val="single"/>
          <w:lang w:val="en-US" w:eastAsia="zh-CN"/>
        </w:rPr>
        <w:t xml:space="preserve">： </w:t>
      </w:r>
      <w:r>
        <w:fldChar w:fldCharType="begin"/>
      </w:r>
      <w:r>
        <w:instrText xml:space="preserve"> HYPERLINK \l "_Toc94308433" </w:instrText>
      </w:r>
      <w:r>
        <w:fldChar w:fldCharType="separate"/>
      </w:r>
      <w:r>
        <w:rPr>
          <w:rFonts w:ascii="Times New Roman" w:hAnsi="Times New Roman" w:eastAsia="黑体" w:cs="Times New Roman"/>
          <w:color w:val="0000FF"/>
          <w:sz w:val="28"/>
          <w:u w:val="single"/>
          <w:lang w:val="en-US" w:eastAsia="zh-CN"/>
        </w:rPr>
        <w:t>“十四五”数字泉州建设重点项目表</w:t>
      </w:r>
      <w:r>
        <w:rPr>
          <w:rFonts w:ascii="Times New Roman" w:hAnsi="Times New Roman" w:eastAsia="宋体" w:cs="Times New Roman"/>
          <w:sz w:val="28"/>
          <w:szCs w:val="28"/>
          <w:lang w:val="en-US" w:eastAsia="zh-CN"/>
        </w:rPr>
        <w:tab/>
      </w:r>
      <w:r>
        <w:rPr>
          <w:rFonts w:ascii="Times New Roman" w:hAnsi="Times New Roman" w:eastAsia="宋体" w:cs="Times New Roman"/>
          <w:sz w:val="28"/>
          <w:szCs w:val="28"/>
          <w:lang w:val="en-US" w:eastAsia="zh-CN"/>
        </w:rPr>
        <w:fldChar w:fldCharType="begin"/>
      </w:r>
      <w:r>
        <w:rPr>
          <w:rFonts w:ascii="Times New Roman" w:hAnsi="Times New Roman" w:eastAsia="宋体" w:cs="Times New Roman"/>
          <w:sz w:val="28"/>
          <w:szCs w:val="28"/>
          <w:lang w:val="en-US" w:eastAsia="zh-CN"/>
        </w:rPr>
        <w:instrText xml:space="preserve"> PAGEREF _Toc94308433 \h </w:instrText>
      </w:r>
      <w:r>
        <w:rPr>
          <w:rFonts w:ascii="Times New Roman" w:hAnsi="Times New Roman" w:eastAsia="宋体" w:cs="Times New Roman"/>
          <w:sz w:val="28"/>
          <w:szCs w:val="28"/>
          <w:lang w:val="en-US" w:eastAsia="zh-CN"/>
        </w:rPr>
        <w:fldChar w:fldCharType="separate"/>
      </w:r>
      <w:r>
        <w:rPr>
          <w:rFonts w:ascii="Times New Roman" w:hAnsi="Times New Roman" w:eastAsia="宋体" w:cs="Times New Roman"/>
          <w:sz w:val="28"/>
          <w:szCs w:val="28"/>
          <w:lang w:val="en-US" w:eastAsia="zh-CN"/>
        </w:rPr>
        <w:t>70</w:t>
      </w:r>
      <w:r>
        <w:rPr>
          <w:rFonts w:ascii="Times New Roman" w:hAnsi="Times New Roman" w:eastAsia="宋体" w:cs="Times New Roman"/>
          <w:sz w:val="28"/>
          <w:szCs w:val="28"/>
          <w:lang w:val="en-US" w:eastAsia="zh-CN"/>
        </w:rPr>
        <w:fldChar w:fldCharType="end"/>
      </w:r>
      <w:r>
        <w:rPr>
          <w:rFonts w:ascii="Times New Roman" w:hAnsi="Times New Roman" w:eastAsia="宋体" w:cs="Times New Roman"/>
          <w:sz w:val="28"/>
          <w:szCs w:val="28"/>
          <w:lang w:val="en-US" w:eastAsia="zh-CN"/>
        </w:rPr>
        <w:fldChar w:fldCharType="end"/>
      </w:r>
    </w:p>
    <w:p>
      <w:pPr>
        <w:spacing w:line="500" w:lineRule="exact"/>
        <w:rPr>
          <w:rFonts w:ascii="Times New Roman" w:hAnsi="Times New Roman" w:eastAsia="宋体" w:cs="Times New Roman"/>
          <w:sz w:val="28"/>
          <w:szCs w:val="28"/>
        </w:rPr>
      </w:pPr>
      <w:r>
        <w:rPr>
          <w:rFonts w:ascii="Times New Roman" w:hAnsi="Times New Roman" w:eastAsia="宋体" w:cs="Times New Roman"/>
          <w:sz w:val="28"/>
          <w:szCs w:val="28"/>
        </w:rPr>
        <w:fldChar w:fldCharType="end"/>
      </w:r>
    </w:p>
    <w:p>
      <w:pPr>
        <w:spacing w:after="97"/>
        <w:rPr>
          <w:rFonts w:ascii="Times New Roman" w:hAnsi="Times New Roman" w:eastAsia="宋体" w:cs="Times New Roman"/>
          <w:sz w:val="22"/>
          <w:szCs w:val="24"/>
        </w:rPr>
        <w:sectPr>
          <w:footerReference r:id="rId7" w:type="default"/>
          <w:pgSz w:w="11906" w:h="16838"/>
          <w:pgMar w:top="1418" w:right="1474" w:bottom="1418" w:left="1588" w:header="851" w:footer="992" w:gutter="0"/>
          <w:pgNumType w:start="1"/>
          <w:cols w:space="720" w:num="1"/>
          <w:docGrid w:type="lines" w:linePitch="326" w:charSpace="0"/>
        </w:sectPr>
      </w:pPr>
    </w:p>
    <w:p>
      <w:pPr>
        <w:keepNext/>
        <w:keepLines/>
        <w:spacing w:line="580" w:lineRule="exact"/>
        <w:jc w:val="center"/>
        <w:outlineLvl w:val="0"/>
        <w:rPr>
          <w:rFonts w:ascii="Times New Roman" w:hAnsi="Times New Roman" w:eastAsia="黑体" w:cs="Times New Roman"/>
          <w:kern w:val="44"/>
          <w:sz w:val="36"/>
          <w:szCs w:val="36"/>
        </w:rPr>
      </w:pPr>
      <w:bookmarkStart w:id="1" w:name="_Toc4613"/>
      <w:bookmarkStart w:id="2" w:name="_Toc28268237"/>
    </w:p>
    <w:p>
      <w:pPr>
        <w:keepNext/>
        <w:keepLines/>
        <w:spacing w:line="580" w:lineRule="exact"/>
        <w:jc w:val="center"/>
        <w:outlineLvl w:val="0"/>
        <w:rPr>
          <w:rFonts w:ascii="Times New Roman" w:hAnsi="Times New Roman" w:eastAsia="黑体" w:cs="Times New Roman"/>
          <w:color w:val="000000"/>
          <w:kern w:val="44"/>
          <w:sz w:val="36"/>
          <w:szCs w:val="36"/>
        </w:rPr>
      </w:pPr>
      <w:bookmarkStart w:id="3" w:name="_Toc94308399"/>
      <w:r>
        <w:rPr>
          <w:rFonts w:ascii="Times New Roman" w:hAnsi="Times New Roman" w:eastAsia="黑体" w:cs="Times New Roman"/>
          <w:color w:val="000000"/>
          <w:kern w:val="44"/>
          <w:sz w:val="36"/>
          <w:szCs w:val="36"/>
        </w:rPr>
        <w:t>前  言</w:t>
      </w:r>
      <w:bookmarkEnd w:id="3"/>
    </w:p>
    <w:p>
      <w:pPr>
        <w:spacing w:line="580" w:lineRule="exact"/>
        <w:ind w:firstLine="640" w:firstLineChars="200"/>
        <w:rPr>
          <w:rFonts w:ascii="Times New Roman" w:hAnsi="Times New Roman" w:eastAsia="仿宋_GB2312" w:cs="Times New Roman"/>
          <w:color w:val="000000"/>
          <w:kern w:val="0"/>
          <w:sz w:val="32"/>
          <w:szCs w:val="28"/>
          <w:lang w:val="zh-CN"/>
        </w:rPr>
      </w:pPr>
    </w:p>
    <w:p>
      <w:pPr>
        <w:spacing w:line="580" w:lineRule="exact"/>
        <w:ind w:firstLine="640" w:firstLineChars="200"/>
        <w:rPr>
          <w:rFonts w:ascii="Times New Roman" w:hAnsi="Times New Roman" w:eastAsia="仿宋_GB2312" w:cs="Times New Roman"/>
          <w:color w:val="000000"/>
          <w:kern w:val="0"/>
          <w:sz w:val="32"/>
          <w:szCs w:val="28"/>
          <w:lang w:val="zh-CN"/>
        </w:rPr>
      </w:pPr>
      <w:r>
        <w:rPr>
          <w:rFonts w:ascii="Times New Roman" w:hAnsi="Times New Roman" w:eastAsia="仿宋_GB2312" w:cs="Times New Roman"/>
          <w:color w:val="000000"/>
          <w:kern w:val="0"/>
          <w:sz w:val="32"/>
          <w:szCs w:val="28"/>
          <w:lang w:val="zh-CN"/>
        </w:rPr>
        <w:t>当前，全球正在加速进入以万物互联、泛在智能为特点的第四次工业革命时代，以泛在网、云计算、大数据、人工智能、区块链、量子计算为代表的数字技术不断升级换代、深度融合，加速突破应用。适应新的历史发展潮流，为落实网络强国、数字中国、智慧社会等战略部署，市委、市政府提出加快数字泉州建设。科学编制和有效落实《泉州市“十四五”数字泉州专项规划》，对于全方位推进泉州经济社会高质量发展超越，推进治理体系和治理能力现代化，对于打造“海丝名城、智造强市、品质泉州”，构筑国家智能制造新高地，打造国内知名工业互联网城市，具有重要意义。</w:t>
      </w:r>
    </w:p>
    <w:p>
      <w:pPr>
        <w:spacing w:line="580" w:lineRule="exact"/>
        <w:ind w:firstLine="640" w:firstLineChars="200"/>
        <w:rPr>
          <w:rFonts w:ascii="Times New Roman" w:hAnsi="Times New Roman" w:eastAsia="仿宋_GB2312" w:cs="Times New Roman"/>
          <w:color w:val="000000"/>
          <w:kern w:val="0"/>
          <w:sz w:val="32"/>
          <w:szCs w:val="28"/>
          <w:lang w:val="zh-CN"/>
        </w:rPr>
      </w:pPr>
      <w:r>
        <w:rPr>
          <w:rFonts w:ascii="Times New Roman" w:hAnsi="Times New Roman" w:eastAsia="仿宋_GB2312" w:cs="Times New Roman"/>
          <w:color w:val="000000"/>
          <w:kern w:val="0"/>
          <w:sz w:val="32"/>
          <w:szCs w:val="28"/>
          <w:lang w:val="zh-CN"/>
        </w:rPr>
        <w:t>本规划以《新时代数字福建发展纲要》《福建省“十四五”数字福建专项规划》以及《泉州市国民经济和社会发展第十四个五年规划和二</w:t>
      </w:r>
      <w:r>
        <w:rPr>
          <w:rFonts w:hint="eastAsia" w:ascii="宋体" w:hAnsi="宋体" w:eastAsia="宋体" w:cs="宋体"/>
          <w:color w:val="000000"/>
          <w:kern w:val="0"/>
          <w:sz w:val="32"/>
          <w:szCs w:val="28"/>
          <w:lang w:val="zh-CN"/>
        </w:rPr>
        <w:t>〇</w:t>
      </w:r>
      <w:r>
        <w:rPr>
          <w:rFonts w:hint="eastAsia" w:ascii="仿宋_GB2312" w:hAnsi="仿宋_GB2312" w:eastAsia="仿宋_GB2312" w:cs="仿宋_GB2312"/>
          <w:color w:val="000000"/>
          <w:kern w:val="0"/>
          <w:sz w:val="32"/>
          <w:szCs w:val="28"/>
          <w:lang w:val="zh-CN"/>
        </w:rPr>
        <w:t>三五年远景目标纲要》为依据，全面贯彻党中央、国务院关于网络强国、数字中国等战略部署，落实省委、省政府和市委、市政府工作要求，明确</w:t>
      </w:r>
      <w:r>
        <w:rPr>
          <w:rFonts w:ascii="Times New Roman" w:hAnsi="Times New Roman" w:eastAsia="仿宋_GB2312" w:cs="Times New Roman"/>
          <w:color w:val="000000"/>
          <w:kern w:val="0"/>
          <w:sz w:val="32"/>
          <w:szCs w:val="28"/>
          <w:lang w:val="zh-CN"/>
        </w:rPr>
        <w:t>“十四五”时期数字泉州建设的指导思想、主要目标、重点任务和保障措施等，是“十四五”时期全市各地各部门数字化工作的重要指南，是制定各年度工作计划和安排项目建设与政府投资的主要依据。</w:t>
      </w:r>
    </w:p>
    <w:p>
      <w:pPr>
        <w:spacing w:line="580" w:lineRule="exact"/>
        <w:ind w:firstLine="640" w:firstLineChars="200"/>
        <w:rPr>
          <w:rFonts w:ascii="Times New Roman" w:hAnsi="Times New Roman" w:eastAsia="仿宋_GB2312" w:cs="Times New Roman"/>
          <w:color w:val="000000"/>
          <w:kern w:val="0"/>
          <w:sz w:val="32"/>
          <w:szCs w:val="28"/>
          <w:lang w:val="zh-CN"/>
        </w:rPr>
      </w:pPr>
      <w:r>
        <w:rPr>
          <w:rFonts w:ascii="Times New Roman" w:hAnsi="Times New Roman" w:eastAsia="仿宋_GB2312" w:cs="Times New Roman"/>
          <w:color w:val="000000"/>
          <w:kern w:val="0"/>
          <w:sz w:val="32"/>
          <w:szCs w:val="28"/>
          <w:lang w:val="zh-CN"/>
        </w:rPr>
        <w:t>本规划基期为2020年，规划期为2021—2025年。</w:t>
      </w:r>
    </w:p>
    <w:p>
      <w:pPr>
        <w:spacing w:after="120"/>
        <w:ind w:left="420" w:leftChars="200" w:firstLine="640" w:firstLineChars="200"/>
        <w:rPr>
          <w:rFonts w:ascii="Times New Roman" w:hAnsi="Times New Roman" w:eastAsia="仿宋_GB2312" w:cs="Times New Roman"/>
          <w:color w:val="000000"/>
          <w:kern w:val="0"/>
          <w:sz w:val="32"/>
          <w:szCs w:val="28"/>
          <w:lang w:val="zh-CN"/>
        </w:rPr>
      </w:pPr>
    </w:p>
    <w:p>
      <w:pPr>
        <w:keepNext/>
        <w:keepLines/>
        <w:spacing w:before="340" w:after="240" w:line="596" w:lineRule="exact"/>
        <w:jc w:val="center"/>
        <w:outlineLvl w:val="0"/>
        <w:rPr>
          <w:rFonts w:ascii="Times New Roman" w:hAnsi="Times New Roman" w:eastAsia="方正小标宋简体" w:cs="Times New Roman"/>
          <w:color w:val="000000"/>
          <w:kern w:val="44"/>
          <w:sz w:val="36"/>
          <w:szCs w:val="36"/>
        </w:rPr>
      </w:pPr>
      <w:bookmarkStart w:id="4" w:name="_Toc84782333"/>
      <w:bookmarkStart w:id="5" w:name="_Toc87894485"/>
      <w:bookmarkStart w:id="6" w:name="_Toc84783850"/>
      <w:bookmarkStart w:id="7" w:name="_Toc94308400"/>
      <w:r>
        <w:rPr>
          <w:rFonts w:ascii="Times New Roman" w:hAnsi="Times New Roman" w:eastAsia="方正小标宋简体" w:cs="Times New Roman"/>
          <w:color w:val="000000"/>
          <w:kern w:val="44"/>
          <w:sz w:val="36"/>
          <w:szCs w:val="36"/>
        </w:rPr>
        <w:t>第一章 发展</w:t>
      </w:r>
      <w:bookmarkEnd w:id="4"/>
      <w:bookmarkEnd w:id="5"/>
      <w:bookmarkEnd w:id="6"/>
      <w:r>
        <w:rPr>
          <w:rFonts w:ascii="Times New Roman" w:hAnsi="Times New Roman" w:eastAsia="方正小标宋简体" w:cs="Times New Roman"/>
          <w:color w:val="000000"/>
          <w:kern w:val="44"/>
          <w:sz w:val="36"/>
          <w:szCs w:val="36"/>
        </w:rPr>
        <w:t>基础</w:t>
      </w:r>
      <w:bookmarkEnd w:id="7"/>
    </w:p>
    <w:p>
      <w:pPr>
        <w:keepNext/>
        <w:keepLines/>
        <w:spacing w:before="260" w:after="260" w:line="596" w:lineRule="exact"/>
        <w:jc w:val="center"/>
        <w:outlineLvl w:val="1"/>
        <w:rPr>
          <w:rFonts w:ascii="Times New Roman" w:hAnsi="Times New Roman" w:eastAsia="方正黑体简体" w:cs="Times New Roman"/>
          <w:bCs/>
          <w:color w:val="000000"/>
          <w:sz w:val="32"/>
          <w:szCs w:val="32"/>
        </w:rPr>
      </w:pPr>
      <w:bookmarkStart w:id="8" w:name="_Toc84782334"/>
      <w:bookmarkStart w:id="9" w:name="_Toc84783851"/>
      <w:bookmarkStart w:id="10" w:name="_Toc87894486"/>
      <w:bookmarkStart w:id="11" w:name="_Toc94308401"/>
      <w:r>
        <w:rPr>
          <w:rFonts w:ascii="Times New Roman" w:hAnsi="Times New Roman" w:eastAsia="方正黑体简体" w:cs="Times New Roman"/>
          <w:bCs/>
          <w:color w:val="000000"/>
          <w:sz w:val="32"/>
          <w:szCs w:val="32"/>
        </w:rPr>
        <w:t>第一节 发展</w:t>
      </w:r>
      <w:bookmarkEnd w:id="8"/>
      <w:bookmarkEnd w:id="9"/>
      <w:bookmarkEnd w:id="10"/>
      <w:r>
        <w:rPr>
          <w:rFonts w:ascii="Times New Roman" w:hAnsi="Times New Roman" w:eastAsia="方正黑体简体" w:cs="Times New Roman"/>
          <w:bCs/>
          <w:color w:val="000000"/>
          <w:sz w:val="32"/>
          <w:szCs w:val="32"/>
        </w:rPr>
        <w:t>现状</w:t>
      </w:r>
      <w:bookmarkEnd w:id="11"/>
    </w:p>
    <w:p>
      <w:pPr>
        <w:spacing w:line="580" w:lineRule="exact"/>
        <w:ind w:firstLine="640" w:firstLineChars="200"/>
        <w:rPr>
          <w:rFonts w:ascii="Times New Roman" w:hAnsi="Times New Roman" w:eastAsia="仿宋_GB2312" w:cs="Times New Roman"/>
          <w:bCs/>
          <w:color w:val="000000"/>
          <w:sz w:val="32"/>
          <w:szCs w:val="28"/>
        </w:rPr>
      </w:pPr>
      <w:r>
        <w:rPr>
          <w:rFonts w:ascii="Times New Roman" w:hAnsi="Times New Roman" w:eastAsia="仿宋_GB2312" w:cs="Times New Roman"/>
          <w:bCs/>
          <w:color w:val="000000"/>
          <w:sz w:val="32"/>
          <w:szCs w:val="28"/>
        </w:rPr>
        <w:t>泉州，地处福建东南部，是福建三大中心城市之一，是古代海上丝绸之路起点城市，文化积淀深厚，素有“东亚文化之都”之美誉。“十三五”期间，市委、市政府高度重视数字泉州建设工作，坚持打基础、补短板、抓重点、求突破，加快数字产业化和产业数字化协同发展，持续推进数字政府建设，加强数据有序共享，统筹推进智慧社会向深层次发展，助力“五个泉州”建设。获批宽带中国示范城市、国家电子商务示范基地、国家产融合作试点城市、全国首批5G商用城市，成功入选国家创新型城市，数字泉州建设取得阶段性成效。</w:t>
      </w:r>
    </w:p>
    <w:p>
      <w:pPr>
        <w:spacing w:line="580" w:lineRule="exact"/>
        <w:ind w:firstLine="643" w:firstLineChars="200"/>
        <w:rPr>
          <w:rFonts w:ascii="Times New Roman" w:hAnsi="Times New Roman" w:eastAsia="仿宋_GB2312" w:cs="Times New Roman"/>
          <w:bCs/>
          <w:color w:val="000000"/>
          <w:sz w:val="32"/>
          <w:szCs w:val="28"/>
        </w:rPr>
      </w:pPr>
      <w:r>
        <w:rPr>
          <w:rFonts w:ascii="Times New Roman" w:hAnsi="Times New Roman" w:eastAsia="仿宋_GB2312" w:cs="Times New Roman"/>
          <w:b/>
          <w:color w:val="000000"/>
          <w:sz w:val="32"/>
          <w:szCs w:val="28"/>
        </w:rPr>
        <w:t>——信息基础设施不断增强</w:t>
      </w:r>
      <w:r>
        <w:rPr>
          <w:rFonts w:ascii="Times New Roman" w:hAnsi="Times New Roman" w:eastAsia="仿宋_GB2312" w:cs="Times New Roman"/>
          <w:color w:val="000000"/>
          <w:sz w:val="32"/>
          <w:szCs w:val="28"/>
        </w:rPr>
        <w:t>。截至2020年底，全市光缆线路总长度超过31万公里，互联网出口带宽达8TB，移动基站总数超过6.4万个，其中NB-IoT基站数达到5100多个，4G基站数超过4万个，全市行政村已经完成100%光纤覆盖与4G网络覆盖；完成区块链服务网络（BSN）城市节点建设，完成5G消息平台建设，累计建成5G基站超过1万个。</w:t>
      </w:r>
    </w:p>
    <w:p>
      <w:pPr>
        <w:spacing w:line="580" w:lineRule="exact"/>
        <w:ind w:firstLine="643" w:firstLineChars="200"/>
        <w:rPr>
          <w:rFonts w:ascii="Times New Roman" w:hAnsi="Times New Roman" w:eastAsia="仿宋_GB2312" w:cs="Times New Roman"/>
          <w:bCs/>
          <w:color w:val="000000"/>
          <w:sz w:val="32"/>
          <w:szCs w:val="28"/>
        </w:rPr>
      </w:pPr>
      <w:r>
        <w:rPr>
          <w:rFonts w:ascii="Times New Roman" w:hAnsi="Times New Roman" w:eastAsia="仿宋_GB2312" w:cs="Times New Roman"/>
          <w:b/>
          <w:color w:val="000000"/>
          <w:sz w:val="32"/>
          <w:szCs w:val="28"/>
        </w:rPr>
        <w:t>——数据资源建设稳步推进</w:t>
      </w:r>
      <w:r>
        <w:rPr>
          <w:rFonts w:ascii="Times New Roman" w:hAnsi="Times New Roman" w:eastAsia="仿宋_GB2312" w:cs="Times New Roman"/>
          <w:color w:val="000000"/>
          <w:sz w:val="32"/>
          <w:szCs w:val="28"/>
        </w:rPr>
        <w:t>。建成市政务数据汇聚与共享平台（一期），累计汇聚数据超过33亿条，基本建成六大基础数据库。累计提供数据批量交换服务2000多项，交换总记录数据超过10亿多条，发布服务接口200多个。推动公共数据开放，已梳理164张数据表、3500多万条数据。实现与省级政务数据汇聚共享平台、“一照一码”审批信息共享平台的数据实时对接，信息资源共享利用取得初步成效。</w:t>
      </w:r>
    </w:p>
    <w:p>
      <w:pPr>
        <w:spacing w:line="580" w:lineRule="exact"/>
        <w:ind w:firstLine="643" w:firstLineChars="200"/>
        <w:rPr>
          <w:rFonts w:ascii="Times New Roman" w:hAnsi="Times New Roman" w:eastAsia="仿宋_GB2312" w:cs="Times New Roman"/>
          <w:bCs/>
          <w:color w:val="000000"/>
          <w:sz w:val="32"/>
          <w:szCs w:val="28"/>
        </w:rPr>
      </w:pPr>
      <w:r>
        <w:rPr>
          <w:rFonts w:ascii="Times New Roman" w:hAnsi="Times New Roman" w:eastAsia="仿宋_GB2312" w:cs="Times New Roman"/>
          <w:b/>
          <w:color w:val="000000"/>
          <w:sz w:val="32"/>
          <w:szCs w:val="28"/>
        </w:rPr>
        <w:t>——数字政务建设深入拓展</w:t>
      </w:r>
      <w:r>
        <w:rPr>
          <w:rFonts w:ascii="Times New Roman" w:hAnsi="Times New Roman" w:eastAsia="仿宋_GB2312" w:cs="Times New Roman"/>
          <w:color w:val="000000"/>
          <w:sz w:val="32"/>
          <w:szCs w:val="28"/>
        </w:rPr>
        <w:t>。全面建成市级电子政务云平台，持续推动全市政务数据中心整合，累计完成454套系统整合工作。上线“互联网+政务服务”一体化行政服务平台，不断完善政务服务电脑端“网上办”，实现审批服务事项网上可办率95%以上。2020年被列为电子证照应用试点城市，在全省率先建设电子证照国密应用试点。构建“泉服务”掌上政务服务平台，进一步推进手机端“掌上办”。建成市公共信用信息平台（二期），归集各类信用数据超过5亿条。</w:t>
      </w:r>
    </w:p>
    <w:p>
      <w:pPr>
        <w:spacing w:line="580" w:lineRule="exact"/>
        <w:ind w:firstLine="643" w:firstLineChars="200"/>
        <w:rPr>
          <w:rFonts w:ascii="Times New Roman" w:hAnsi="Times New Roman" w:eastAsia="仿宋_GB2312" w:cs="Times New Roman"/>
          <w:bCs/>
          <w:color w:val="000000"/>
          <w:sz w:val="32"/>
          <w:szCs w:val="28"/>
        </w:rPr>
      </w:pPr>
      <w:r>
        <w:rPr>
          <w:rFonts w:ascii="Times New Roman" w:hAnsi="Times New Roman" w:eastAsia="仿宋_GB2312" w:cs="Times New Roman"/>
          <w:b/>
          <w:color w:val="000000"/>
          <w:sz w:val="32"/>
          <w:szCs w:val="28"/>
        </w:rPr>
        <w:t>——数字化应用水平大幅提升</w:t>
      </w:r>
      <w:r>
        <w:rPr>
          <w:rFonts w:ascii="Times New Roman" w:hAnsi="Times New Roman" w:eastAsia="仿宋_GB2312" w:cs="Times New Roman"/>
          <w:color w:val="000000"/>
          <w:sz w:val="32"/>
          <w:szCs w:val="28"/>
        </w:rPr>
        <w:t>。“十三五”期间，泉州市获批国家级智慧城市试点、信息惠民国家试点城市、信息消费国家试点城市。优先构建面向群众的民生领域智慧应用服务体系，市级财政信息化项目累计投资超过10亿元，逐步推进智慧城市建设。“互联网+医保”应用、城市安全信息系统、YouBike泉州公共自行车网络、教育“三通两平台”、南洋华裔族群寻根谒祖综合服务平台等项目初步建成并投用。全市各级各类博物馆不断推进数字化建设，市海交馆、市博物馆和晋江市博物馆等逐步实现珍贵馆藏品的三维数字化。积极拓展各类应用场景，培育5G场景应用超过50个，17个项目入选2020年福建省数字经济百项应用场景。</w:t>
      </w:r>
    </w:p>
    <w:p>
      <w:pPr>
        <w:spacing w:line="580" w:lineRule="exact"/>
        <w:ind w:firstLine="643" w:firstLineChars="200"/>
        <w:rPr>
          <w:rFonts w:ascii="Times New Roman" w:hAnsi="Times New Roman" w:eastAsia="仿宋_GB2312" w:cs="Times New Roman"/>
          <w:bCs/>
          <w:color w:val="000000"/>
          <w:sz w:val="32"/>
          <w:szCs w:val="28"/>
        </w:rPr>
      </w:pPr>
      <w:r>
        <w:rPr>
          <w:rFonts w:ascii="Times New Roman" w:hAnsi="Times New Roman" w:eastAsia="仿宋_GB2312" w:cs="Times New Roman"/>
          <w:b/>
          <w:color w:val="000000"/>
          <w:sz w:val="32"/>
          <w:szCs w:val="28"/>
        </w:rPr>
        <w:t>——数字经济规模不断扩大</w:t>
      </w:r>
      <w:r>
        <w:rPr>
          <w:rFonts w:ascii="Times New Roman" w:hAnsi="Times New Roman" w:eastAsia="仿宋_GB2312" w:cs="Times New Roman"/>
          <w:color w:val="000000"/>
          <w:sz w:val="32"/>
          <w:szCs w:val="28"/>
        </w:rPr>
        <w:t>。2020年全市数字经济总规模为4583亿元，对经济增长贡献率超过45％，其中产业数字化规模为4112亿元，居全省第一。数字经济增加值增长率连续两年居全省第二。持续推进制造业数字化改造，拥有示范性智能车间超过100个，数字化标杆性生产线超过1000条，超过2500家企业“上云上平台”。大力发展平台经济，精心培育青创网、天地汇、师傅邦、矮凳网等平台。获批跨境电商综合试验区、市场采购贸易方式和综合保税区等三大“国字号”试点。2020年全市网络零售额2574亿元，占全省比重超40%。拥有4个国家电商示范基地，3家国家级电子商务示范企业，2个国家级电子商务进农村综合示范县。电商快递量在全国城市中排名进入前12位。</w:t>
      </w:r>
    </w:p>
    <w:p>
      <w:pPr>
        <w:spacing w:line="580" w:lineRule="exact"/>
        <w:ind w:firstLine="640" w:firstLineChars="200"/>
        <w:rPr>
          <w:rFonts w:ascii="Times New Roman" w:hAnsi="Times New Roman" w:eastAsia="仿宋_GB2312" w:cs="Times New Roman"/>
          <w:bCs/>
          <w:color w:val="000000"/>
          <w:sz w:val="32"/>
          <w:szCs w:val="28"/>
        </w:rPr>
      </w:pPr>
      <w:r>
        <w:rPr>
          <w:rFonts w:ascii="Times New Roman" w:hAnsi="Times New Roman" w:eastAsia="仿宋_GB2312" w:cs="Times New Roman"/>
          <w:color w:val="000000"/>
          <w:sz w:val="32"/>
          <w:szCs w:val="28"/>
        </w:rPr>
        <w:t>虽然，数字泉州建设取得显著成效，但也存在一些问题和短板，主要有：信息化项目建设统筹不够，缺乏全市信息化领域的总体规划和顶层设计，信息化建设资金管理机制有待进一步完善，全市信息化技术力量有待进一步整合；数字经济头部企业少，平台经济规模小、服务水平低、辐射力不足；数据汇聚共享开发利用有待突破，部分政务数据没有做到应汇尽汇，数据开发利用还处于起步阶段；人才和公共平台支撑不足，数字化创新人才缺乏，工业互联网标识解析二级节点、SAP海丝工业互联网（泉州）创新中心等公共服务平台还未发挥强大效能。</w:t>
      </w:r>
    </w:p>
    <w:p>
      <w:pPr>
        <w:keepNext/>
        <w:keepLines/>
        <w:spacing w:before="260" w:after="260" w:line="596" w:lineRule="exact"/>
        <w:jc w:val="center"/>
        <w:outlineLvl w:val="1"/>
        <w:rPr>
          <w:rFonts w:ascii="Times New Roman" w:hAnsi="Times New Roman" w:eastAsia="方正黑体简体" w:cs="Times New Roman"/>
          <w:bCs/>
          <w:color w:val="000000"/>
          <w:sz w:val="32"/>
          <w:szCs w:val="32"/>
        </w:rPr>
      </w:pPr>
      <w:bookmarkStart w:id="12" w:name="_Toc94308402"/>
      <w:r>
        <w:rPr>
          <w:rFonts w:ascii="Times New Roman" w:hAnsi="Times New Roman" w:eastAsia="方正黑体简体" w:cs="Times New Roman"/>
          <w:bCs/>
          <w:color w:val="000000"/>
          <w:sz w:val="32"/>
          <w:szCs w:val="32"/>
        </w:rPr>
        <w:t>第二节 发展形势</w:t>
      </w:r>
      <w:bookmarkEnd w:id="12"/>
    </w:p>
    <w:p>
      <w:pPr>
        <w:spacing w:line="580" w:lineRule="exact"/>
        <w:ind w:firstLine="640" w:firstLineChars="200"/>
        <w:rPr>
          <w:rFonts w:ascii="Times New Roman" w:hAnsi="Times New Roman" w:eastAsia="仿宋_GB2312" w:cs="Times New Roman"/>
          <w:bCs/>
          <w:color w:val="000000"/>
          <w:sz w:val="32"/>
          <w:szCs w:val="28"/>
        </w:rPr>
      </w:pPr>
      <w:r>
        <w:rPr>
          <w:rFonts w:ascii="Times New Roman" w:hAnsi="Times New Roman" w:eastAsia="仿宋_GB2312" w:cs="Times New Roman"/>
          <w:color w:val="000000"/>
          <w:sz w:val="32"/>
          <w:szCs w:val="32"/>
        </w:rPr>
        <w:t>“十四五”期间，国内外环境面临深刻变化，信息技术革命持续演进，数字泉州建设既获得重大机遇，也面临巨大挑战。</w:t>
      </w:r>
    </w:p>
    <w:p>
      <w:pPr>
        <w:spacing w:line="580" w:lineRule="exact"/>
        <w:ind w:firstLine="640" w:firstLineChars="200"/>
        <w:rPr>
          <w:rFonts w:ascii="Times New Roman" w:hAnsi="Times New Roman" w:eastAsia="仿宋_GB2312" w:cs="Times New Roman"/>
          <w:bCs/>
          <w:color w:val="000000"/>
          <w:sz w:val="32"/>
          <w:szCs w:val="28"/>
        </w:rPr>
      </w:pPr>
      <w:r>
        <w:rPr>
          <w:rFonts w:ascii="Times New Roman" w:hAnsi="Times New Roman" w:eastAsia="仿宋_GB2312" w:cs="Times New Roman"/>
          <w:color w:val="000000"/>
          <w:sz w:val="32"/>
          <w:szCs w:val="32"/>
        </w:rPr>
        <w:t>国际方面，当今世界正经历百年未有之大变局，新一轮科技革命和产业变革深入发展，国际力量对比深刻调整，新冠肺炎疫情影响广泛深远，世界进入动荡变革期，发展的不稳定性不确定性明显增强。在全球经济增长乏力的背景下，数字经济作为撬动经济增长的新杠杆，成为各国提振经济的重要方向。全球性数字化浪潮来临，我们要以更加开放的姿态推动数字经济建设，为经济社会高质量发展提供支撑。</w:t>
      </w:r>
    </w:p>
    <w:p>
      <w:pPr>
        <w:spacing w:line="580" w:lineRule="exact"/>
        <w:ind w:firstLine="640" w:firstLineChars="200"/>
        <w:rPr>
          <w:rFonts w:ascii="Times New Roman" w:hAnsi="Times New Roman" w:eastAsia="仿宋_GB2312" w:cs="Times New Roman"/>
          <w:bCs/>
          <w:color w:val="000000"/>
          <w:sz w:val="32"/>
          <w:szCs w:val="28"/>
        </w:rPr>
      </w:pPr>
      <w:r>
        <w:rPr>
          <w:rFonts w:ascii="Times New Roman" w:hAnsi="Times New Roman" w:eastAsia="仿宋_GB2312" w:cs="Times New Roman"/>
          <w:color w:val="000000"/>
          <w:sz w:val="32"/>
          <w:szCs w:val="32"/>
        </w:rPr>
        <w:t>国内方面，以习近平同志为核心的党中央准确把握时代大势，作出建设网络强国、数字中国、智慧社会的重大决策部署。十九届五中全会提出系统布局新型基础设施，加快第五代移动通信、工业互联网、大数据中心等建设。《中华人民共和国国民经济和社会发展第十四个五年规划和2035年远景目标纲要》设立专章部署“加快数字化发展建设数字中国”。当前，数字化已成为我国拉动经济发展的重要引擎，丰富人们的数字文化生活和消费，持续助力国家治理能力现代化提升。</w:t>
      </w:r>
    </w:p>
    <w:p>
      <w:pPr>
        <w:spacing w:line="580" w:lineRule="exact"/>
        <w:ind w:firstLine="640" w:firstLineChars="200"/>
        <w:rPr>
          <w:rFonts w:ascii="Times New Roman" w:hAnsi="Times New Roman" w:eastAsia="仿宋_GB2312" w:cs="Times New Roman"/>
          <w:bCs/>
          <w:color w:val="000000"/>
          <w:sz w:val="32"/>
          <w:szCs w:val="28"/>
        </w:rPr>
      </w:pPr>
      <w:r>
        <w:rPr>
          <w:rFonts w:ascii="Times New Roman" w:hAnsi="Times New Roman" w:eastAsia="仿宋_GB2312" w:cs="Times New Roman"/>
          <w:color w:val="000000"/>
          <w:sz w:val="32"/>
          <w:szCs w:val="32"/>
        </w:rPr>
        <w:t>省内方面，省委明确把数字福建建设作为推动高质量发展的基础性先导性工程，全省正积极建设数字经济创新发展试验区，大力推进数字产业化、产业数字化，全方位推进高质量发展超越。省内兄弟城市福州、厦门数字建设发展迅猛，莆田、宁德等地发展具有特色，泉州目前处于前有标兵、后有追兵、不进则退、慢进亦退的紧迫境况。</w:t>
      </w:r>
    </w:p>
    <w:p>
      <w:pPr>
        <w:spacing w:line="580" w:lineRule="exact"/>
        <w:ind w:firstLine="640" w:firstLineChars="200"/>
        <w:rPr>
          <w:rFonts w:ascii="Times New Roman" w:hAnsi="Times New Roman" w:eastAsia="仿宋_GB2312" w:cs="Times New Roman"/>
          <w:bCs/>
          <w:color w:val="000000"/>
          <w:sz w:val="32"/>
          <w:szCs w:val="28"/>
        </w:rPr>
      </w:pPr>
      <w:r>
        <w:rPr>
          <w:rFonts w:ascii="Times New Roman" w:hAnsi="Times New Roman" w:eastAsia="仿宋_GB2312" w:cs="Times New Roman"/>
          <w:color w:val="000000"/>
          <w:sz w:val="32"/>
          <w:szCs w:val="32"/>
        </w:rPr>
        <w:t>面对新形势、新机遇、新挑战，要牢牢把握新一轮科技革命和产业变革战略机遇，落实网络强国、数字中国、数字社会等国家战略部署，加速推进“数字丝路”建设，打造“海丝名城”，将数字泉州建设作为新时代我市实现转型发展、跨越发展的先导性工程，突出数字赋能，打造“智造强市”，加速推进数字政府、智慧城市和数字乡村建设，满足人民日益增长的美好生活需要，打造“品质泉州”,为奋力谱写全面建设社会主义现代化国家泉州篇章提供强有力支撑</w:t>
      </w:r>
      <w:r>
        <w:rPr>
          <w:rFonts w:ascii="Times New Roman" w:hAnsi="Times New Roman" w:eastAsia="仿宋_GB2312" w:cs="Times New Roman"/>
          <w:color w:val="000000"/>
          <w:spacing w:val="-17"/>
          <w:sz w:val="32"/>
          <w:szCs w:val="32"/>
        </w:rPr>
        <w:t>。</w:t>
      </w:r>
    </w:p>
    <w:p>
      <w:pPr>
        <w:spacing w:line="600" w:lineRule="exact"/>
        <w:ind w:firstLine="640" w:firstLineChars="200"/>
        <w:rPr>
          <w:rFonts w:ascii="Times New Roman" w:hAnsi="Times New Roman" w:eastAsia="仿宋_GB2312" w:cs="Times New Roman"/>
          <w:color w:val="000000"/>
          <w:sz w:val="32"/>
          <w:szCs w:val="32"/>
        </w:rPr>
        <w:sectPr>
          <w:footerReference r:id="rId8" w:type="default"/>
          <w:footerReference r:id="rId9" w:type="even"/>
          <w:pgSz w:w="11906" w:h="16838"/>
          <w:pgMar w:top="1418" w:right="1474" w:bottom="1418" w:left="1588" w:header="851" w:footer="992" w:gutter="0"/>
          <w:pgNumType w:start="1"/>
          <w:cols w:space="720" w:num="1"/>
          <w:docGrid w:type="lines" w:linePitch="312" w:charSpace="0"/>
        </w:sectPr>
      </w:pPr>
    </w:p>
    <w:p>
      <w:pPr>
        <w:keepNext/>
        <w:keepLines/>
        <w:spacing w:before="340" w:after="240" w:line="596" w:lineRule="exact"/>
        <w:jc w:val="center"/>
        <w:outlineLvl w:val="0"/>
        <w:rPr>
          <w:rFonts w:ascii="Times New Roman" w:hAnsi="Times New Roman" w:eastAsia="方正小标宋简体" w:cs="Times New Roman"/>
          <w:color w:val="000000"/>
          <w:kern w:val="44"/>
          <w:sz w:val="36"/>
          <w:szCs w:val="36"/>
        </w:rPr>
      </w:pPr>
      <w:bookmarkStart w:id="13" w:name="_Toc84782336"/>
      <w:bookmarkStart w:id="14" w:name="_Toc87894488"/>
      <w:bookmarkStart w:id="15" w:name="_Toc84783853"/>
      <w:bookmarkStart w:id="16" w:name="_Toc94308403"/>
      <w:r>
        <w:rPr>
          <w:rFonts w:ascii="Times New Roman" w:hAnsi="Times New Roman" w:eastAsia="方正小标宋简体" w:cs="Times New Roman"/>
          <w:color w:val="000000"/>
          <w:kern w:val="44"/>
          <w:sz w:val="36"/>
          <w:szCs w:val="36"/>
        </w:rPr>
        <w:t xml:space="preserve">第二章 </w:t>
      </w:r>
      <w:bookmarkEnd w:id="1"/>
      <w:bookmarkEnd w:id="13"/>
      <w:bookmarkEnd w:id="14"/>
      <w:bookmarkEnd w:id="15"/>
      <w:r>
        <w:rPr>
          <w:rFonts w:ascii="Times New Roman" w:hAnsi="Times New Roman" w:eastAsia="方正小标宋简体" w:cs="Times New Roman"/>
          <w:color w:val="000000"/>
          <w:kern w:val="44"/>
          <w:sz w:val="36"/>
          <w:szCs w:val="36"/>
        </w:rPr>
        <w:t>总体要求</w:t>
      </w:r>
      <w:bookmarkEnd w:id="16"/>
    </w:p>
    <w:p>
      <w:pPr>
        <w:keepNext/>
        <w:keepLines/>
        <w:spacing w:before="260" w:after="260" w:line="596" w:lineRule="exact"/>
        <w:jc w:val="center"/>
        <w:outlineLvl w:val="1"/>
        <w:rPr>
          <w:rFonts w:ascii="Times New Roman" w:hAnsi="Times New Roman" w:eastAsia="方正黑体简体" w:cs="Times New Roman"/>
          <w:bCs/>
          <w:color w:val="000000"/>
          <w:sz w:val="32"/>
          <w:szCs w:val="32"/>
        </w:rPr>
      </w:pPr>
      <w:bookmarkStart w:id="17" w:name="_Toc87894489"/>
      <w:bookmarkStart w:id="18" w:name="_Toc84782337"/>
      <w:bookmarkStart w:id="19" w:name="_Toc84783854"/>
      <w:bookmarkStart w:id="20" w:name="_Toc94308404"/>
      <w:bookmarkStart w:id="21" w:name="_Toc10342"/>
      <w:r>
        <w:rPr>
          <w:rFonts w:ascii="Times New Roman" w:hAnsi="Times New Roman" w:eastAsia="方正黑体简体" w:cs="Times New Roman"/>
          <w:bCs/>
          <w:color w:val="000000"/>
          <w:sz w:val="32"/>
          <w:szCs w:val="32"/>
        </w:rPr>
        <w:t>第一节 指导思想</w:t>
      </w:r>
      <w:bookmarkEnd w:id="17"/>
      <w:bookmarkEnd w:id="18"/>
      <w:bookmarkEnd w:id="19"/>
      <w:bookmarkEnd w:id="20"/>
      <w:bookmarkEnd w:id="21"/>
    </w:p>
    <w:p>
      <w:pPr>
        <w:spacing w:line="580" w:lineRule="exact"/>
        <w:ind w:firstLine="640" w:firstLineChars="200"/>
        <w:rPr>
          <w:rFonts w:ascii="Times New Roman" w:hAnsi="Times New Roman" w:eastAsia="仿宋_GB2312" w:cs="Times New Roman"/>
          <w:color w:val="000000"/>
          <w:sz w:val="32"/>
          <w:szCs w:val="28"/>
        </w:rPr>
      </w:pPr>
      <w:bookmarkStart w:id="22" w:name="_Toc19708"/>
      <w:r>
        <w:rPr>
          <w:rFonts w:ascii="Times New Roman" w:hAnsi="Times New Roman" w:eastAsia="仿宋_GB2312" w:cs="Times New Roman"/>
          <w:color w:val="000000"/>
          <w:sz w:val="32"/>
          <w:szCs w:val="28"/>
        </w:rPr>
        <w:t>以习近平新时代中国特色社会主义思想为指导，全面贯彻党的十九大和十九届历次全会精神，深入贯彻习近平网络强国重要思想和数字中国、智慧社会重要论述，贯彻落实习近平总书记对福建工作的重要讲话重要指示批示精神和来闽考察重要讲话精神，坚持以人民为中心的发展思想，立足新发展阶段，贯彻新发展理念，服务和融入新发展格局，传承弘扬“晋江经验”，加快数字化发展。以数字赋能实体经济为驱动力，促进数字技术与实体经济深度融合，发挥数字技术对经济发展的放大、叠加、倍增作用，以数字化转型整体驱动生产方式、生活方式和治理方式的变革，不断增强人民群众幸福感、获得感、安全感，全力打造“数字丝路”战略支点城市，为奋力谱写全面建设社会主义现代化国家泉州篇章提供强有力</w:t>
      </w:r>
      <w:r>
        <w:rPr>
          <w:rFonts w:ascii="Times New Roman" w:hAnsi="Times New Roman" w:eastAsia="仿宋_GB2312" w:cs="Times New Roman"/>
          <w:bCs/>
          <w:color w:val="000000"/>
          <w:sz w:val="32"/>
          <w:szCs w:val="28"/>
        </w:rPr>
        <w:t>支撑</w:t>
      </w:r>
      <w:r>
        <w:rPr>
          <w:rFonts w:ascii="Times New Roman" w:hAnsi="Times New Roman" w:eastAsia="仿宋_GB2312" w:cs="Times New Roman"/>
          <w:color w:val="000000"/>
          <w:sz w:val="32"/>
          <w:szCs w:val="28"/>
        </w:rPr>
        <w:t>。</w:t>
      </w:r>
    </w:p>
    <w:p>
      <w:pPr>
        <w:keepNext/>
        <w:keepLines/>
        <w:spacing w:before="260" w:after="260" w:line="596" w:lineRule="exact"/>
        <w:jc w:val="center"/>
        <w:outlineLvl w:val="1"/>
        <w:rPr>
          <w:rFonts w:ascii="Times New Roman" w:hAnsi="Times New Roman" w:eastAsia="方正黑体简体" w:cs="Times New Roman"/>
          <w:bCs/>
          <w:color w:val="000000"/>
          <w:sz w:val="32"/>
          <w:szCs w:val="32"/>
        </w:rPr>
      </w:pPr>
      <w:bookmarkStart w:id="23" w:name="_Toc84783855"/>
      <w:bookmarkStart w:id="24" w:name="_Toc94308405"/>
      <w:bookmarkStart w:id="25" w:name="_Toc84782338"/>
      <w:bookmarkStart w:id="26" w:name="_Toc87894490"/>
      <w:r>
        <w:rPr>
          <w:rFonts w:ascii="Times New Roman" w:hAnsi="Times New Roman" w:eastAsia="方正黑体简体" w:cs="Times New Roman"/>
          <w:bCs/>
          <w:color w:val="000000"/>
          <w:sz w:val="32"/>
          <w:szCs w:val="32"/>
        </w:rPr>
        <w:t>第二节 基本原则</w:t>
      </w:r>
      <w:bookmarkEnd w:id="22"/>
      <w:bookmarkEnd w:id="23"/>
      <w:bookmarkEnd w:id="24"/>
      <w:bookmarkEnd w:id="25"/>
      <w:bookmarkEnd w:id="26"/>
    </w:p>
    <w:p>
      <w:pPr>
        <w:spacing w:line="580" w:lineRule="exact"/>
        <w:ind w:firstLine="640" w:firstLineChars="200"/>
        <w:rPr>
          <w:rFonts w:ascii="Times New Roman" w:hAnsi="Times New Roman" w:eastAsia="仿宋_GB2312" w:cs="Times New Roman"/>
          <w:color w:val="000000"/>
          <w:sz w:val="32"/>
          <w:szCs w:val="28"/>
        </w:rPr>
      </w:pPr>
      <w:r>
        <w:rPr>
          <w:rFonts w:ascii="Times New Roman" w:hAnsi="Times New Roman" w:eastAsia="仿宋_GB2312" w:cs="Times New Roman"/>
          <w:color w:val="000000"/>
          <w:sz w:val="32"/>
          <w:szCs w:val="28"/>
        </w:rPr>
        <w:t>——创新引领，数据驱动。加快国家创新型城市建设，争创区域性创新高地。发挥数据的基础资源作用和创新引擎作用，构建以数据为关键要素的数字经济，运用大数据提升治理现代化水平，切实保障和改善民生，形成数据驱动型创新体系和发展模式。</w:t>
      </w:r>
    </w:p>
    <w:p>
      <w:pPr>
        <w:spacing w:line="580" w:lineRule="exact"/>
        <w:ind w:firstLine="640" w:firstLineChars="200"/>
        <w:rPr>
          <w:rFonts w:ascii="Times New Roman" w:hAnsi="Times New Roman" w:eastAsia="仿宋_GB2312" w:cs="Times New Roman"/>
          <w:color w:val="000000"/>
          <w:sz w:val="32"/>
          <w:szCs w:val="28"/>
        </w:rPr>
      </w:pPr>
      <w:r>
        <w:rPr>
          <w:rFonts w:ascii="Times New Roman" w:hAnsi="Times New Roman" w:eastAsia="仿宋_GB2312" w:cs="Times New Roman"/>
          <w:color w:val="000000"/>
          <w:sz w:val="32"/>
          <w:szCs w:val="28"/>
        </w:rPr>
        <w:t>——以人为本，惠及民生。坚持以人民为中心，推动政务服务、社会治理、公共服务从政府供给导向向群众需求导向转变。加快推进智慧城市、数字乡村建设，提供优质高效的数字民生服务，让百姓在</w:t>
      </w:r>
      <w:r>
        <w:rPr>
          <w:rFonts w:ascii="Times New Roman" w:hAnsi="Times New Roman" w:eastAsia="仿宋_GB2312" w:cs="Times New Roman"/>
          <w:bCs/>
          <w:color w:val="000000"/>
          <w:sz w:val="32"/>
          <w:szCs w:val="28"/>
        </w:rPr>
        <w:t>共享</w:t>
      </w:r>
      <w:r>
        <w:rPr>
          <w:rFonts w:ascii="Times New Roman" w:hAnsi="Times New Roman" w:eastAsia="仿宋_GB2312" w:cs="Times New Roman"/>
          <w:color w:val="000000"/>
          <w:sz w:val="32"/>
          <w:szCs w:val="28"/>
        </w:rPr>
        <w:t>数字化发展成果上有更多获得感。</w:t>
      </w:r>
    </w:p>
    <w:p>
      <w:pPr>
        <w:spacing w:line="580" w:lineRule="exact"/>
        <w:ind w:firstLine="640" w:firstLineChars="200"/>
        <w:rPr>
          <w:rFonts w:ascii="Times New Roman" w:hAnsi="Times New Roman" w:eastAsia="仿宋_GB2312" w:cs="Times New Roman"/>
          <w:color w:val="000000"/>
          <w:sz w:val="32"/>
          <w:szCs w:val="28"/>
        </w:rPr>
      </w:pPr>
      <w:r>
        <w:rPr>
          <w:rFonts w:ascii="Times New Roman" w:hAnsi="Times New Roman" w:eastAsia="仿宋_GB2312" w:cs="Times New Roman"/>
          <w:color w:val="000000"/>
          <w:sz w:val="32"/>
          <w:szCs w:val="28"/>
        </w:rPr>
        <w:t>——政府引导，市场主导。加强政府在数字泉州顶层设计、政策标准制定、</w:t>
      </w:r>
      <w:r>
        <w:rPr>
          <w:rFonts w:ascii="Times New Roman" w:hAnsi="Times New Roman" w:eastAsia="仿宋_GB2312" w:cs="Times New Roman"/>
          <w:bCs/>
          <w:color w:val="000000"/>
          <w:sz w:val="32"/>
          <w:szCs w:val="28"/>
        </w:rPr>
        <w:t>建设</w:t>
      </w:r>
      <w:r>
        <w:rPr>
          <w:rFonts w:ascii="Times New Roman" w:hAnsi="Times New Roman" w:eastAsia="仿宋_GB2312" w:cs="Times New Roman"/>
          <w:color w:val="000000"/>
          <w:sz w:val="32"/>
          <w:szCs w:val="28"/>
        </w:rPr>
        <w:t>指导等方面的作用，全局谋划、整体推进。充分发挥市场在资源配置中的决定性作用，集中资源、有的放矢、精准立项，注重考核信息化在带动产业发展、提升治理能力、推动信息惠民、促进生态保护等方面的建设成效。</w:t>
      </w:r>
    </w:p>
    <w:p>
      <w:pPr>
        <w:spacing w:line="580" w:lineRule="exact"/>
        <w:ind w:firstLine="640" w:firstLineChars="200"/>
        <w:rPr>
          <w:rFonts w:ascii="Times New Roman" w:hAnsi="Times New Roman" w:eastAsia="仿宋_GB2312" w:cs="Times New Roman"/>
          <w:color w:val="000000"/>
          <w:sz w:val="32"/>
          <w:szCs w:val="28"/>
        </w:rPr>
      </w:pPr>
      <w:r>
        <w:rPr>
          <w:rFonts w:ascii="Times New Roman" w:hAnsi="Times New Roman" w:eastAsia="仿宋_GB2312" w:cs="Times New Roman"/>
          <w:color w:val="000000"/>
          <w:sz w:val="32"/>
          <w:szCs w:val="28"/>
        </w:rPr>
        <w:t>——开放合作，互利共赢。以建设“21世纪海上丝绸之路”先行区为契机，深入推进“数字丝路”建设，坚持“引进来”和“走出去”并重，加强与海丝沿线国家和地区的信息化交流合作，强化引进</w:t>
      </w:r>
      <w:r>
        <w:rPr>
          <w:rFonts w:ascii="Times New Roman" w:hAnsi="Times New Roman" w:eastAsia="仿宋_GB2312" w:cs="Times New Roman"/>
          <w:bCs/>
          <w:color w:val="000000"/>
          <w:sz w:val="32"/>
          <w:szCs w:val="28"/>
        </w:rPr>
        <w:t>数字</w:t>
      </w:r>
      <w:r>
        <w:rPr>
          <w:rFonts w:ascii="Times New Roman" w:hAnsi="Times New Roman" w:eastAsia="仿宋_GB2312" w:cs="Times New Roman"/>
          <w:color w:val="000000"/>
          <w:sz w:val="32"/>
          <w:szCs w:val="28"/>
        </w:rPr>
        <w:t>新技术、新业态、新模式，支持数字经济龙头企业“走出去”。推进海峡两岸集成电路产业合作试验区建设，创建泉台“海丝”合作示范区，实现互利共赢发展。</w:t>
      </w:r>
    </w:p>
    <w:p>
      <w:pPr>
        <w:spacing w:line="580" w:lineRule="exact"/>
        <w:ind w:firstLine="640" w:firstLineChars="200"/>
        <w:rPr>
          <w:rFonts w:ascii="Times New Roman" w:hAnsi="Times New Roman" w:eastAsia="仿宋_GB2312" w:cs="Times New Roman"/>
          <w:color w:val="000000"/>
          <w:sz w:val="32"/>
          <w:szCs w:val="28"/>
        </w:rPr>
      </w:pPr>
      <w:r>
        <w:rPr>
          <w:rFonts w:ascii="Times New Roman" w:hAnsi="Times New Roman" w:eastAsia="仿宋_GB2312" w:cs="Times New Roman"/>
          <w:color w:val="000000"/>
          <w:sz w:val="32"/>
          <w:szCs w:val="28"/>
        </w:rPr>
        <w:t>——安全可控，长效发展。坚持安全发展理念，确保自主可控，坚持信息安全与信息化建设同步规划、建设、运行，确保网络、应用和数据的安全。加快构建安全可靠的数字基础保障体系，建立数据资源安全保护等基础制度和标准规范，建立长效运营机制，形成可持续发展的动力机制</w:t>
      </w:r>
      <w:r>
        <w:rPr>
          <w:rFonts w:ascii="Times New Roman" w:hAnsi="Times New Roman" w:eastAsia="仿宋_GB2312" w:cs="Times New Roman"/>
          <w:color w:val="000000"/>
          <w:spacing w:val="-17"/>
          <w:sz w:val="32"/>
          <w:szCs w:val="28"/>
        </w:rPr>
        <w:t>。</w:t>
      </w:r>
    </w:p>
    <w:p>
      <w:pPr>
        <w:keepNext/>
        <w:keepLines/>
        <w:spacing w:before="260" w:after="260" w:line="596" w:lineRule="exact"/>
        <w:jc w:val="center"/>
        <w:outlineLvl w:val="1"/>
        <w:rPr>
          <w:rFonts w:ascii="Times New Roman" w:hAnsi="Times New Roman" w:eastAsia="方正黑体简体" w:cs="Times New Roman"/>
          <w:bCs/>
          <w:color w:val="000000"/>
          <w:sz w:val="32"/>
          <w:szCs w:val="32"/>
        </w:rPr>
      </w:pPr>
      <w:bookmarkStart w:id="27" w:name="_Toc87894491"/>
      <w:bookmarkStart w:id="28" w:name="_Toc84783856"/>
      <w:bookmarkStart w:id="29" w:name="_Toc84782339"/>
      <w:bookmarkStart w:id="30" w:name="_Toc94308406"/>
      <w:bookmarkStart w:id="31" w:name="_Toc2105"/>
      <w:r>
        <w:rPr>
          <w:rFonts w:ascii="Times New Roman" w:hAnsi="Times New Roman" w:eastAsia="方正黑体简体" w:cs="Times New Roman"/>
          <w:bCs/>
          <w:color w:val="000000"/>
          <w:sz w:val="32"/>
          <w:szCs w:val="32"/>
        </w:rPr>
        <w:t>第三节 发展目标</w:t>
      </w:r>
      <w:bookmarkEnd w:id="27"/>
      <w:bookmarkEnd w:id="28"/>
      <w:bookmarkEnd w:id="29"/>
      <w:bookmarkEnd w:id="30"/>
      <w:bookmarkEnd w:id="31"/>
    </w:p>
    <w:p>
      <w:pPr>
        <w:spacing w:line="580" w:lineRule="exact"/>
        <w:ind w:firstLine="640" w:firstLineChars="200"/>
        <w:rPr>
          <w:rFonts w:ascii="Times New Roman" w:hAnsi="Times New Roman" w:eastAsia="仿宋_GB2312" w:cs="Times New Roman"/>
          <w:color w:val="000000"/>
          <w:sz w:val="32"/>
          <w:szCs w:val="28"/>
        </w:rPr>
      </w:pPr>
      <w:r>
        <w:rPr>
          <w:rFonts w:ascii="Times New Roman" w:hAnsi="Times New Roman" w:eastAsia="仿宋_GB2312" w:cs="Times New Roman"/>
          <w:color w:val="000000"/>
          <w:sz w:val="32"/>
          <w:szCs w:val="28"/>
        </w:rPr>
        <w:t>到2023年，数字泉州建设社会服务效益渗透到各领域各行业，基本形成数字基础设施先进泛在、数字政府协同高效、数字经济融合创新、网络与信息安全自主可控的发展格局。</w:t>
      </w:r>
    </w:p>
    <w:p>
      <w:pPr>
        <w:spacing w:line="580" w:lineRule="exact"/>
        <w:ind w:firstLine="640" w:firstLineChars="200"/>
        <w:rPr>
          <w:rFonts w:ascii="Times New Roman" w:hAnsi="Times New Roman" w:eastAsia="仿宋_GB2312" w:cs="Times New Roman"/>
          <w:color w:val="000000"/>
          <w:sz w:val="32"/>
          <w:szCs w:val="28"/>
        </w:rPr>
      </w:pPr>
      <w:r>
        <w:rPr>
          <w:rFonts w:ascii="Times New Roman" w:hAnsi="Times New Roman" w:eastAsia="仿宋_GB2312" w:cs="Times New Roman"/>
          <w:color w:val="000000"/>
          <w:sz w:val="32"/>
          <w:szCs w:val="28"/>
        </w:rPr>
        <w:t>到2025年，数字</w:t>
      </w:r>
      <w:r>
        <w:rPr>
          <w:rFonts w:ascii="Times New Roman" w:hAnsi="Times New Roman" w:eastAsia="仿宋_GB2312" w:cs="Times New Roman"/>
          <w:bCs/>
          <w:color w:val="000000"/>
          <w:sz w:val="32"/>
          <w:szCs w:val="28"/>
        </w:rPr>
        <w:t>社会</w:t>
      </w:r>
      <w:r>
        <w:rPr>
          <w:rFonts w:ascii="Times New Roman" w:hAnsi="Times New Roman" w:eastAsia="仿宋_GB2312" w:cs="Times New Roman"/>
          <w:color w:val="000000"/>
          <w:sz w:val="32"/>
          <w:szCs w:val="28"/>
        </w:rPr>
        <w:t>、数字政府建设成效显著提升，数字经济、实体经济深度融合发展，形成具有国内竞争力的数字产业集群，初步形成数据要素驱动发展格局，成为产业数字化转型的领跑者、数字产业化培育的生力军、城市数字化建设的赶超者。</w:t>
      </w:r>
    </w:p>
    <w:p>
      <w:pPr>
        <w:spacing w:line="580" w:lineRule="exact"/>
        <w:ind w:firstLine="640" w:firstLineChars="200"/>
        <w:rPr>
          <w:rFonts w:ascii="Times New Roman" w:hAnsi="Times New Roman" w:eastAsia="仿宋_GB2312" w:cs="Times New Roman"/>
          <w:color w:val="000000"/>
          <w:sz w:val="32"/>
          <w:szCs w:val="28"/>
        </w:rPr>
      </w:pPr>
      <w:r>
        <w:rPr>
          <w:rFonts w:ascii="Times New Roman" w:hAnsi="Times New Roman" w:eastAsia="仿宋_GB2312" w:cs="Times New Roman"/>
          <w:color w:val="000000"/>
          <w:sz w:val="32"/>
          <w:szCs w:val="28"/>
        </w:rPr>
        <w:t>到2035年，全面步入数字时代，形成立足海西、对接台湾、辐射内陆、</w:t>
      </w:r>
      <w:r>
        <w:rPr>
          <w:rFonts w:ascii="Times New Roman" w:hAnsi="Times New Roman" w:eastAsia="仿宋_GB2312" w:cs="Times New Roman"/>
          <w:bCs/>
          <w:color w:val="000000"/>
          <w:sz w:val="32"/>
          <w:szCs w:val="28"/>
        </w:rPr>
        <w:t>联通</w:t>
      </w:r>
      <w:r>
        <w:rPr>
          <w:rFonts w:ascii="Times New Roman" w:hAnsi="Times New Roman" w:eastAsia="仿宋_GB2312" w:cs="Times New Roman"/>
          <w:color w:val="000000"/>
          <w:sz w:val="32"/>
          <w:szCs w:val="28"/>
        </w:rPr>
        <w:t>“海丝”的发展格局，打造海丝数字科创之都、海丝数字应用标杆城市和国内知名工业互联网城市，基本建成现代化数字强市。</w:t>
      </w:r>
    </w:p>
    <w:p>
      <w:pPr>
        <w:spacing w:after="93" w:line="300" w:lineRule="auto"/>
        <w:ind w:firstLine="560" w:firstLineChars="200"/>
        <w:jc w:val="center"/>
        <w:rPr>
          <w:rFonts w:ascii="Times New Roman" w:hAnsi="Times New Roman" w:eastAsia="黑体" w:cs="Times New Roman"/>
          <w:color w:val="000000"/>
          <w:sz w:val="28"/>
          <w:szCs w:val="28"/>
        </w:rPr>
      </w:pPr>
      <w:r>
        <w:rPr>
          <w:rFonts w:ascii="Times New Roman" w:hAnsi="Times New Roman" w:eastAsia="黑体" w:cs="Times New Roman"/>
          <w:color w:val="000000"/>
          <w:sz w:val="28"/>
          <w:szCs w:val="28"/>
        </w:rPr>
        <w:t xml:space="preserve">表 </w:t>
      </w:r>
      <w:r>
        <w:rPr>
          <w:rFonts w:ascii="Times New Roman" w:hAnsi="Times New Roman" w:eastAsia="黑体" w:cs="Times New Roman"/>
          <w:color w:val="000000"/>
          <w:sz w:val="28"/>
          <w:szCs w:val="28"/>
        </w:rPr>
        <w:fldChar w:fldCharType="begin"/>
      </w:r>
      <w:r>
        <w:rPr>
          <w:rFonts w:ascii="Times New Roman" w:hAnsi="Times New Roman" w:eastAsia="黑体" w:cs="Times New Roman"/>
          <w:color w:val="000000"/>
          <w:sz w:val="28"/>
          <w:szCs w:val="28"/>
        </w:rPr>
        <w:instrText xml:space="preserve"> SEQ 表 \* ARABIC </w:instrText>
      </w:r>
      <w:r>
        <w:rPr>
          <w:rFonts w:ascii="Times New Roman" w:hAnsi="Times New Roman" w:eastAsia="黑体" w:cs="Times New Roman"/>
          <w:color w:val="000000"/>
          <w:sz w:val="28"/>
          <w:szCs w:val="28"/>
        </w:rPr>
        <w:fldChar w:fldCharType="separate"/>
      </w:r>
      <w:r>
        <w:rPr>
          <w:rFonts w:ascii="Times New Roman" w:hAnsi="Times New Roman" w:eastAsia="黑体" w:cs="Times New Roman"/>
          <w:color w:val="000000"/>
          <w:sz w:val="28"/>
          <w:szCs w:val="28"/>
          <w:lang w:val="en-US" w:eastAsia="zh-CN"/>
        </w:rPr>
        <w:t>1</w:t>
      </w:r>
      <w:r>
        <w:rPr>
          <w:rFonts w:ascii="Times New Roman" w:hAnsi="Times New Roman" w:eastAsia="黑体" w:cs="Times New Roman"/>
          <w:color w:val="000000"/>
          <w:sz w:val="28"/>
          <w:szCs w:val="28"/>
        </w:rPr>
        <w:fldChar w:fldCharType="end"/>
      </w:r>
      <w:r>
        <w:rPr>
          <w:rFonts w:ascii="Times New Roman" w:hAnsi="Times New Roman" w:eastAsia="黑体" w:cs="Times New Roman"/>
          <w:color w:val="000000"/>
          <w:sz w:val="28"/>
          <w:szCs w:val="28"/>
        </w:rPr>
        <w:t>“十四五”数字泉州建设主要指标</w:t>
      </w:r>
    </w:p>
    <w:tbl>
      <w:tblPr>
        <w:tblStyle w:val="24"/>
        <w:tblW w:w="8767"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15" w:type="dxa"/>
          <w:left w:w="15" w:type="dxa"/>
          <w:bottom w:w="15" w:type="dxa"/>
          <w:right w:w="15" w:type="dxa"/>
        </w:tblCellMar>
      </w:tblPr>
      <w:tblGrid>
        <w:gridCol w:w="1408"/>
        <w:gridCol w:w="2425"/>
        <w:gridCol w:w="835"/>
        <w:gridCol w:w="992"/>
        <w:gridCol w:w="993"/>
        <w:gridCol w:w="211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cantSplit/>
          <w:trHeight w:val="526" w:hRule="atLeast"/>
          <w:tblHeader/>
          <w:jc w:val="center"/>
        </w:trPr>
        <w:tc>
          <w:tcPr>
            <w:tcW w:w="1408" w:type="dxa"/>
            <w:vAlign w:val="center"/>
          </w:tcPr>
          <w:p>
            <w:pPr>
              <w:widowControl/>
              <w:jc w:val="center"/>
              <w:textAlignment w:val="center"/>
              <w:rPr>
                <w:rFonts w:ascii="Times New Roman" w:hAnsi="Times New Roman" w:eastAsia="仿宋_GB2312" w:cs="Times New Roman"/>
                <w:b/>
                <w:bCs/>
                <w:color w:val="000000"/>
                <w:kern w:val="0"/>
                <w:sz w:val="28"/>
                <w:szCs w:val="28"/>
              </w:rPr>
            </w:pPr>
            <w:r>
              <w:rPr>
                <w:rFonts w:ascii="Times New Roman" w:hAnsi="Times New Roman" w:eastAsia="仿宋_GB2312" w:cs="Times New Roman"/>
                <w:b/>
                <w:bCs/>
                <w:color w:val="000000"/>
                <w:kern w:val="0"/>
                <w:sz w:val="28"/>
                <w:szCs w:val="28"/>
              </w:rPr>
              <w:t>类型</w:t>
            </w:r>
          </w:p>
        </w:tc>
        <w:tc>
          <w:tcPr>
            <w:tcW w:w="2425" w:type="dxa"/>
            <w:vAlign w:val="center"/>
          </w:tcPr>
          <w:p>
            <w:pPr>
              <w:widowControl/>
              <w:jc w:val="center"/>
              <w:textAlignment w:val="center"/>
              <w:rPr>
                <w:rFonts w:ascii="Times New Roman" w:hAnsi="Times New Roman" w:eastAsia="仿宋_GB2312" w:cs="Times New Roman"/>
                <w:b/>
                <w:bCs/>
                <w:color w:val="000000"/>
                <w:kern w:val="0"/>
                <w:sz w:val="28"/>
                <w:szCs w:val="28"/>
              </w:rPr>
            </w:pPr>
            <w:r>
              <w:rPr>
                <w:rFonts w:ascii="Times New Roman" w:hAnsi="Times New Roman" w:eastAsia="仿宋_GB2312" w:cs="Times New Roman"/>
                <w:b/>
                <w:bCs/>
                <w:color w:val="000000"/>
                <w:kern w:val="0"/>
                <w:sz w:val="28"/>
                <w:szCs w:val="28"/>
              </w:rPr>
              <w:t>指标名称</w:t>
            </w:r>
          </w:p>
        </w:tc>
        <w:tc>
          <w:tcPr>
            <w:tcW w:w="835" w:type="dxa"/>
            <w:vAlign w:val="center"/>
          </w:tcPr>
          <w:p>
            <w:pPr>
              <w:widowControl/>
              <w:jc w:val="center"/>
              <w:textAlignment w:val="center"/>
              <w:rPr>
                <w:rFonts w:ascii="Times New Roman" w:hAnsi="Times New Roman" w:eastAsia="仿宋_GB2312" w:cs="Times New Roman"/>
                <w:b/>
                <w:bCs/>
                <w:color w:val="000000"/>
                <w:kern w:val="0"/>
                <w:sz w:val="28"/>
                <w:szCs w:val="28"/>
              </w:rPr>
            </w:pPr>
            <w:r>
              <w:rPr>
                <w:rFonts w:ascii="Times New Roman" w:hAnsi="Times New Roman" w:eastAsia="仿宋_GB2312" w:cs="Times New Roman"/>
                <w:b/>
                <w:bCs/>
                <w:color w:val="000000"/>
                <w:kern w:val="0"/>
                <w:sz w:val="28"/>
                <w:szCs w:val="28"/>
              </w:rPr>
              <w:t>单位</w:t>
            </w:r>
          </w:p>
        </w:tc>
        <w:tc>
          <w:tcPr>
            <w:tcW w:w="992" w:type="dxa"/>
            <w:vAlign w:val="center"/>
          </w:tcPr>
          <w:p>
            <w:pPr>
              <w:widowControl/>
              <w:jc w:val="center"/>
              <w:textAlignment w:val="center"/>
              <w:rPr>
                <w:rFonts w:ascii="Times New Roman" w:hAnsi="Times New Roman" w:eastAsia="仿宋_GB2312" w:cs="Times New Roman"/>
                <w:b/>
                <w:bCs/>
                <w:color w:val="000000"/>
                <w:kern w:val="0"/>
                <w:sz w:val="28"/>
                <w:szCs w:val="28"/>
              </w:rPr>
            </w:pPr>
            <w:r>
              <w:rPr>
                <w:rFonts w:ascii="Times New Roman" w:hAnsi="Times New Roman" w:eastAsia="仿宋_GB2312" w:cs="Times New Roman"/>
                <w:b/>
                <w:bCs/>
                <w:color w:val="000000"/>
                <w:kern w:val="0"/>
                <w:sz w:val="28"/>
                <w:szCs w:val="28"/>
              </w:rPr>
              <w:t>基期值2020年</w:t>
            </w:r>
          </w:p>
        </w:tc>
        <w:tc>
          <w:tcPr>
            <w:tcW w:w="993" w:type="dxa"/>
            <w:vAlign w:val="center"/>
          </w:tcPr>
          <w:p>
            <w:pPr>
              <w:widowControl/>
              <w:jc w:val="center"/>
              <w:textAlignment w:val="center"/>
              <w:rPr>
                <w:rFonts w:ascii="Times New Roman" w:hAnsi="Times New Roman" w:eastAsia="仿宋_GB2312" w:cs="Times New Roman"/>
                <w:b/>
                <w:bCs/>
                <w:color w:val="000000"/>
                <w:kern w:val="0"/>
                <w:sz w:val="28"/>
                <w:szCs w:val="28"/>
              </w:rPr>
            </w:pPr>
            <w:r>
              <w:rPr>
                <w:rFonts w:ascii="Times New Roman" w:hAnsi="Times New Roman" w:eastAsia="仿宋_GB2312" w:cs="Times New Roman"/>
                <w:b/>
                <w:bCs/>
                <w:color w:val="000000"/>
                <w:kern w:val="0"/>
                <w:sz w:val="28"/>
                <w:szCs w:val="28"/>
              </w:rPr>
              <w:t>目标值2025年</w:t>
            </w:r>
          </w:p>
        </w:tc>
        <w:tc>
          <w:tcPr>
            <w:tcW w:w="2114" w:type="dxa"/>
            <w:vAlign w:val="center"/>
          </w:tcPr>
          <w:p>
            <w:pPr>
              <w:widowControl/>
              <w:jc w:val="center"/>
              <w:textAlignment w:val="center"/>
              <w:rPr>
                <w:rFonts w:ascii="Times New Roman" w:hAnsi="Times New Roman" w:eastAsia="仿宋_GB2312" w:cs="Times New Roman"/>
                <w:b/>
                <w:bCs/>
                <w:color w:val="000000"/>
                <w:kern w:val="0"/>
                <w:sz w:val="28"/>
                <w:szCs w:val="28"/>
              </w:rPr>
            </w:pPr>
            <w:r>
              <w:rPr>
                <w:rFonts w:ascii="Times New Roman" w:hAnsi="Times New Roman" w:eastAsia="仿宋_GB2312" w:cs="Times New Roman"/>
                <w:b/>
                <w:bCs/>
                <w:color w:val="000000"/>
                <w:kern w:val="0"/>
                <w:sz w:val="28"/>
                <w:szCs w:val="28"/>
              </w:rPr>
              <w:t>分年度目标</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cantSplit/>
          <w:trHeight w:val="884" w:hRule="exact"/>
          <w:jc w:val="center"/>
        </w:trPr>
        <w:tc>
          <w:tcPr>
            <w:tcW w:w="1408" w:type="dxa"/>
            <w:vMerge w:val="restart"/>
            <w:vAlign w:val="center"/>
          </w:tcPr>
          <w:p>
            <w:pPr>
              <w:widowControl/>
              <w:spacing w:line="320" w:lineRule="exact"/>
              <w:jc w:val="center"/>
              <w:textAlignment w:val="center"/>
              <w:rPr>
                <w:rFonts w:ascii="Times New Roman" w:hAnsi="Times New Roman" w:eastAsia="仿宋_GB2312" w:cs="Times New Roman"/>
                <w:color w:val="000000"/>
                <w:kern w:val="0"/>
                <w:sz w:val="28"/>
                <w:szCs w:val="28"/>
              </w:rPr>
            </w:pPr>
          </w:p>
          <w:p>
            <w:pPr>
              <w:widowControl/>
              <w:jc w:val="center"/>
              <w:textAlignment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数字政府</w:t>
            </w:r>
          </w:p>
          <w:p>
            <w:pPr>
              <w:widowControl/>
              <w:spacing w:line="320" w:lineRule="exact"/>
              <w:jc w:val="center"/>
              <w:textAlignment w:val="center"/>
              <w:rPr>
                <w:rFonts w:ascii="Times New Roman" w:hAnsi="Times New Roman" w:eastAsia="仿宋_GB2312" w:cs="Times New Roman"/>
                <w:color w:val="000000"/>
                <w:kern w:val="0"/>
                <w:sz w:val="28"/>
                <w:szCs w:val="28"/>
              </w:rPr>
            </w:pPr>
          </w:p>
          <w:p>
            <w:pPr>
              <w:widowControl/>
              <w:spacing w:line="320" w:lineRule="exact"/>
              <w:jc w:val="center"/>
              <w:textAlignment w:val="center"/>
              <w:rPr>
                <w:rFonts w:ascii="Times New Roman" w:hAnsi="Times New Roman" w:eastAsia="仿宋_GB2312" w:cs="Times New Roman"/>
                <w:color w:val="000000"/>
                <w:kern w:val="0"/>
                <w:sz w:val="28"/>
                <w:szCs w:val="28"/>
              </w:rPr>
            </w:pPr>
          </w:p>
        </w:tc>
        <w:tc>
          <w:tcPr>
            <w:tcW w:w="2425" w:type="dxa"/>
            <w:vAlign w:val="center"/>
          </w:tcPr>
          <w:p>
            <w:pPr>
              <w:widowControl/>
              <w:ind w:left="122" w:leftChars="58" w:right="160" w:rightChars="76"/>
              <w:textAlignment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市级行政许可事项网上可办率</w:t>
            </w:r>
          </w:p>
        </w:tc>
        <w:tc>
          <w:tcPr>
            <w:tcW w:w="835" w:type="dxa"/>
            <w:vAlign w:val="center"/>
          </w:tcPr>
          <w:p>
            <w:pPr>
              <w:widowControl/>
              <w:jc w:val="center"/>
              <w:textAlignment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w:t>
            </w:r>
          </w:p>
        </w:tc>
        <w:tc>
          <w:tcPr>
            <w:tcW w:w="992" w:type="dxa"/>
            <w:vAlign w:val="center"/>
          </w:tcPr>
          <w:p>
            <w:pPr>
              <w:widowControl/>
              <w:jc w:val="center"/>
              <w:textAlignment w:val="center"/>
              <w:rPr>
                <w:rFonts w:ascii="Times New Roman" w:hAnsi="Times New Roman" w:eastAsia="仿宋_GB2312" w:cs="Times New Roman"/>
                <w:color w:val="000000"/>
                <w:kern w:val="0"/>
                <w:sz w:val="28"/>
                <w:szCs w:val="28"/>
                <w:highlight w:val="yellow"/>
              </w:rPr>
            </w:pPr>
            <w:r>
              <w:rPr>
                <w:rFonts w:ascii="Times New Roman" w:hAnsi="Times New Roman" w:eastAsia="仿宋_GB2312" w:cs="Times New Roman"/>
                <w:color w:val="000000"/>
                <w:kern w:val="0"/>
                <w:sz w:val="28"/>
                <w:szCs w:val="28"/>
              </w:rPr>
              <w:t>95</w:t>
            </w:r>
          </w:p>
        </w:tc>
        <w:tc>
          <w:tcPr>
            <w:tcW w:w="993" w:type="dxa"/>
            <w:vAlign w:val="center"/>
          </w:tcPr>
          <w:p>
            <w:pPr>
              <w:widowControl/>
              <w:jc w:val="center"/>
              <w:textAlignment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99</w:t>
            </w:r>
          </w:p>
        </w:tc>
        <w:tc>
          <w:tcPr>
            <w:tcW w:w="2114" w:type="dxa"/>
            <w:vAlign w:val="center"/>
          </w:tcPr>
          <w:p>
            <w:pPr>
              <w:widowControl/>
              <w:ind w:left="122" w:leftChars="58" w:right="160" w:rightChars="76"/>
              <w:jc w:val="left"/>
              <w:textAlignment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年均提高0.8个百分点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cantSplit/>
          <w:trHeight w:val="863" w:hRule="exact"/>
          <w:jc w:val="center"/>
        </w:trPr>
        <w:tc>
          <w:tcPr>
            <w:tcW w:w="1408" w:type="dxa"/>
            <w:vMerge w:val="continue"/>
            <w:vAlign w:val="center"/>
          </w:tcPr>
          <w:p>
            <w:pPr>
              <w:widowControl/>
              <w:jc w:val="center"/>
              <w:textAlignment w:val="center"/>
              <w:rPr>
                <w:rFonts w:ascii="Times New Roman" w:hAnsi="Times New Roman" w:eastAsia="仿宋_GB2312" w:cs="Times New Roman"/>
                <w:color w:val="000000"/>
                <w:kern w:val="0"/>
                <w:sz w:val="28"/>
                <w:szCs w:val="28"/>
              </w:rPr>
            </w:pPr>
          </w:p>
        </w:tc>
        <w:tc>
          <w:tcPr>
            <w:tcW w:w="2425" w:type="dxa"/>
            <w:vAlign w:val="center"/>
          </w:tcPr>
          <w:p>
            <w:pPr>
              <w:widowControl/>
              <w:ind w:right="160" w:rightChars="76"/>
              <w:textAlignment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“互联网+监管”事项市级梳理率</w:t>
            </w:r>
          </w:p>
        </w:tc>
        <w:tc>
          <w:tcPr>
            <w:tcW w:w="835" w:type="dxa"/>
            <w:vAlign w:val="center"/>
          </w:tcPr>
          <w:p>
            <w:pPr>
              <w:widowControl/>
              <w:jc w:val="center"/>
              <w:textAlignment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w:t>
            </w:r>
          </w:p>
        </w:tc>
        <w:tc>
          <w:tcPr>
            <w:tcW w:w="992" w:type="dxa"/>
            <w:vAlign w:val="center"/>
          </w:tcPr>
          <w:p>
            <w:pPr>
              <w:widowControl/>
              <w:jc w:val="center"/>
              <w:textAlignment w:val="center"/>
              <w:rPr>
                <w:rFonts w:ascii="Times New Roman" w:hAnsi="Times New Roman" w:eastAsia="仿宋_GB2312" w:cs="Times New Roman"/>
                <w:color w:val="000000"/>
                <w:kern w:val="0"/>
                <w:sz w:val="28"/>
                <w:szCs w:val="28"/>
                <w:highlight w:val="yellow"/>
              </w:rPr>
            </w:pPr>
            <w:r>
              <w:rPr>
                <w:rFonts w:ascii="Times New Roman" w:hAnsi="Times New Roman" w:eastAsia="仿宋_GB2312" w:cs="Times New Roman"/>
                <w:color w:val="000000"/>
                <w:kern w:val="0"/>
                <w:sz w:val="28"/>
                <w:szCs w:val="28"/>
              </w:rPr>
              <w:t>50</w:t>
            </w:r>
          </w:p>
        </w:tc>
        <w:tc>
          <w:tcPr>
            <w:tcW w:w="993" w:type="dxa"/>
            <w:vAlign w:val="center"/>
          </w:tcPr>
          <w:p>
            <w:pPr>
              <w:widowControl/>
              <w:jc w:val="center"/>
              <w:textAlignment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90</w:t>
            </w:r>
          </w:p>
        </w:tc>
        <w:tc>
          <w:tcPr>
            <w:tcW w:w="2114" w:type="dxa"/>
            <w:vAlign w:val="center"/>
          </w:tcPr>
          <w:p>
            <w:pPr>
              <w:widowControl/>
              <w:ind w:left="122" w:leftChars="58" w:right="160" w:rightChars="76"/>
              <w:jc w:val="left"/>
              <w:textAlignment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年均提高8个百分点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cantSplit/>
          <w:trHeight w:val="1162" w:hRule="exact"/>
          <w:jc w:val="center"/>
        </w:trPr>
        <w:tc>
          <w:tcPr>
            <w:tcW w:w="1408" w:type="dxa"/>
            <w:vMerge w:val="continue"/>
            <w:vAlign w:val="center"/>
          </w:tcPr>
          <w:p>
            <w:pPr>
              <w:widowControl/>
              <w:jc w:val="center"/>
              <w:textAlignment w:val="center"/>
              <w:rPr>
                <w:rFonts w:ascii="Times New Roman" w:hAnsi="Times New Roman" w:eastAsia="仿宋_GB2312" w:cs="Times New Roman"/>
                <w:color w:val="000000"/>
                <w:kern w:val="0"/>
                <w:sz w:val="28"/>
                <w:szCs w:val="28"/>
              </w:rPr>
            </w:pPr>
          </w:p>
        </w:tc>
        <w:tc>
          <w:tcPr>
            <w:tcW w:w="2425" w:type="dxa"/>
            <w:vAlign w:val="center"/>
          </w:tcPr>
          <w:p>
            <w:pPr>
              <w:widowControl/>
              <w:ind w:left="122" w:leftChars="58" w:right="160" w:rightChars="76"/>
              <w:textAlignment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行政审批和公共服务事项“一趟不用跑”比例</w:t>
            </w:r>
          </w:p>
        </w:tc>
        <w:tc>
          <w:tcPr>
            <w:tcW w:w="835" w:type="dxa"/>
            <w:vAlign w:val="center"/>
          </w:tcPr>
          <w:p>
            <w:pPr>
              <w:widowControl/>
              <w:jc w:val="center"/>
              <w:textAlignment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w:t>
            </w:r>
          </w:p>
        </w:tc>
        <w:tc>
          <w:tcPr>
            <w:tcW w:w="992" w:type="dxa"/>
            <w:vAlign w:val="center"/>
          </w:tcPr>
          <w:p>
            <w:pPr>
              <w:widowControl/>
              <w:jc w:val="center"/>
              <w:textAlignment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70</w:t>
            </w:r>
          </w:p>
        </w:tc>
        <w:tc>
          <w:tcPr>
            <w:tcW w:w="993" w:type="dxa"/>
            <w:vAlign w:val="center"/>
          </w:tcPr>
          <w:p>
            <w:pPr>
              <w:widowControl/>
              <w:jc w:val="center"/>
              <w:textAlignment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90</w:t>
            </w:r>
          </w:p>
        </w:tc>
        <w:tc>
          <w:tcPr>
            <w:tcW w:w="2114" w:type="dxa"/>
            <w:vAlign w:val="center"/>
          </w:tcPr>
          <w:p>
            <w:pPr>
              <w:widowControl/>
              <w:ind w:left="122" w:leftChars="58" w:right="160" w:rightChars="76"/>
              <w:jc w:val="left"/>
              <w:textAlignment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年均提高4个百分点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cantSplit/>
          <w:trHeight w:val="929" w:hRule="exact"/>
          <w:jc w:val="center"/>
        </w:trPr>
        <w:tc>
          <w:tcPr>
            <w:tcW w:w="1408" w:type="dxa"/>
            <w:vMerge w:val="continue"/>
            <w:vAlign w:val="center"/>
          </w:tcPr>
          <w:p>
            <w:pPr>
              <w:widowControl/>
              <w:jc w:val="center"/>
              <w:textAlignment w:val="center"/>
              <w:rPr>
                <w:rFonts w:ascii="Times New Roman" w:hAnsi="Times New Roman" w:eastAsia="仿宋_GB2312" w:cs="Times New Roman"/>
                <w:color w:val="000000"/>
                <w:kern w:val="0"/>
                <w:sz w:val="28"/>
                <w:szCs w:val="28"/>
              </w:rPr>
            </w:pPr>
          </w:p>
        </w:tc>
        <w:tc>
          <w:tcPr>
            <w:tcW w:w="2425" w:type="dxa"/>
            <w:vAlign w:val="center"/>
          </w:tcPr>
          <w:p>
            <w:pPr>
              <w:widowControl/>
              <w:ind w:left="122" w:leftChars="58" w:right="160" w:rightChars="76"/>
              <w:textAlignment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跨层级跨部门业务协同率</w:t>
            </w:r>
          </w:p>
        </w:tc>
        <w:tc>
          <w:tcPr>
            <w:tcW w:w="835" w:type="dxa"/>
            <w:vAlign w:val="center"/>
          </w:tcPr>
          <w:p>
            <w:pPr>
              <w:widowControl/>
              <w:jc w:val="center"/>
              <w:textAlignment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w:t>
            </w:r>
          </w:p>
        </w:tc>
        <w:tc>
          <w:tcPr>
            <w:tcW w:w="992" w:type="dxa"/>
            <w:vAlign w:val="center"/>
          </w:tcPr>
          <w:p>
            <w:pPr>
              <w:widowControl/>
              <w:jc w:val="center"/>
              <w:textAlignment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30</w:t>
            </w:r>
          </w:p>
        </w:tc>
        <w:tc>
          <w:tcPr>
            <w:tcW w:w="993" w:type="dxa"/>
            <w:vAlign w:val="center"/>
          </w:tcPr>
          <w:p>
            <w:pPr>
              <w:widowControl/>
              <w:jc w:val="center"/>
              <w:textAlignment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60</w:t>
            </w:r>
          </w:p>
        </w:tc>
        <w:tc>
          <w:tcPr>
            <w:tcW w:w="2114" w:type="dxa"/>
            <w:vAlign w:val="center"/>
          </w:tcPr>
          <w:p>
            <w:pPr>
              <w:widowControl/>
              <w:ind w:left="122" w:leftChars="58" w:right="160" w:rightChars="76"/>
              <w:jc w:val="left"/>
              <w:textAlignment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年均提高6个百分点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cantSplit/>
          <w:trHeight w:val="743" w:hRule="exact"/>
          <w:jc w:val="center"/>
        </w:trPr>
        <w:tc>
          <w:tcPr>
            <w:tcW w:w="1408" w:type="dxa"/>
            <w:vMerge w:val="continue"/>
            <w:vAlign w:val="center"/>
          </w:tcPr>
          <w:p>
            <w:pPr>
              <w:widowControl/>
              <w:jc w:val="center"/>
              <w:textAlignment w:val="center"/>
              <w:rPr>
                <w:rFonts w:ascii="Times New Roman" w:hAnsi="Times New Roman" w:eastAsia="仿宋_GB2312" w:cs="Times New Roman"/>
                <w:color w:val="000000"/>
                <w:kern w:val="0"/>
                <w:sz w:val="28"/>
                <w:szCs w:val="28"/>
              </w:rPr>
            </w:pPr>
          </w:p>
        </w:tc>
        <w:tc>
          <w:tcPr>
            <w:tcW w:w="2425" w:type="dxa"/>
            <w:vAlign w:val="center"/>
          </w:tcPr>
          <w:p>
            <w:pPr>
              <w:widowControl/>
              <w:ind w:left="122" w:leftChars="58" w:right="160" w:rightChars="76"/>
              <w:textAlignment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政务数据汇聚量</w:t>
            </w:r>
          </w:p>
        </w:tc>
        <w:tc>
          <w:tcPr>
            <w:tcW w:w="835" w:type="dxa"/>
            <w:vAlign w:val="center"/>
          </w:tcPr>
          <w:p>
            <w:pPr>
              <w:widowControl/>
              <w:jc w:val="center"/>
              <w:textAlignment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亿条</w:t>
            </w:r>
          </w:p>
        </w:tc>
        <w:tc>
          <w:tcPr>
            <w:tcW w:w="992" w:type="dxa"/>
            <w:vAlign w:val="center"/>
          </w:tcPr>
          <w:p>
            <w:pPr>
              <w:widowControl/>
              <w:jc w:val="center"/>
              <w:textAlignment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33</w:t>
            </w:r>
          </w:p>
        </w:tc>
        <w:tc>
          <w:tcPr>
            <w:tcW w:w="993" w:type="dxa"/>
            <w:vAlign w:val="center"/>
          </w:tcPr>
          <w:p>
            <w:pPr>
              <w:widowControl/>
              <w:jc w:val="center"/>
              <w:textAlignment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133</w:t>
            </w:r>
          </w:p>
        </w:tc>
        <w:tc>
          <w:tcPr>
            <w:tcW w:w="2114" w:type="dxa"/>
            <w:vAlign w:val="center"/>
          </w:tcPr>
          <w:p>
            <w:pPr>
              <w:widowControl/>
              <w:ind w:left="122" w:leftChars="58" w:right="160" w:rightChars="76"/>
              <w:jc w:val="left"/>
              <w:textAlignment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年均增加20亿条以上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cantSplit/>
          <w:trHeight w:val="1310" w:hRule="exact"/>
          <w:jc w:val="center"/>
        </w:trPr>
        <w:tc>
          <w:tcPr>
            <w:tcW w:w="1408" w:type="dxa"/>
            <w:vMerge w:val="restart"/>
            <w:vAlign w:val="center"/>
          </w:tcPr>
          <w:p>
            <w:pPr>
              <w:widowControl/>
              <w:jc w:val="center"/>
              <w:textAlignment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数字经济</w:t>
            </w:r>
          </w:p>
        </w:tc>
        <w:tc>
          <w:tcPr>
            <w:tcW w:w="2425" w:type="dxa"/>
            <w:vAlign w:val="center"/>
          </w:tcPr>
          <w:p>
            <w:pPr>
              <w:widowControl/>
              <w:ind w:left="122" w:leftChars="58" w:right="160" w:rightChars="76"/>
              <w:textAlignment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数字经济增加值占地区生产总值比重</w:t>
            </w:r>
          </w:p>
        </w:tc>
        <w:tc>
          <w:tcPr>
            <w:tcW w:w="835" w:type="dxa"/>
            <w:vAlign w:val="center"/>
          </w:tcPr>
          <w:p>
            <w:pPr>
              <w:widowControl/>
              <w:jc w:val="center"/>
              <w:textAlignment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w:t>
            </w:r>
          </w:p>
        </w:tc>
        <w:tc>
          <w:tcPr>
            <w:tcW w:w="992" w:type="dxa"/>
            <w:vAlign w:val="center"/>
          </w:tcPr>
          <w:p>
            <w:pPr>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45</w:t>
            </w:r>
          </w:p>
        </w:tc>
        <w:tc>
          <w:tcPr>
            <w:tcW w:w="993" w:type="dxa"/>
            <w:vAlign w:val="center"/>
          </w:tcPr>
          <w:p>
            <w:pPr>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57</w:t>
            </w:r>
          </w:p>
        </w:tc>
        <w:tc>
          <w:tcPr>
            <w:tcW w:w="2114" w:type="dxa"/>
            <w:vAlign w:val="center"/>
          </w:tcPr>
          <w:p>
            <w:pPr>
              <w:jc w:val="lef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年均增长15%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cantSplit/>
          <w:trHeight w:val="1154" w:hRule="exact"/>
          <w:jc w:val="center"/>
        </w:trPr>
        <w:tc>
          <w:tcPr>
            <w:tcW w:w="1408" w:type="dxa"/>
            <w:vMerge w:val="continue"/>
            <w:vAlign w:val="center"/>
          </w:tcPr>
          <w:p>
            <w:pPr>
              <w:widowControl/>
              <w:spacing w:line="320" w:lineRule="exact"/>
              <w:jc w:val="center"/>
              <w:textAlignment w:val="center"/>
              <w:rPr>
                <w:rFonts w:ascii="Times New Roman" w:hAnsi="Times New Roman" w:eastAsia="仿宋_GB2312" w:cs="Times New Roman"/>
                <w:color w:val="000000"/>
                <w:kern w:val="0"/>
                <w:sz w:val="28"/>
                <w:szCs w:val="28"/>
              </w:rPr>
            </w:pPr>
          </w:p>
        </w:tc>
        <w:tc>
          <w:tcPr>
            <w:tcW w:w="2425" w:type="dxa"/>
            <w:vAlign w:val="center"/>
          </w:tcPr>
          <w:p>
            <w:pPr>
              <w:widowControl/>
              <w:ind w:left="122" w:leftChars="58" w:right="160" w:rightChars="76"/>
              <w:textAlignment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数字经济核心产业增加值占GDP比重</w:t>
            </w:r>
          </w:p>
        </w:tc>
        <w:tc>
          <w:tcPr>
            <w:tcW w:w="835" w:type="dxa"/>
            <w:vAlign w:val="center"/>
          </w:tcPr>
          <w:p>
            <w:pPr>
              <w:widowControl/>
              <w:jc w:val="center"/>
              <w:textAlignment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w:t>
            </w:r>
          </w:p>
        </w:tc>
        <w:tc>
          <w:tcPr>
            <w:tcW w:w="992" w:type="dxa"/>
            <w:vAlign w:val="center"/>
          </w:tcPr>
          <w:p>
            <w:pPr>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w:t>
            </w:r>
          </w:p>
        </w:tc>
        <w:tc>
          <w:tcPr>
            <w:tcW w:w="993" w:type="dxa"/>
            <w:vAlign w:val="center"/>
          </w:tcPr>
          <w:p>
            <w:pPr>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提高3个百分点</w:t>
            </w:r>
          </w:p>
        </w:tc>
        <w:tc>
          <w:tcPr>
            <w:tcW w:w="2114" w:type="dxa"/>
            <w:vAlign w:val="center"/>
          </w:tcPr>
          <w:p>
            <w:pPr>
              <w:jc w:val="lef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年均提高0.6个百分点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cantSplit/>
          <w:trHeight w:val="1121" w:hRule="exact"/>
          <w:jc w:val="center"/>
        </w:trPr>
        <w:tc>
          <w:tcPr>
            <w:tcW w:w="1408" w:type="dxa"/>
            <w:vMerge w:val="continue"/>
            <w:vAlign w:val="center"/>
          </w:tcPr>
          <w:p>
            <w:pPr>
              <w:widowControl/>
              <w:spacing w:line="320" w:lineRule="exact"/>
              <w:jc w:val="center"/>
              <w:textAlignment w:val="center"/>
              <w:rPr>
                <w:rFonts w:ascii="Times New Roman" w:hAnsi="Times New Roman" w:eastAsia="仿宋_GB2312" w:cs="Times New Roman"/>
                <w:color w:val="000000"/>
                <w:kern w:val="0"/>
                <w:sz w:val="28"/>
                <w:szCs w:val="28"/>
              </w:rPr>
            </w:pPr>
          </w:p>
        </w:tc>
        <w:tc>
          <w:tcPr>
            <w:tcW w:w="2425" w:type="dxa"/>
            <w:vAlign w:val="center"/>
          </w:tcPr>
          <w:p>
            <w:pPr>
              <w:ind w:left="122" w:leftChars="58" w:right="160" w:rightChars="76"/>
              <w:textAlignment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规模以上工业企业数字化转型覆盖率</w:t>
            </w:r>
          </w:p>
        </w:tc>
        <w:tc>
          <w:tcPr>
            <w:tcW w:w="835" w:type="dxa"/>
            <w:vAlign w:val="center"/>
          </w:tcPr>
          <w:p>
            <w:pPr>
              <w:widowControl/>
              <w:jc w:val="center"/>
              <w:textAlignment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w:t>
            </w:r>
          </w:p>
        </w:tc>
        <w:tc>
          <w:tcPr>
            <w:tcW w:w="992" w:type="dxa"/>
            <w:vAlign w:val="center"/>
          </w:tcPr>
          <w:p>
            <w:pPr>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55</w:t>
            </w:r>
          </w:p>
        </w:tc>
        <w:tc>
          <w:tcPr>
            <w:tcW w:w="993" w:type="dxa"/>
            <w:vAlign w:val="center"/>
          </w:tcPr>
          <w:p>
            <w:pPr>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92.5</w:t>
            </w:r>
          </w:p>
        </w:tc>
        <w:tc>
          <w:tcPr>
            <w:tcW w:w="2114" w:type="dxa"/>
            <w:vAlign w:val="center"/>
          </w:tcPr>
          <w:p>
            <w:pPr>
              <w:jc w:val="lef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年均提高7.5个百分点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cantSplit/>
          <w:trHeight w:val="1651" w:hRule="exact"/>
          <w:jc w:val="center"/>
        </w:trPr>
        <w:tc>
          <w:tcPr>
            <w:tcW w:w="1408" w:type="dxa"/>
            <w:vMerge w:val="continue"/>
            <w:vAlign w:val="center"/>
          </w:tcPr>
          <w:p>
            <w:pPr>
              <w:widowControl/>
              <w:spacing w:line="320" w:lineRule="exact"/>
              <w:jc w:val="center"/>
              <w:textAlignment w:val="center"/>
              <w:rPr>
                <w:rFonts w:ascii="Times New Roman" w:hAnsi="Times New Roman" w:eastAsia="仿宋_GB2312" w:cs="Times New Roman"/>
                <w:color w:val="000000"/>
                <w:kern w:val="0"/>
                <w:sz w:val="28"/>
                <w:szCs w:val="28"/>
              </w:rPr>
            </w:pPr>
          </w:p>
        </w:tc>
        <w:tc>
          <w:tcPr>
            <w:tcW w:w="2425" w:type="dxa"/>
            <w:vAlign w:val="center"/>
          </w:tcPr>
          <w:p>
            <w:pPr>
              <w:widowControl/>
              <w:ind w:left="122" w:leftChars="58" w:right="160" w:rightChars="76"/>
              <w:textAlignment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关键业务环节全面数字化的规模以上制造业企业比例</w:t>
            </w:r>
          </w:p>
        </w:tc>
        <w:tc>
          <w:tcPr>
            <w:tcW w:w="835" w:type="dxa"/>
            <w:vAlign w:val="center"/>
          </w:tcPr>
          <w:p>
            <w:pPr>
              <w:widowControl/>
              <w:jc w:val="center"/>
              <w:textAlignment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w:t>
            </w:r>
          </w:p>
        </w:tc>
        <w:tc>
          <w:tcPr>
            <w:tcW w:w="992" w:type="dxa"/>
            <w:vAlign w:val="center"/>
          </w:tcPr>
          <w:p>
            <w:pPr>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40</w:t>
            </w:r>
          </w:p>
        </w:tc>
        <w:tc>
          <w:tcPr>
            <w:tcW w:w="993" w:type="dxa"/>
            <w:vAlign w:val="center"/>
          </w:tcPr>
          <w:p>
            <w:pPr>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&gt;66</w:t>
            </w:r>
          </w:p>
        </w:tc>
        <w:tc>
          <w:tcPr>
            <w:tcW w:w="2114" w:type="dxa"/>
            <w:vAlign w:val="center"/>
          </w:tcPr>
          <w:p>
            <w:pPr>
              <w:jc w:val="lef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年均提高5.2个百分点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cantSplit/>
          <w:trHeight w:val="563" w:hRule="atLeast"/>
          <w:jc w:val="center"/>
        </w:trPr>
        <w:tc>
          <w:tcPr>
            <w:tcW w:w="1408" w:type="dxa"/>
            <w:vMerge w:val="continue"/>
            <w:vAlign w:val="center"/>
          </w:tcPr>
          <w:p>
            <w:pPr>
              <w:widowControl/>
              <w:spacing w:line="320" w:lineRule="exact"/>
              <w:jc w:val="center"/>
              <w:textAlignment w:val="center"/>
              <w:rPr>
                <w:rFonts w:ascii="Times New Roman" w:hAnsi="Times New Roman" w:eastAsia="仿宋_GB2312" w:cs="Times New Roman"/>
                <w:color w:val="000000"/>
                <w:kern w:val="0"/>
                <w:sz w:val="28"/>
                <w:szCs w:val="28"/>
              </w:rPr>
            </w:pPr>
          </w:p>
        </w:tc>
        <w:tc>
          <w:tcPr>
            <w:tcW w:w="2425" w:type="dxa"/>
            <w:vAlign w:val="center"/>
          </w:tcPr>
          <w:p>
            <w:pPr>
              <w:widowControl/>
              <w:ind w:left="122" w:leftChars="58" w:right="160" w:rightChars="76"/>
              <w:textAlignment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网络零售额</w:t>
            </w:r>
          </w:p>
        </w:tc>
        <w:tc>
          <w:tcPr>
            <w:tcW w:w="835" w:type="dxa"/>
            <w:vAlign w:val="center"/>
          </w:tcPr>
          <w:p>
            <w:pPr>
              <w:widowControl/>
              <w:jc w:val="center"/>
              <w:textAlignment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亿元</w:t>
            </w:r>
          </w:p>
        </w:tc>
        <w:tc>
          <w:tcPr>
            <w:tcW w:w="992" w:type="dxa"/>
            <w:vAlign w:val="center"/>
          </w:tcPr>
          <w:p>
            <w:pPr>
              <w:widowControl/>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2574</w:t>
            </w:r>
          </w:p>
        </w:tc>
        <w:tc>
          <w:tcPr>
            <w:tcW w:w="993" w:type="dxa"/>
            <w:vAlign w:val="center"/>
          </w:tcPr>
          <w:p>
            <w:pPr>
              <w:widowControl/>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4500</w:t>
            </w:r>
          </w:p>
        </w:tc>
        <w:tc>
          <w:tcPr>
            <w:tcW w:w="2114" w:type="dxa"/>
            <w:vAlign w:val="center"/>
          </w:tcPr>
          <w:p>
            <w:pPr>
              <w:widowControl/>
              <w:jc w:val="lef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年均增长12%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cantSplit/>
          <w:trHeight w:val="198" w:hRule="atLeast"/>
          <w:jc w:val="center"/>
        </w:trPr>
        <w:tc>
          <w:tcPr>
            <w:tcW w:w="1408" w:type="dxa"/>
            <w:vMerge w:val="restart"/>
            <w:vAlign w:val="center"/>
          </w:tcPr>
          <w:p>
            <w:pPr>
              <w:widowControl/>
              <w:jc w:val="center"/>
              <w:textAlignment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创新能力</w:t>
            </w:r>
          </w:p>
        </w:tc>
        <w:tc>
          <w:tcPr>
            <w:tcW w:w="2425" w:type="dxa"/>
            <w:vAlign w:val="center"/>
          </w:tcPr>
          <w:p>
            <w:pPr>
              <w:widowControl/>
              <w:ind w:left="122" w:leftChars="58" w:right="160" w:rightChars="76"/>
              <w:textAlignment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R&amp;D经费投入占GDP的比重</w:t>
            </w:r>
          </w:p>
        </w:tc>
        <w:tc>
          <w:tcPr>
            <w:tcW w:w="835" w:type="dxa"/>
            <w:vAlign w:val="center"/>
          </w:tcPr>
          <w:p>
            <w:pPr>
              <w:widowControl/>
              <w:jc w:val="center"/>
              <w:textAlignment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w:t>
            </w:r>
          </w:p>
        </w:tc>
        <w:tc>
          <w:tcPr>
            <w:tcW w:w="992" w:type="dxa"/>
            <w:vAlign w:val="center"/>
          </w:tcPr>
          <w:p>
            <w:pPr>
              <w:widowControl/>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1.4</w:t>
            </w:r>
          </w:p>
        </w:tc>
        <w:tc>
          <w:tcPr>
            <w:tcW w:w="993" w:type="dxa"/>
            <w:vAlign w:val="center"/>
          </w:tcPr>
          <w:p>
            <w:pPr>
              <w:widowControl/>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2.4</w:t>
            </w:r>
          </w:p>
        </w:tc>
        <w:tc>
          <w:tcPr>
            <w:tcW w:w="2114" w:type="dxa"/>
            <w:vAlign w:val="center"/>
          </w:tcPr>
          <w:p>
            <w:pPr>
              <w:widowControl/>
              <w:jc w:val="lef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年均提高0.2个百分点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cantSplit/>
          <w:trHeight w:val="907" w:hRule="atLeast"/>
          <w:jc w:val="center"/>
        </w:trPr>
        <w:tc>
          <w:tcPr>
            <w:tcW w:w="1408" w:type="dxa"/>
            <w:vMerge w:val="continue"/>
            <w:vAlign w:val="center"/>
          </w:tcPr>
          <w:p>
            <w:pPr>
              <w:widowControl/>
              <w:spacing w:line="320" w:lineRule="exact"/>
              <w:jc w:val="center"/>
              <w:textAlignment w:val="center"/>
              <w:rPr>
                <w:rFonts w:ascii="Times New Roman" w:hAnsi="Times New Roman" w:eastAsia="仿宋_GB2312" w:cs="Times New Roman"/>
                <w:color w:val="000000"/>
                <w:kern w:val="0"/>
                <w:sz w:val="28"/>
                <w:szCs w:val="28"/>
              </w:rPr>
            </w:pPr>
          </w:p>
        </w:tc>
        <w:tc>
          <w:tcPr>
            <w:tcW w:w="2425" w:type="dxa"/>
            <w:vAlign w:val="center"/>
          </w:tcPr>
          <w:p>
            <w:pPr>
              <w:widowControl/>
              <w:ind w:left="122" w:leftChars="58" w:right="160" w:rightChars="76"/>
              <w:textAlignment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高新技术企业数量</w:t>
            </w:r>
          </w:p>
        </w:tc>
        <w:tc>
          <w:tcPr>
            <w:tcW w:w="835" w:type="dxa"/>
            <w:vAlign w:val="center"/>
          </w:tcPr>
          <w:p>
            <w:pPr>
              <w:widowControl/>
              <w:jc w:val="center"/>
              <w:textAlignment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个</w:t>
            </w:r>
          </w:p>
        </w:tc>
        <w:tc>
          <w:tcPr>
            <w:tcW w:w="992" w:type="dxa"/>
            <w:vAlign w:val="center"/>
          </w:tcPr>
          <w:p>
            <w:pPr>
              <w:widowControl/>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1037</w:t>
            </w:r>
          </w:p>
        </w:tc>
        <w:tc>
          <w:tcPr>
            <w:tcW w:w="993" w:type="dxa"/>
            <w:vAlign w:val="center"/>
          </w:tcPr>
          <w:p>
            <w:pPr>
              <w:widowControl/>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3500</w:t>
            </w:r>
          </w:p>
        </w:tc>
        <w:tc>
          <w:tcPr>
            <w:tcW w:w="2114" w:type="dxa"/>
            <w:vAlign w:val="center"/>
          </w:tcPr>
          <w:p>
            <w:pPr>
              <w:widowControl/>
              <w:jc w:val="lef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每年新增高新技术企业近500家</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cantSplit/>
          <w:trHeight w:val="198" w:hRule="atLeast"/>
          <w:jc w:val="center"/>
        </w:trPr>
        <w:tc>
          <w:tcPr>
            <w:tcW w:w="1408" w:type="dxa"/>
            <w:vMerge w:val="continue"/>
            <w:vAlign w:val="center"/>
          </w:tcPr>
          <w:p>
            <w:pPr>
              <w:widowControl/>
              <w:spacing w:line="320" w:lineRule="exact"/>
              <w:jc w:val="center"/>
              <w:textAlignment w:val="center"/>
              <w:rPr>
                <w:rFonts w:ascii="Times New Roman" w:hAnsi="Times New Roman" w:eastAsia="仿宋_GB2312" w:cs="Times New Roman"/>
                <w:color w:val="000000"/>
                <w:kern w:val="0"/>
                <w:sz w:val="28"/>
                <w:szCs w:val="28"/>
              </w:rPr>
            </w:pPr>
          </w:p>
        </w:tc>
        <w:tc>
          <w:tcPr>
            <w:tcW w:w="2425" w:type="dxa"/>
            <w:vAlign w:val="center"/>
          </w:tcPr>
          <w:p>
            <w:pPr>
              <w:widowControl/>
              <w:ind w:left="122" w:leftChars="58" w:right="160" w:rightChars="76"/>
              <w:textAlignment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每万人口发明专利拥有量</w:t>
            </w:r>
          </w:p>
        </w:tc>
        <w:tc>
          <w:tcPr>
            <w:tcW w:w="835" w:type="dxa"/>
            <w:vAlign w:val="center"/>
          </w:tcPr>
          <w:p>
            <w:pPr>
              <w:widowControl/>
              <w:jc w:val="center"/>
              <w:textAlignment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件</w:t>
            </w:r>
          </w:p>
        </w:tc>
        <w:tc>
          <w:tcPr>
            <w:tcW w:w="992" w:type="dxa"/>
            <w:vAlign w:val="center"/>
          </w:tcPr>
          <w:p>
            <w:pPr>
              <w:widowControl/>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10.44</w:t>
            </w:r>
          </w:p>
        </w:tc>
        <w:tc>
          <w:tcPr>
            <w:tcW w:w="993" w:type="dxa"/>
            <w:vAlign w:val="center"/>
          </w:tcPr>
          <w:p>
            <w:pPr>
              <w:widowControl/>
              <w:jc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&gt;20</w:t>
            </w:r>
          </w:p>
        </w:tc>
        <w:tc>
          <w:tcPr>
            <w:tcW w:w="2114" w:type="dxa"/>
            <w:vAlign w:val="center"/>
          </w:tcPr>
          <w:p>
            <w:pPr>
              <w:widowControl/>
              <w:jc w:val="lef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 xml:space="preserve">年均增长15%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cantSplit/>
          <w:trHeight w:val="759" w:hRule="exact"/>
          <w:jc w:val="center"/>
        </w:trPr>
        <w:tc>
          <w:tcPr>
            <w:tcW w:w="1408" w:type="dxa"/>
            <w:vMerge w:val="restart"/>
            <w:vAlign w:val="center"/>
          </w:tcPr>
          <w:p>
            <w:pPr>
              <w:widowControl/>
              <w:jc w:val="center"/>
              <w:textAlignment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新型基础设施</w:t>
            </w:r>
          </w:p>
        </w:tc>
        <w:tc>
          <w:tcPr>
            <w:tcW w:w="2425" w:type="dxa"/>
            <w:vAlign w:val="center"/>
          </w:tcPr>
          <w:p>
            <w:pPr>
              <w:widowControl/>
              <w:ind w:left="122" w:leftChars="58" w:right="160" w:rightChars="76"/>
              <w:textAlignment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5G用户普及率</w:t>
            </w:r>
          </w:p>
        </w:tc>
        <w:tc>
          <w:tcPr>
            <w:tcW w:w="835" w:type="dxa"/>
            <w:vAlign w:val="center"/>
          </w:tcPr>
          <w:p>
            <w:pPr>
              <w:widowControl/>
              <w:jc w:val="center"/>
              <w:textAlignment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w:t>
            </w:r>
          </w:p>
        </w:tc>
        <w:tc>
          <w:tcPr>
            <w:tcW w:w="992" w:type="dxa"/>
            <w:vAlign w:val="center"/>
          </w:tcPr>
          <w:p>
            <w:pPr>
              <w:widowControl/>
              <w:jc w:val="center"/>
              <w:textAlignment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15</w:t>
            </w:r>
          </w:p>
        </w:tc>
        <w:tc>
          <w:tcPr>
            <w:tcW w:w="993" w:type="dxa"/>
            <w:vAlign w:val="center"/>
          </w:tcPr>
          <w:p>
            <w:pPr>
              <w:widowControl/>
              <w:jc w:val="center"/>
              <w:textAlignment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70</w:t>
            </w:r>
          </w:p>
        </w:tc>
        <w:tc>
          <w:tcPr>
            <w:tcW w:w="2114" w:type="dxa"/>
            <w:vAlign w:val="center"/>
          </w:tcPr>
          <w:p>
            <w:pPr>
              <w:widowControl/>
              <w:jc w:val="lef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年均提高11个百分点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cantSplit/>
          <w:trHeight w:val="703" w:hRule="exact"/>
          <w:jc w:val="center"/>
        </w:trPr>
        <w:tc>
          <w:tcPr>
            <w:tcW w:w="1408" w:type="dxa"/>
            <w:vMerge w:val="continue"/>
            <w:vAlign w:val="center"/>
          </w:tcPr>
          <w:p>
            <w:pPr>
              <w:widowControl/>
              <w:spacing w:line="320" w:lineRule="exact"/>
              <w:jc w:val="center"/>
              <w:textAlignment w:val="center"/>
              <w:rPr>
                <w:rFonts w:ascii="Times New Roman" w:hAnsi="Times New Roman" w:eastAsia="仿宋_GB2312" w:cs="Times New Roman"/>
                <w:color w:val="000000"/>
                <w:kern w:val="0"/>
                <w:sz w:val="28"/>
                <w:szCs w:val="28"/>
              </w:rPr>
            </w:pPr>
          </w:p>
        </w:tc>
        <w:tc>
          <w:tcPr>
            <w:tcW w:w="2425" w:type="dxa"/>
            <w:vAlign w:val="center"/>
          </w:tcPr>
          <w:p>
            <w:pPr>
              <w:widowControl/>
              <w:ind w:left="122" w:leftChars="58" w:right="160" w:rightChars="76"/>
              <w:textAlignment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IPv6活跃用户数</w:t>
            </w:r>
          </w:p>
        </w:tc>
        <w:tc>
          <w:tcPr>
            <w:tcW w:w="835" w:type="dxa"/>
            <w:vAlign w:val="center"/>
          </w:tcPr>
          <w:p>
            <w:pPr>
              <w:widowControl/>
              <w:jc w:val="center"/>
              <w:textAlignment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万户</w:t>
            </w:r>
          </w:p>
        </w:tc>
        <w:tc>
          <w:tcPr>
            <w:tcW w:w="992" w:type="dxa"/>
            <w:vAlign w:val="center"/>
          </w:tcPr>
          <w:p>
            <w:pPr>
              <w:widowControl/>
              <w:jc w:val="center"/>
              <w:textAlignment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1000</w:t>
            </w:r>
          </w:p>
        </w:tc>
        <w:tc>
          <w:tcPr>
            <w:tcW w:w="993" w:type="dxa"/>
            <w:vAlign w:val="center"/>
          </w:tcPr>
          <w:p>
            <w:pPr>
              <w:widowControl/>
              <w:jc w:val="center"/>
              <w:textAlignment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2000</w:t>
            </w:r>
          </w:p>
        </w:tc>
        <w:tc>
          <w:tcPr>
            <w:tcW w:w="2114" w:type="dxa"/>
            <w:vAlign w:val="center"/>
          </w:tcPr>
          <w:p>
            <w:pPr>
              <w:widowControl/>
              <w:jc w:val="lef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年均新增200万户</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cantSplit/>
          <w:trHeight w:val="744" w:hRule="exact"/>
          <w:jc w:val="center"/>
        </w:trPr>
        <w:tc>
          <w:tcPr>
            <w:tcW w:w="1408" w:type="dxa"/>
            <w:vMerge w:val="continue"/>
            <w:vAlign w:val="center"/>
          </w:tcPr>
          <w:p>
            <w:pPr>
              <w:widowControl/>
              <w:spacing w:line="320" w:lineRule="exact"/>
              <w:jc w:val="center"/>
              <w:textAlignment w:val="center"/>
              <w:rPr>
                <w:rFonts w:ascii="Times New Roman" w:hAnsi="Times New Roman" w:eastAsia="仿宋_GB2312" w:cs="Times New Roman"/>
                <w:color w:val="000000"/>
                <w:kern w:val="0"/>
                <w:sz w:val="28"/>
                <w:szCs w:val="28"/>
              </w:rPr>
            </w:pPr>
          </w:p>
        </w:tc>
        <w:tc>
          <w:tcPr>
            <w:tcW w:w="2425" w:type="dxa"/>
            <w:vAlign w:val="center"/>
          </w:tcPr>
          <w:p>
            <w:pPr>
              <w:widowControl/>
              <w:ind w:left="122" w:leftChars="58" w:right="160" w:rightChars="76"/>
              <w:textAlignment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千兆宽带家庭普及率</w:t>
            </w:r>
          </w:p>
        </w:tc>
        <w:tc>
          <w:tcPr>
            <w:tcW w:w="835" w:type="dxa"/>
            <w:vAlign w:val="center"/>
          </w:tcPr>
          <w:p>
            <w:pPr>
              <w:widowControl/>
              <w:jc w:val="center"/>
              <w:textAlignment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w:t>
            </w:r>
          </w:p>
        </w:tc>
        <w:tc>
          <w:tcPr>
            <w:tcW w:w="992" w:type="dxa"/>
            <w:vAlign w:val="center"/>
          </w:tcPr>
          <w:p>
            <w:pPr>
              <w:widowControl/>
              <w:jc w:val="center"/>
              <w:textAlignment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＜1</w:t>
            </w:r>
          </w:p>
        </w:tc>
        <w:tc>
          <w:tcPr>
            <w:tcW w:w="993" w:type="dxa"/>
            <w:vAlign w:val="center"/>
          </w:tcPr>
          <w:p>
            <w:pPr>
              <w:widowControl/>
              <w:jc w:val="center"/>
              <w:textAlignment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20</w:t>
            </w:r>
          </w:p>
        </w:tc>
        <w:tc>
          <w:tcPr>
            <w:tcW w:w="2114" w:type="dxa"/>
            <w:vAlign w:val="center"/>
          </w:tcPr>
          <w:p>
            <w:pPr>
              <w:widowControl/>
              <w:jc w:val="lef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年均提高4个百分点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cantSplit/>
          <w:trHeight w:val="767" w:hRule="exact"/>
          <w:jc w:val="center"/>
        </w:trPr>
        <w:tc>
          <w:tcPr>
            <w:tcW w:w="1408" w:type="dxa"/>
            <w:vMerge w:val="continue"/>
            <w:vAlign w:val="center"/>
          </w:tcPr>
          <w:p>
            <w:pPr>
              <w:widowControl/>
              <w:spacing w:line="320" w:lineRule="exact"/>
              <w:jc w:val="center"/>
              <w:textAlignment w:val="center"/>
              <w:rPr>
                <w:rFonts w:ascii="Times New Roman" w:hAnsi="Times New Roman" w:eastAsia="仿宋_GB2312" w:cs="Times New Roman"/>
                <w:color w:val="000000"/>
                <w:kern w:val="0"/>
                <w:sz w:val="28"/>
                <w:szCs w:val="28"/>
              </w:rPr>
            </w:pPr>
          </w:p>
        </w:tc>
        <w:tc>
          <w:tcPr>
            <w:tcW w:w="2425" w:type="dxa"/>
            <w:vAlign w:val="center"/>
          </w:tcPr>
          <w:p>
            <w:pPr>
              <w:widowControl/>
              <w:ind w:left="122" w:leftChars="58" w:right="160" w:rightChars="76"/>
              <w:textAlignment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互联网出口带宽</w:t>
            </w:r>
          </w:p>
        </w:tc>
        <w:tc>
          <w:tcPr>
            <w:tcW w:w="835" w:type="dxa"/>
            <w:vAlign w:val="center"/>
          </w:tcPr>
          <w:p>
            <w:pPr>
              <w:widowControl/>
              <w:jc w:val="center"/>
              <w:textAlignment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Tbps</w:t>
            </w:r>
          </w:p>
        </w:tc>
        <w:tc>
          <w:tcPr>
            <w:tcW w:w="992" w:type="dxa"/>
            <w:vAlign w:val="center"/>
          </w:tcPr>
          <w:p>
            <w:pPr>
              <w:widowControl/>
              <w:jc w:val="center"/>
              <w:textAlignment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8</w:t>
            </w:r>
          </w:p>
        </w:tc>
        <w:tc>
          <w:tcPr>
            <w:tcW w:w="993" w:type="dxa"/>
            <w:vAlign w:val="center"/>
          </w:tcPr>
          <w:p>
            <w:pPr>
              <w:widowControl/>
              <w:jc w:val="center"/>
              <w:textAlignment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24</w:t>
            </w:r>
          </w:p>
        </w:tc>
        <w:tc>
          <w:tcPr>
            <w:tcW w:w="2114" w:type="dxa"/>
            <w:vAlign w:val="center"/>
          </w:tcPr>
          <w:p>
            <w:pPr>
              <w:widowControl/>
              <w:jc w:val="lef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年均增长24.5%以上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cantSplit/>
          <w:trHeight w:val="833" w:hRule="exact"/>
          <w:jc w:val="center"/>
        </w:trPr>
        <w:tc>
          <w:tcPr>
            <w:tcW w:w="1408" w:type="dxa"/>
            <w:vMerge w:val="continue"/>
            <w:vAlign w:val="center"/>
          </w:tcPr>
          <w:p>
            <w:pPr>
              <w:widowControl/>
              <w:spacing w:line="320" w:lineRule="exact"/>
              <w:jc w:val="center"/>
              <w:textAlignment w:val="center"/>
              <w:rPr>
                <w:rFonts w:ascii="Times New Roman" w:hAnsi="Times New Roman" w:eastAsia="仿宋_GB2312" w:cs="Times New Roman"/>
                <w:color w:val="000000"/>
                <w:kern w:val="0"/>
                <w:sz w:val="28"/>
                <w:szCs w:val="28"/>
              </w:rPr>
            </w:pPr>
          </w:p>
        </w:tc>
        <w:tc>
          <w:tcPr>
            <w:tcW w:w="2425" w:type="dxa"/>
            <w:vAlign w:val="center"/>
          </w:tcPr>
          <w:p>
            <w:pPr>
              <w:widowControl/>
              <w:ind w:left="122" w:leftChars="58" w:right="160" w:rightChars="76"/>
              <w:textAlignment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物联网终端用户数</w:t>
            </w:r>
          </w:p>
        </w:tc>
        <w:tc>
          <w:tcPr>
            <w:tcW w:w="835" w:type="dxa"/>
            <w:vAlign w:val="center"/>
          </w:tcPr>
          <w:p>
            <w:pPr>
              <w:widowControl/>
              <w:jc w:val="center"/>
              <w:textAlignment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万个</w:t>
            </w:r>
          </w:p>
        </w:tc>
        <w:tc>
          <w:tcPr>
            <w:tcW w:w="992" w:type="dxa"/>
            <w:vAlign w:val="center"/>
          </w:tcPr>
          <w:p>
            <w:pPr>
              <w:widowControl/>
              <w:jc w:val="center"/>
              <w:textAlignment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700</w:t>
            </w:r>
          </w:p>
        </w:tc>
        <w:tc>
          <w:tcPr>
            <w:tcW w:w="993" w:type="dxa"/>
            <w:vAlign w:val="center"/>
          </w:tcPr>
          <w:p>
            <w:pPr>
              <w:widowControl/>
              <w:jc w:val="center"/>
              <w:textAlignment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1750</w:t>
            </w:r>
          </w:p>
        </w:tc>
        <w:tc>
          <w:tcPr>
            <w:tcW w:w="2114" w:type="dxa"/>
            <w:vAlign w:val="center"/>
          </w:tcPr>
          <w:p>
            <w:pPr>
              <w:widowControl/>
              <w:jc w:val="lef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年均增长20%以上</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15" w:type="dxa"/>
            <w:left w:w="15" w:type="dxa"/>
            <w:bottom w:w="15" w:type="dxa"/>
            <w:right w:w="15" w:type="dxa"/>
          </w:tblCellMar>
        </w:tblPrEx>
        <w:trPr>
          <w:cantSplit/>
          <w:trHeight w:val="826" w:hRule="exact"/>
          <w:jc w:val="center"/>
        </w:trPr>
        <w:tc>
          <w:tcPr>
            <w:tcW w:w="1408" w:type="dxa"/>
            <w:vMerge w:val="continue"/>
            <w:vAlign w:val="center"/>
          </w:tcPr>
          <w:p>
            <w:pPr>
              <w:widowControl/>
              <w:jc w:val="center"/>
              <w:textAlignment w:val="center"/>
              <w:rPr>
                <w:rFonts w:ascii="Times New Roman" w:hAnsi="Times New Roman" w:eastAsia="仿宋_GB2312" w:cs="Times New Roman"/>
                <w:color w:val="000000"/>
                <w:kern w:val="0"/>
                <w:sz w:val="28"/>
                <w:szCs w:val="28"/>
              </w:rPr>
            </w:pPr>
          </w:p>
        </w:tc>
        <w:tc>
          <w:tcPr>
            <w:tcW w:w="2425" w:type="dxa"/>
            <w:vAlign w:val="center"/>
          </w:tcPr>
          <w:p>
            <w:pPr>
              <w:widowControl/>
              <w:ind w:left="122" w:leftChars="58" w:right="160" w:rightChars="76"/>
              <w:textAlignment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数据中心总算力</w:t>
            </w:r>
          </w:p>
        </w:tc>
        <w:tc>
          <w:tcPr>
            <w:tcW w:w="835" w:type="dxa"/>
            <w:vAlign w:val="center"/>
          </w:tcPr>
          <w:p>
            <w:pPr>
              <w:widowControl/>
              <w:jc w:val="center"/>
              <w:textAlignment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EFLOPS</w:t>
            </w:r>
          </w:p>
        </w:tc>
        <w:tc>
          <w:tcPr>
            <w:tcW w:w="992" w:type="dxa"/>
            <w:vAlign w:val="center"/>
          </w:tcPr>
          <w:p>
            <w:pPr>
              <w:widowControl/>
              <w:jc w:val="center"/>
              <w:textAlignment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0.47</w:t>
            </w:r>
          </w:p>
        </w:tc>
        <w:tc>
          <w:tcPr>
            <w:tcW w:w="993" w:type="dxa"/>
            <w:vAlign w:val="center"/>
          </w:tcPr>
          <w:p>
            <w:pPr>
              <w:widowControl/>
              <w:jc w:val="center"/>
              <w:textAlignment w:val="center"/>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1.8</w:t>
            </w:r>
          </w:p>
        </w:tc>
        <w:tc>
          <w:tcPr>
            <w:tcW w:w="2114" w:type="dxa"/>
            <w:vAlign w:val="center"/>
          </w:tcPr>
          <w:p>
            <w:pPr>
              <w:widowControl/>
              <w:jc w:val="left"/>
              <w:rPr>
                <w:rFonts w:ascii="Times New Roman" w:hAnsi="Times New Roman" w:eastAsia="仿宋_GB2312" w:cs="Times New Roman"/>
                <w:color w:val="000000"/>
                <w:kern w:val="0"/>
                <w:sz w:val="28"/>
                <w:szCs w:val="28"/>
              </w:rPr>
            </w:pPr>
            <w:r>
              <w:rPr>
                <w:rFonts w:ascii="Times New Roman" w:hAnsi="Times New Roman" w:eastAsia="仿宋_GB2312" w:cs="Times New Roman"/>
                <w:color w:val="000000"/>
                <w:kern w:val="0"/>
                <w:sz w:val="28"/>
                <w:szCs w:val="28"/>
              </w:rPr>
              <w:t>年均增长30.5%以上</w:t>
            </w:r>
          </w:p>
        </w:tc>
      </w:tr>
    </w:tbl>
    <w:p>
      <w:pPr>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注：EFLOPS指“百亿亿次级计算”</w:t>
      </w:r>
    </w:p>
    <w:p>
      <w:pPr>
        <w:spacing w:line="360" w:lineRule="auto"/>
        <w:rPr>
          <w:rFonts w:ascii="Times New Roman" w:hAnsi="Times New Roman" w:eastAsia="仿宋_GB2312" w:cs="Times New Roman"/>
          <w:color w:val="000000"/>
          <w:sz w:val="28"/>
          <w:szCs w:val="28"/>
        </w:rPr>
        <w:sectPr>
          <w:footerReference r:id="rId10" w:type="default"/>
          <w:pgSz w:w="11906" w:h="16838"/>
          <w:pgMar w:top="1418" w:right="1474" w:bottom="1418" w:left="1588" w:header="851" w:footer="992" w:gutter="0"/>
          <w:cols w:space="720" w:num="1"/>
          <w:docGrid w:type="lines" w:linePitch="312" w:charSpace="0"/>
        </w:sectPr>
      </w:pPr>
    </w:p>
    <w:p>
      <w:pPr>
        <w:keepNext/>
        <w:keepLines/>
        <w:spacing w:before="340" w:after="240" w:line="596" w:lineRule="exact"/>
        <w:jc w:val="center"/>
        <w:outlineLvl w:val="0"/>
        <w:rPr>
          <w:rFonts w:ascii="Times New Roman" w:hAnsi="Times New Roman" w:eastAsia="方正小标宋简体" w:cs="Times New Roman"/>
          <w:color w:val="000000"/>
          <w:kern w:val="44"/>
          <w:sz w:val="36"/>
          <w:szCs w:val="36"/>
        </w:rPr>
      </w:pPr>
      <w:bookmarkStart w:id="32" w:name="_Toc84782340"/>
      <w:bookmarkStart w:id="33" w:name="_Toc84783857"/>
      <w:bookmarkStart w:id="34" w:name="_Toc87894492"/>
      <w:bookmarkStart w:id="35" w:name="_Toc94308407"/>
      <w:bookmarkStart w:id="36" w:name="_Toc31650"/>
      <w:r>
        <w:rPr>
          <w:rFonts w:ascii="Times New Roman" w:hAnsi="Times New Roman" w:eastAsia="方正小标宋简体" w:cs="Times New Roman"/>
          <w:color w:val="000000"/>
          <w:kern w:val="44"/>
          <w:sz w:val="36"/>
          <w:szCs w:val="36"/>
        </w:rPr>
        <w:t xml:space="preserve">第三章 </w:t>
      </w:r>
      <w:bookmarkEnd w:id="32"/>
      <w:bookmarkEnd w:id="33"/>
      <w:bookmarkEnd w:id="34"/>
      <w:r>
        <w:rPr>
          <w:rFonts w:ascii="Times New Roman" w:hAnsi="Times New Roman" w:eastAsia="方正小标宋简体" w:cs="Times New Roman"/>
          <w:color w:val="000000"/>
          <w:kern w:val="44"/>
          <w:sz w:val="36"/>
          <w:szCs w:val="36"/>
        </w:rPr>
        <w:t>提升数字化治理能力，构建数字政府新模式</w:t>
      </w:r>
      <w:bookmarkEnd w:id="35"/>
    </w:p>
    <w:p>
      <w:pPr>
        <w:spacing w:line="580" w:lineRule="exact"/>
        <w:ind w:firstLine="640" w:firstLineChars="200"/>
        <w:rPr>
          <w:rFonts w:ascii="Times New Roman" w:hAnsi="Times New Roman" w:eastAsia="仿宋_GB2312" w:cs="Times New Roman"/>
          <w:color w:val="000000"/>
          <w:sz w:val="32"/>
          <w:szCs w:val="28"/>
        </w:rPr>
      </w:pPr>
      <w:r>
        <w:rPr>
          <w:rFonts w:ascii="Times New Roman" w:hAnsi="Times New Roman" w:eastAsia="仿宋_GB2312" w:cs="Times New Roman"/>
          <w:color w:val="000000"/>
          <w:sz w:val="32"/>
          <w:szCs w:val="28"/>
        </w:rPr>
        <w:t>加快推进数字政府建设，全面提升政府治理的数字化、网络化、智能化水平，推动政府治理流程再造和模式优化，加强资源集约统筹利用，实现政务信息化建设由投资驱动向效能驱动转变，迈入以数据赋能、协同治理、智慧决策、优质服务为主要特征的融慧治理新阶段。</w:t>
      </w:r>
    </w:p>
    <w:p>
      <w:pPr>
        <w:keepNext/>
        <w:keepLines/>
        <w:spacing w:before="260" w:after="260" w:line="596" w:lineRule="exact"/>
        <w:jc w:val="center"/>
        <w:outlineLvl w:val="1"/>
        <w:rPr>
          <w:rFonts w:ascii="Times New Roman" w:hAnsi="Times New Roman" w:eastAsia="方正黑体简体" w:cs="Times New Roman"/>
          <w:bCs/>
          <w:color w:val="000000"/>
          <w:sz w:val="32"/>
          <w:szCs w:val="32"/>
        </w:rPr>
      </w:pPr>
      <w:bookmarkStart w:id="37" w:name="_Toc84783858"/>
      <w:bookmarkStart w:id="38" w:name="_Toc84782341"/>
      <w:bookmarkStart w:id="39" w:name="_Toc87894493"/>
      <w:bookmarkStart w:id="40" w:name="_Toc94308408"/>
      <w:bookmarkStart w:id="41" w:name="_Toc73545482"/>
      <w:bookmarkStart w:id="42" w:name="_Toc16197"/>
      <w:r>
        <w:rPr>
          <w:rFonts w:ascii="Times New Roman" w:hAnsi="Times New Roman" w:eastAsia="方正黑体简体" w:cs="Times New Roman"/>
          <w:bCs/>
          <w:color w:val="000000"/>
          <w:sz w:val="32"/>
          <w:szCs w:val="32"/>
        </w:rPr>
        <w:t xml:space="preserve">第一节 </w:t>
      </w:r>
      <w:bookmarkEnd w:id="37"/>
      <w:bookmarkEnd w:id="38"/>
      <w:bookmarkEnd w:id="39"/>
      <w:r>
        <w:rPr>
          <w:rFonts w:ascii="Times New Roman" w:hAnsi="Times New Roman" w:eastAsia="方正黑体简体" w:cs="Times New Roman"/>
          <w:bCs/>
          <w:color w:val="000000"/>
          <w:sz w:val="32"/>
          <w:szCs w:val="32"/>
        </w:rPr>
        <w:t>夯实数字政府基础支撑能力</w:t>
      </w:r>
      <w:bookmarkEnd w:id="40"/>
    </w:p>
    <w:p>
      <w:pPr>
        <w:spacing w:line="580" w:lineRule="exact"/>
        <w:ind w:firstLine="640" w:firstLineChars="200"/>
        <w:rPr>
          <w:rFonts w:ascii="Times New Roman" w:hAnsi="Times New Roman" w:eastAsia="仿宋_GB2312" w:cs="Times New Roman"/>
          <w:color w:val="000000"/>
          <w:sz w:val="32"/>
          <w:szCs w:val="28"/>
        </w:rPr>
      </w:pPr>
      <w:r>
        <w:rPr>
          <w:rFonts w:ascii="Times New Roman" w:hAnsi="Times New Roman" w:eastAsia="仿宋_GB2312" w:cs="Times New Roman"/>
          <w:color w:val="000000"/>
          <w:sz w:val="32"/>
          <w:szCs w:val="28"/>
        </w:rPr>
        <w:t>构建市级一体化办公平台及“互联网+政务服务”一体化平台，夯实数字政府基础支撑能力。推进政务信息系统云迁移，实现政务网与政务云</w:t>
      </w:r>
      <w:r>
        <w:rPr>
          <w:rFonts w:ascii="Times New Roman" w:hAnsi="Times New Roman" w:eastAsia="仿宋_GB2312" w:cs="Times New Roman"/>
          <w:bCs/>
          <w:color w:val="000000"/>
          <w:sz w:val="32"/>
          <w:szCs w:val="28"/>
        </w:rPr>
        <w:t>“云网融合”</w:t>
      </w:r>
      <w:r>
        <w:rPr>
          <w:rFonts w:ascii="Times New Roman" w:hAnsi="Times New Roman" w:eastAsia="仿宋_GB2312" w:cs="Times New Roman"/>
          <w:color w:val="000000"/>
          <w:sz w:val="32"/>
          <w:szCs w:val="28"/>
        </w:rPr>
        <w:t>，网站群、OA、审批三大协同，增强政务信息系统快速部署能力和弹性扩展能力。</w:t>
      </w:r>
    </w:p>
    <w:p>
      <w:pPr>
        <w:spacing w:line="580" w:lineRule="exact"/>
        <w:ind w:firstLine="640" w:firstLineChars="200"/>
        <w:rPr>
          <w:rFonts w:ascii="Times New Roman" w:hAnsi="Times New Roman" w:eastAsia="黑体" w:cs="Times New Roman"/>
          <w:color w:val="000000"/>
          <w:kern w:val="0"/>
          <w:sz w:val="32"/>
          <w:szCs w:val="30"/>
          <w:lang w:val="zh-CN"/>
        </w:rPr>
      </w:pPr>
      <w:r>
        <w:rPr>
          <w:rFonts w:ascii="Times New Roman" w:hAnsi="Times New Roman" w:eastAsia="黑体" w:cs="Times New Roman"/>
          <w:color w:val="000000"/>
          <w:kern w:val="0"/>
          <w:sz w:val="32"/>
          <w:szCs w:val="30"/>
          <w:lang w:val="zh-CN"/>
        </w:rPr>
        <w:t>一、推进政务网络整合与优化</w:t>
      </w:r>
    </w:p>
    <w:p>
      <w:pPr>
        <w:spacing w:line="580" w:lineRule="exact"/>
        <w:ind w:firstLine="640" w:firstLineChars="200"/>
        <w:rPr>
          <w:rFonts w:ascii="Times New Roman" w:hAnsi="Times New Roman" w:eastAsia="仿宋_GB2312" w:cs="Times New Roman"/>
          <w:color w:val="000000"/>
          <w:sz w:val="32"/>
          <w:szCs w:val="28"/>
        </w:rPr>
      </w:pPr>
      <w:r>
        <w:rPr>
          <w:rFonts w:ascii="Times New Roman" w:hAnsi="Times New Roman" w:eastAsia="仿宋_GB2312" w:cs="Times New Roman"/>
          <w:color w:val="000000"/>
          <w:sz w:val="32"/>
          <w:szCs w:val="28"/>
        </w:rPr>
        <w:t>在全省电子政务网络体系下，推进我市政务信息网、政务外网、无线政务专网、政务内网向统一的电子政务网络整合优化，建成横向到边、纵向到底的政务外网和政务内网“两张网”，构建统一的电子政务网络体系。拓宽电子政务外网服务范围，按照应接尽接的原则，加快推进电子政务外网覆盖和带宽。推进全市电子政务外网IPv6改造，推进骨干网和城域网IPv6互联互通，完善电子政务外网IPv6应用支撑能力。遵循省统一规范要求，将全市各类分散隔离的非涉密业务专网，通过业务系统迁移、网络割接、线路合并等方式整合到统一的政务外网，提升政务网络安全与支撑服务能力。</w:t>
      </w:r>
    </w:p>
    <w:p>
      <w:pPr>
        <w:spacing w:line="580" w:lineRule="exact"/>
        <w:ind w:firstLine="640" w:firstLineChars="200"/>
        <w:rPr>
          <w:rFonts w:ascii="Times New Roman" w:hAnsi="Times New Roman" w:eastAsia="黑体" w:cs="Times New Roman"/>
          <w:color w:val="000000"/>
          <w:kern w:val="0"/>
          <w:sz w:val="32"/>
          <w:szCs w:val="30"/>
          <w:lang w:val="zh-CN"/>
        </w:rPr>
      </w:pPr>
      <w:r>
        <w:rPr>
          <w:rFonts w:ascii="Times New Roman" w:hAnsi="Times New Roman" w:eastAsia="黑体" w:cs="Times New Roman"/>
          <w:color w:val="000000"/>
          <w:kern w:val="0"/>
          <w:sz w:val="32"/>
          <w:szCs w:val="30"/>
          <w:lang w:val="zh-CN"/>
        </w:rPr>
        <w:t>二、提升政务云服务支撑能力</w:t>
      </w:r>
    </w:p>
    <w:p>
      <w:pPr>
        <w:spacing w:line="580" w:lineRule="exact"/>
        <w:ind w:firstLine="640" w:firstLineChars="200"/>
        <w:rPr>
          <w:rFonts w:ascii="Times New Roman" w:hAnsi="Times New Roman" w:eastAsia="仿宋_GB2312" w:cs="Times New Roman"/>
          <w:color w:val="000000"/>
          <w:sz w:val="32"/>
          <w:szCs w:val="28"/>
        </w:rPr>
      </w:pPr>
      <w:r>
        <w:rPr>
          <w:rFonts w:ascii="Times New Roman" w:hAnsi="Times New Roman" w:eastAsia="仿宋_GB2312" w:cs="Times New Roman"/>
          <w:color w:val="000000"/>
          <w:sz w:val="32"/>
          <w:szCs w:val="28"/>
        </w:rPr>
        <w:t>推进计算、存储等资源扩容，加强政务云PaaS服务能力，提供“按需分配，弹性伸缩”的基础软硬件云服务，推动全市政务云资源统一管理、灵活管控，进一步提高资源利用率。遵循省“数字政府”政务云平台总体框架和建设要求，依据国家安全、可靠应用标准对现有政务云平台进行整合优化，构建自主创新、高可靠国产政务云服务环境，为全市提供可信国产政务云服务，满足不同系统多元化需求。强化网络安全保障，严格落实分等级保护制度，增强政务信息化基础设施和系统、数据安全保障能力。</w:t>
      </w:r>
    </w:p>
    <w:p>
      <w:pPr>
        <w:spacing w:line="580" w:lineRule="exact"/>
        <w:ind w:firstLine="640" w:firstLineChars="200"/>
        <w:rPr>
          <w:rFonts w:ascii="Times New Roman" w:hAnsi="Times New Roman" w:eastAsia="黑体" w:cs="Times New Roman"/>
          <w:color w:val="000000"/>
          <w:kern w:val="0"/>
          <w:sz w:val="32"/>
          <w:szCs w:val="30"/>
          <w:lang w:val="zh-CN"/>
        </w:rPr>
      </w:pPr>
      <w:r>
        <w:rPr>
          <w:rFonts w:ascii="Times New Roman" w:hAnsi="Times New Roman" w:eastAsia="黑体" w:cs="Times New Roman"/>
          <w:color w:val="000000"/>
          <w:kern w:val="0"/>
          <w:sz w:val="32"/>
          <w:szCs w:val="30"/>
          <w:lang w:val="zh-CN"/>
        </w:rPr>
        <w:t>三、提升政务应用通用服务支撑能力</w:t>
      </w:r>
    </w:p>
    <w:p>
      <w:pPr>
        <w:spacing w:line="580" w:lineRule="exact"/>
        <w:ind w:firstLine="640" w:firstLineChars="200"/>
        <w:rPr>
          <w:rFonts w:ascii="Times New Roman" w:hAnsi="Times New Roman" w:eastAsia="仿宋_GB2312" w:cs="Times New Roman"/>
          <w:color w:val="000000"/>
          <w:sz w:val="32"/>
          <w:szCs w:val="28"/>
        </w:rPr>
      </w:pPr>
      <w:r>
        <w:rPr>
          <w:rFonts w:ascii="Times New Roman" w:hAnsi="Times New Roman" w:eastAsia="仿宋_GB2312" w:cs="Times New Roman"/>
          <w:color w:val="000000"/>
          <w:sz w:val="32"/>
          <w:szCs w:val="28"/>
        </w:rPr>
        <w:t>按照公共平台集约化建设原则，推广“数字福建”公共平台应用，建设一批公共应用平台，提升全市统一的政务应用支撑能力，为政务应用提供通用支撑服务。</w:t>
      </w:r>
    </w:p>
    <w:p>
      <w:pPr>
        <w:spacing w:line="580" w:lineRule="exact"/>
        <w:ind w:firstLine="643" w:firstLineChars="200"/>
        <w:rPr>
          <w:rFonts w:ascii="Times New Roman" w:hAnsi="Times New Roman" w:eastAsia="仿宋_GB2312" w:cs="Times New Roman"/>
          <w:color w:val="000000"/>
          <w:sz w:val="32"/>
          <w:szCs w:val="28"/>
        </w:rPr>
      </w:pPr>
      <w:r>
        <w:rPr>
          <w:rFonts w:ascii="Times New Roman" w:hAnsi="Times New Roman" w:eastAsia="仿宋_GB2312" w:cs="Times New Roman"/>
          <w:b/>
          <w:color w:val="000000"/>
          <w:sz w:val="32"/>
          <w:szCs w:val="28"/>
        </w:rPr>
        <w:t>数据汇聚共享支撑能力</w:t>
      </w:r>
      <w:r>
        <w:rPr>
          <w:rFonts w:ascii="Times New Roman" w:hAnsi="Times New Roman" w:eastAsia="仿宋_GB2312" w:cs="Times New Roman"/>
          <w:color w:val="000000"/>
          <w:sz w:val="32"/>
          <w:szCs w:val="28"/>
        </w:rPr>
        <w:t>。持续优化升级市级政务数据汇聚共享平台，完善人口、</w:t>
      </w:r>
      <w:r>
        <w:rPr>
          <w:rFonts w:ascii="Times New Roman" w:hAnsi="Times New Roman" w:eastAsia="仿宋_GB2312" w:cs="Times New Roman"/>
          <w:bCs/>
          <w:color w:val="000000"/>
          <w:sz w:val="32"/>
          <w:szCs w:val="28"/>
        </w:rPr>
        <w:t>法人</w:t>
      </w:r>
      <w:r>
        <w:rPr>
          <w:rFonts w:ascii="Times New Roman" w:hAnsi="Times New Roman" w:eastAsia="仿宋_GB2312" w:cs="Times New Roman"/>
          <w:color w:val="000000"/>
          <w:sz w:val="32"/>
          <w:szCs w:val="28"/>
        </w:rPr>
        <w:t>、自然资源、经济数据等基础数据库，构建专业主题数据库，推广“政务服务总线”应用，推进跨层级、跨系统的信息共享。</w:t>
      </w:r>
    </w:p>
    <w:p>
      <w:pPr>
        <w:spacing w:line="580" w:lineRule="exact"/>
        <w:ind w:firstLine="643" w:firstLineChars="200"/>
        <w:rPr>
          <w:rFonts w:ascii="Times New Roman" w:hAnsi="Times New Roman" w:eastAsia="仿宋_GB2312" w:cs="Times New Roman"/>
          <w:color w:val="000000"/>
          <w:sz w:val="32"/>
          <w:szCs w:val="28"/>
        </w:rPr>
      </w:pPr>
      <w:r>
        <w:rPr>
          <w:rFonts w:ascii="Times New Roman" w:hAnsi="Times New Roman" w:eastAsia="仿宋_GB2312" w:cs="Times New Roman"/>
          <w:b/>
          <w:color w:val="000000"/>
          <w:sz w:val="32"/>
          <w:szCs w:val="28"/>
        </w:rPr>
        <w:t>公共视频服务支撑能力</w:t>
      </w:r>
      <w:r>
        <w:rPr>
          <w:rFonts w:ascii="Times New Roman" w:hAnsi="Times New Roman" w:eastAsia="仿宋_GB2312" w:cs="Times New Roman"/>
          <w:color w:val="000000"/>
          <w:sz w:val="32"/>
          <w:szCs w:val="28"/>
        </w:rPr>
        <w:t>。构建统一的城市视频融合赋能平台，形成统一的视频数据资源池，实现“全域覆盖、全网共享、全时可用、全程可控”的公共视频服务支撑能力。</w:t>
      </w:r>
    </w:p>
    <w:p>
      <w:pPr>
        <w:spacing w:line="580" w:lineRule="exact"/>
        <w:ind w:firstLine="643" w:firstLineChars="200"/>
        <w:rPr>
          <w:rFonts w:ascii="Times New Roman" w:hAnsi="Times New Roman" w:eastAsia="仿宋_GB2312" w:cs="Times New Roman"/>
          <w:color w:val="000000"/>
          <w:sz w:val="32"/>
          <w:szCs w:val="28"/>
        </w:rPr>
      </w:pPr>
      <w:r>
        <w:rPr>
          <w:rFonts w:ascii="Times New Roman" w:hAnsi="Times New Roman" w:eastAsia="仿宋_GB2312" w:cs="Times New Roman"/>
          <w:b/>
          <w:color w:val="000000"/>
          <w:sz w:val="32"/>
          <w:szCs w:val="28"/>
        </w:rPr>
        <w:t>地理信息公共服务支撑能力</w:t>
      </w:r>
      <w:r>
        <w:rPr>
          <w:rFonts w:ascii="Times New Roman" w:hAnsi="Times New Roman" w:eastAsia="仿宋_GB2312" w:cs="Times New Roman"/>
          <w:color w:val="000000"/>
          <w:sz w:val="32"/>
          <w:szCs w:val="28"/>
        </w:rPr>
        <w:t>。加强泉州市地理信息公共服务平台建设和应用，形成“标准统一、基准一致、内容全面、覆盖全市、实时更新”的地理信息公共服务支撑体系。推进建设泉州市资源规划综合信息平台建设。</w:t>
      </w:r>
    </w:p>
    <w:p>
      <w:pPr>
        <w:spacing w:line="580" w:lineRule="exact"/>
        <w:ind w:firstLine="643" w:firstLineChars="200"/>
        <w:rPr>
          <w:rFonts w:ascii="Times New Roman" w:hAnsi="Times New Roman" w:eastAsia="仿宋_GB2312" w:cs="Times New Roman"/>
          <w:color w:val="000000"/>
          <w:sz w:val="32"/>
          <w:szCs w:val="28"/>
        </w:rPr>
      </w:pPr>
      <w:r>
        <w:rPr>
          <w:rFonts w:ascii="Times New Roman" w:hAnsi="Times New Roman" w:eastAsia="仿宋_GB2312" w:cs="Times New Roman"/>
          <w:b/>
          <w:color w:val="000000"/>
          <w:sz w:val="32"/>
          <w:szCs w:val="28"/>
        </w:rPr>
        <w:t>公共网格化服务支撑能力</w:t>
      </w:r>
      <w:r>
        <w:rPr>
          <w:rFonts w:ascii="Times New Roman" w:hAnsi="Times New Roman" w:eastAsia="仿宋_GB2312" w:cs="Times New Roman"/>
          <w:color w:val="000000"/>
          <w:sz w:val="32"/>
          <w:szCs w:val="28"/>
        </w:rPr>
        <w:t>。推进网格化平台升级改造，推行“网格化+职能应用”服务管理模式，提供市、县、乡、村、单元网格五级运行网络服务能力。</w:t>
      </w:r>
    </w:p>
    <w:p>
      <w:pPr>
        <w:spacing w:line="580" w:lineRule="exact"/>
        <w:ind w:firstLine="640" w:firstLineChars="200"/>
        <w:rPr>
          <w:rFonts w:ascii="Times New Roman" w:hAnsi="Times New Roman" w:eastAsia="黑体" w:cs="Times New Roman"/>
          <w:color w:val="000000"/>
          <w:kern w:val="0"/>
          <w:sz w:val="32"/>
          <w:szCs w:val="30"/>
          <w:lang w:val="zh-CN"/>
        </w:rPr>
      </w:pPr>
      <w:r>
        <w:rPr>
          <w:rFonts w:ascii="Times New Roman" w:hAnsi="Times New Roman" w:eastAsia="黑体" w:cs="Times New Roman"/>
          <w:color w:val="000000"/>
          <w:kern w:val="0"/>
          <w:sz w:val="32"/>
          <w:szCs w:val="30"/>
          <w:lang w:val="zh-CN"/>
        </w:rPr>
        <w:t>四、建设一批政务协同应用平台</w:t>
      </w:r>
    </w:p>
    <w:p>
      <w:pPr>
        <w:spacing w:line="580" w:lineRule="exact"/>
        <w:ind w:firstLine="640" w:firstLineChars="200"/>
        <w:rPr>
          <w:rFonts w:ascii="Times New Roman" w:hAnsi="Times New Roman" w:eastAsia="仿宋_GB2312" w:cs="Times New Roman"/>
          <w:color w:val="000000"/>
          <w:sz w:val="32"/>
          <w:szCs w:val="28"/>
        </w:rPr>
      </w:pPr>
      <w:r>
        <w:rPr>
          <w:rFonts w:ascii="Times New Roman" w:hAnsi="Times New Roman" w:eastAsia="仿宋_GB2312" w:cs="Times New Roman"/>
          <w:color w:val="000000"/>
          <w:sz w:val="32"/>
          <w:szCs w:val="28"/>
        </w:rPr>
        <w:t>合理规划、整合、建设全市政务应用平台，实现跨层级、跨地域、跨系统、跨部门、跨业务的</w:t>
      </w:r>
      <w:r>
        <w:rPr>
          <w:rFonts w:ascii="Times New Roman" w:hAnsi="Times New Roman" w:eastAsia="仿宋_GB2312" w:cs="Times New Roman"/>
          <w:bCs/>
          <w:color w:val="000000"/>
          <w:sz w:val="32"/>
          <w:szCs w:val="28"/>
        </w:rPr>
        <w:t>协同</w:t>
      </w:r>
      <w:r>
        <w:rPr>
          <w:rFonts w:ascii="Times New Roman" w:hAnsi="Times New Roman" w:eastAsia="仿宋_GB2312" w:cs="Times New Roman"/>
          <w:color w:val="000000"/>
          <w:sz w:val="32"/>
          <w:szCs w:val="28"/>
        </w:rPr>
        <w:t>管理和服务。</w:t>
      </w:r>
    </w:p>
    <w:p>
      <w:pPr>
        <w:spacing w:line="580" w:lineRule="exact"/>
        <w:ind w:firstLine="643" w:firstLineChars="200"/>
        <w:rPr>
          <w:rFonts w:ascii="Times New Roman" w:hAnsi="Times New Roman" w:eastAsia="仿宋_GB2312" w:cs="Times New Roman"/>
          <w:color w:val="000000"/>
          <w:sz w:val="32"/>
          <w:szCs w:val="28"/>
        </w:rPr>
      </w:pPr>
      <w:r>
        <w:rPr>
          <w:rFonts w:ascii="Times New Roman" w:hAnsi="Times New Roman" w:eastAsia="仿宋_GB2312" w:cs="Times New Roman"/>
          <w:b/>
          <w:color w:val="000000"/>
          <w:sz w:val="32"/>
          <w:szCs w:val="28"/>
        </w:rPr>
        <w:t>整合优化政府网站体系</w:t>
      </w:r>
      <w:r>
        <w:rPr>
          <w:rFonts w:ascii="Times New Roman" w:hAnsi="Times New Roman" w:eastAsia="仿宋_GB2312" w:cs="Times New Roman"/>
          <w:color w:val="000000"/>
          <w:sz w:val="32"/>
          <w:szCs w:val="28"/>
        </w:rPr>
        <w:t>。通过集约化网站建设，提高网站在信息公开、网上办事、公众参与等方面的水平，实现政府网站一站式窗口，统一门户服务社会公众。</w:t>
      </w:r>
    </w:p>
    <w:p>
      <w:pPr>
        <w:spacing w:line="580" w:lineRule="exact"/>
        <w:ind w:firstLine="643" w:firstLineChars="200"/>
        <w:rPr>
          <w:rFonts w:ascii="Times New Roman" w:hAnsi="Times New Roman" w:eastAsia="仿宋_GB2312" w:cs="Times New Roman"/>
          <w:color w:val="000000"/>
          <w:sz w:val="32"/>
          <w:szCs w:val="28"/>
        </w:rPr>
      </w:pPr>
      <w:r>
        <w:rPr>
          <w:rFonts w:ascii="Times New Roman" w:hAnsi="Times New Roman" w:eastAsia="仿宋_GB2312" w:cs="Times New Roman"/>
          <w:b/>
          <w:color w:val="000000"/>
          <w:sz w:val="32"/>
          <w:szCs w:val="28"/>
        </w:rPr>
        <w:t>建设市级“互联网+政务服务”一体化平台</w:t>
      </w:r>
      <w:r>
        <w:rPr>
          <w:rFonts w:ascii="Times New Roman" w:hAnsi="Times New Roman" w:eastAsia="仿宋_GB2312" w:cs="Times New Roman"/>
          <w:color w:val="000000"/>
          <w:sz w:val="32"/>
          <w:szCs w:val="28"/>
        </w:rPr>
        <w:t>。构建市、县、乡、村四级联动的“</w:t>
      </w:r>
      <w:r>
        <w:rPr>
          <w:rFonts w:ascii="Times New Roman" w:hAnsi="Times New Roman" w:eastAsia="仿宋_GB2312" w:cs="Times New Roman"/>
          <w:bCs/>
          <w:color w:val="000000"/>
          <w:sz w:val="32"/>
          <w:szCs w:val="28"/>
        </w:rPr>
        <w:t>互联网</w:t>
      </w:r>
      <w:r>
        <w:rPr>
          <w:rFonts w:ascii="Times New Roman" w:hAnsi="Times New Roman" w:eastAsia="仿宋_GB2312" w:cs="Times New Roman"/>
          <w:color w:val="000000"/>
          <w:sz w:val="32"/>
          <w:szCs w:val="28"/>
        </w:rPr>
        <w:t>+政务服务”一体化行政服务平台，实现“一号一窗一网”。</w:t>
      </w:r>
    </w:p>
    <w:p>
      <w:pPr>
        <w:spacing w:line="580" w:lineRule="exact"/>
        <w:ind w:firstLine="643" w:firstLineChars="200"/>
        <w:rPr>
          <w:rFonts w:ascii="Times New Roman" w:hAnsi="Times New Roman" w:eastAsia="仿宋_GB2312" w:cs="Times New Roman"/>
          <w:color w:val="000000"/>
          <w:sz w:val="32"/>
          <w:szCs w:val="28"/>
        </w:rPr>
      </w:pPr>
      <w:r>
        <w:rPr>
          <w:rFonts w:ascii="Times New Roman" w:hAnsi="Times New Roman" w:eastAsia="仿宋_GB2312" w:cs="Times New Roman"/>
          <w:b/>
          <w:color w:val="000000"/>
          <w:sz w:val="32"/>
          <w:szCs w:val="28"/>
        </w:rPr>
        <w:t>建设市级协同办公一体化平台</w:t>
      </w:r>
      <w:r>
        <w:rPr>
          <w:rFonts w:ascii="Times New Roman" w:hAnsi="Times New Roman" w:eastAsia="仿宋_GB2312" w:cs="Times New Roman"/>
          <w:color w:val="000000"/>
          <w:sz w:val="32"/>
          <w:szCs w:val="28"/>
        </w:rPr>
        <w:t>。建设市、县两级政府部门统一的办公应用平台，实现跨层级、跨部门的公文办理和业务协同，实现政务人员</w:t>
      </w:r>
      <w:r>
        <w:rPr>
          <w:rFonts w:ascii="Times New Roman" w:hAnsi="Times New Roman" w:eastAsia="仿宋_GB2312" w:cs="Times New Roman"/>
          <w:bCs/>
          <w:color w:val="000000"/>
          <w:sz w:val="32"/>
          <w:szCs w:val="28"/>
        </w:rPr>
        <w:t>办公</w:t>
      </w:r>
      <w:r>
        <w:rPr>
          <w:rFonts w:ascii="Times New Roman" w:hAnsi="Times New Roman" w:eastAsia="仿宋_GB2312" w:cs="Times New Roman"/>
          <w:color w:val="000000"/>
          <w:sz w:val="32"/>
          <w:szCs w:val="28"/>
        </w:rPr>
        <w:t>业务“掌上办”“政务办公一趟不用跑”。规范电子文档和电子档案管理，推动数字档案建设。</w:t>
      </w:r>
    </w:p>
    <w:bookmarkEnd w:id="41"/>
    <w:p>
      <w:pPr>
        <w:keepNext/>
        <w:keepLines/>
        <w:spacing w:before="260" w:after="260" w:line="596" w:lineRule="exact"/>
        <w:jc w:val="center"/>
        <w:outlineLvl w:val="1"/>
        <w:rPr>
          <w:rFonts w:ascii="Times New Roman" w:hAnsi="Times New Roman" w:eastAsia="方正黑体简体" w:cs="Times New Roman"/>
          <w:bCs/>
          <w:color w:val="000000"/>
          <w:sz w:val="32"/>
          <w:szCs w:val="32"/>
        </w:rPr>
      </w:pPr>
      <w:bookmarkStart w:id="43" w:name="_Toc87894494"/>
      <w:bookmarkStart w:id="44" w:name="_Toc84782342"/>
      <w:bookmarkStart w:id="45" w:name="_Toc84783859"/>
      <w:bookmarkStart w:id="46" w:name="_Toc94308409"/>
      <w:r>
        <w:rPr>
          <w:rFonts w:ascii="Times New Roman" w:hAnsi="Times New Roman" w:eastAsia="方正黑体简体" w:cs="Times New Roman"/>
          <w:bCs/>
          <w:color w:val="000000"/>
          <w:sz w:val="32"/>
          <w:szCs w:val="32"/>
        </w:rPr>
        <w:t xml:space="preserve">第二节 </w:t>
      </w:r>
      <w:bookmarkEnd w:id="43"/>
      <w:bookmarkEnd w:id="44"/>
      <w:bookmarkEnd w:id="45"/>
      <w:r>
        <w:rPr>
          <w:rFonts w:ascii="Times New Roman" w:hAnsi="Times New Roman" w:eastAsia="方正黑体简体" w:cs="Times New Roman"/>
          <w:bCs/>
          <w:color w:val="000000"/>
          <w:sz w:val="32"/>
          <w:szCs w:val="32"/>
        </w:rPr>
        <w:t>增强数字政府政务服务效能</w:t>
      </w:r>
      <w:bookmarkEnd w:id="46"/>
    </w:p>
    <w:p>
      <w:pPr>
        <w:spacing w:line="580" w:lineRule="exact"/>
        <w:ind w:firstLine="640" w:firstLineChars="200"/>
        <w:rPr>
          <w:rFonts w:ascii="Times New Roman" w:hAnsi="Times New Roman" w:eastAsia="仿宋_GB2312" w:cs="Times New Roman"/>
          <w:color w:val="000000"/>
          <w:sz w:val="32"/>
          <w:szCs w:val="28"/>
        </w:rPr>
      </w:pPr>
      <w:r>
        <w:rPr>
          <w:rFonts w:ascii="Times New Roman" w:hAnsi="Times New Roman" w:eastAsia="仿宋_GB2312" w:cs="Times New Roman"/>
          <w:color w:val="000000"/>
          <w:sz w:val="32"/>
          <w:szCs w:val="28"/>
        </w:rPr>
        <w:t>全面推进政府运行方式、业务流程和服务模式数字化智能化，提升掌上便民“泉服务”应用，加快实现“一网好办”。加快数字政府升级，强化电子证照应用，全面提升“互联网+政务服务”，营造良好数字营商环境。</w:t>
      </w:r>
    </w:p>
    <w:p>
      <w:pPr>
        <w:spacing w:line="580" w:lineRule="exact"/>
        <w:ind w:firstLine="640" w:firstLineChars="200"/>
        <w:rPr>
          <w:rFonts w:ascii="Times New Roman" w:hAnsi="Times New Roman" w:eastAsia="黑体" w:cs="Times New Roman"/>
          <w:color w:val="000000"/>
          <w:kern w:val="0"/>
          <w:sz w:val="32"/>
          <w:szCs w:val="30"/>
          <w:lang w:val="zh-CN"/>
        </w:rPr>
      </w:pPr>
      <w:r>
        <w:rPr>
          <w:rFonts w:ascii="Times New Roman" w:hAnsi="Times New Roman" w:eastAsia="黑体" w:cs="Times New Roman"/>
          <w:color w:val="000000"/>
          <w:kern w:val="0"/>
          <w:sz w:val="32"/>
          <w:szCs w:val="30"/>
          <w:lang w:val="zh-CN"/>
        </w:rPr>
        <w:t>一、提升“互联网+政务服务”水平</w:t>
      </w:r>
    </w:p>
    <w:p>
      <w:pPr>
        <w:spacing w:line="580" w:lineRule="exact"/>
        <w:ind w:firstLine="643" w:firstLineChars="200"/>
        <w:rPr>
          <w:rFonts w:ascii="Times New Roman" w:hAnsi="Times New Roman" w:eastAsia="仿宋_GB2312" w:cs="Times New Roman"/>
          <w:color w:val="000000"/>
          <w:sz w:val="32"/>
          <w:szCs w:val="28"/>
        </w:rPr>
      </w:pPr>
      <w:r>
        <w:rPr>
          <w:rFonts w:ascii="Times New Roman" w:hAnsi="Times New Roman" w:eastAsia="仿宋_GB2312" w:cs="Times New Roman"/>
          <w:b/>
          <w:color w:val="000000"/>
          <w:sz w:val="32"/>
          <w:szCs w:val="28"/>
        </w:rPr>
        <w:t>推进政府服务模式数字化</w:t>
      </w:r>
      <w:r>
        <w:rPr>
          <w:rFonts w:ascii="Times New Roman" w:hAnsi="Times New Roman" w:eastAsia="仿宋_GB2312" w:cs="Times New Roman"/>
          <w:color w:val="000000"/>
          <w:sz w:val="32"/>
          <w:szCs w:val="28"/>
        </w:rPr>
        <w:t>。推进政府内部业务流程整合优化，打造7×24小时“随时办”服务的“不打烊”数字政府。依托“泉服务”平台等应用，进一步提升政务服务手机端“掌上办”、电脑端“网上办”、服务大厅“一窗办”、自助一体机“就近办”、政务事项“邮递办”水平，全方位推进“网上办、掌上办、一次办、自助办、就近办、跨域办”，并持续增加“秒批、秒办”申办事项数量。</w:t>
      </w:r>
    </w:p>
    <w:p>
      <w:pPr>
        <w:spacing w:line="580" w:lineRule="exact"/>
        <w:ind w:firstLine="643" w:firstLineChars="200"/>
        <w:rPr>
          <w:rFonts w:ascii="Times New Roman" w:hAnsi="Times New Roman" w:eastAsia="仿宋_GB2312" w:cs="Times New Roman"/>
          <w:color w:val="000000"/>
          <w:sz w:val="32"/>
          <w:szCs w:val="28"/>
        </w:rPr>
      </w:pPr>
      <w:r>
        <w:rPr>
          <w:rFonts w:ascii="Times New Roman" w:hAnsi="Times New Roman" w:eastAsia="仿宋_GB2312" w:cs="Times New Roman"/>
          <w:b/>
          <w:color w:val="000000"/>
          <w:sz w:val="32"/>
          <w:szCs w:val="28"/>
        </w:rPr>
        <w:t>创新政府服务模式智能化</w:t>
      </w:r>
      <w:r>
        <w:rPr>
          <w:rFonts w:ascii="Times New Roman" w:hAnsi="Times New Roman" w:eastAsia="仿宋_GB2312" w:cs="Times New Roman"/>
          <w:color w:val="000000"/>
          <w:sz w:val="32"/>
          <w:szCs w:val="28"/>
        </w:rPr>
        <w:t>。打造“开卷式审批”新模式，建立智能化申报材料自审系统，引导群众判断材料的完整性、准确性和有效性；预测与深入辨识用户个性化服务需求，自动提示、引导和评价，为公众提供定制化服务，实现“一事快办”迈向“一键智办”，并逐步实现由“一网通办”迈向“一网好办”。</w:t>
      </w:r>
    </w:p>
    <w:p>
      <w:pPr>
        <w:spacing w:line="580" w:lineRule="exact"/>
        <w:ind w:firstLine="643" w:firstLineChars="200"/>
        <w:rPr>
          <w:rFonts w:ascii="Times New Roman" w:hAnsi="Times New Roman" w:eastAsia="仿宋_GB2312" w:cs="Times New Roman"/>
          <w:color w:val="000000"/>
          <w:sz w:val="32"/>
          <w:szCs w:val="28"/>
        </w:rPr>
      </w:pPr>
      <w:r>
        <w:rPr>
          <w:rFonts w:ascii="Times New Roman" w:hAnsi="Times New Roman" w:eastAsia="仿宋_GB2312" w:cs="Times New Roman"/>
          <w:b/>
          <w:color w:val="000000"/>
          <w:sz w:val="32"/>
          <w:szCs w:val="28"/>
        </w:rPr>
        <w:t>提升政务服务模式标准化</w:t>
      </w:r>
      <w:r>
        <w:rPr>
          <w:rFonts w:ascii="Times New Roman" w:hAnsi="Times New Roman" w:eastAsia="仿宋_GB2312" w:cs="Times New Roman"/>
          <w:color w:val="000000"/>
          <w:sz w:val="32"/>
          <w:szCs w:val="28"/>
        </w:rPr>
        <w:t>。全面梳理政务服务事项，实施行政审批服务事项“五级十五同”目录清单管理，深化全市政务服务“好差评”系统应用，畅通政民互动信息通道，推动服务绩效由企业和群众来评判。推进线上服务适老化及无障碍改造，助力老年人等特殊群体办事无障碍方面的优秀创新做法。</w:t>
      </w:r>
    </w:p>
    <w:p>
      <w:pPr>
        <w:spacing w:line="580" w:lineRule="exact"/>
        <w:ind w:firstLine="640" w:firstLineChars="200"/>
        <w:rPr>
          <w:rFonts w:ascii="Times New Roman" w:hAnsi="Times New Roman" w:eastAsia="黑体" w:cs="Times New Roman"/>
          <w:color w:val="000000"/>
          <w:kern w:val="0"/>
          <w:sz w:val="32"/>
          <w:szCs w:val="30"/>
          <w:lang w:val="zh-CN"/>
        </w:rPr>
      </w:pPr>
      <w:r>
        <w:rPr>
          <w:rFonts w:ascii="Times New Roman" w:hAnsi="Times New Roman" w:eastAsia="黑体" w:cs="Times New Roman"/>
          <w:color w:val="000000"/>
          <w:kern w:val="0"/>
          <w:sz w:val="32"/>
          <w:szCs w:val="30"/>
          <w:lang w:val="zh-CN"/>
        </w:rPr>
        <w:t>二、加速数字化赋能营商环境</w:t>
      </w:r>
    </w:p>
    <w:p>
      <w:pPr>
        <w:spacing w:line="580" w:lineRule="exact"/>
        <w:ind w:firstLine="643" w:firstLineChars="200"/>
        <w:rPr>
          <w:rFonts w:ascii="Times New Roman" w:hAnsi="Times New Roman" w:eastAsia="仿宋_GB2312" w:cs="Times New Roman"/>
          <w:color w:val="000000"/>
          <w:sz w:val="32"/>
          <w:szCs w:val="28"/>
        </w:rPr>
      </w:pPr>
      <w:r>
        <w:rPr>
          <w:rFonts w:ascii="Times New Roman" w:hAnsi="Times New Roman" w:eastAsia="仿宋_GB2312" w:cs="Times New Roman"/>
          <w:b/>
          <w:color w:val="000000"/>
          <w:sz w:val="32"/>
          <w:szCs w:val="28"/>
        </w:rPr>
        <w:t>强化电子证照应用，促进营商环境优化</w:t>
      </w:r>
      <w:r>
        <w:rPr>
          <w:rFonts w:ascii="Times New Roman" w:hAnsi="Times New Roman" w:eastAsia="仿宋_GB2312" w:cs="Times New Roman"/>
          <w:color w:val="000000"/>
          <w:sz w:val="32"/>
          <w:szCs w:val="28"/>
        </w:rPr>
        <w:t>。推动电子证照在全市行政审批、公共服务等领域的便利化应用，逐步实现电子证照“网上查证、掌上亮证、自助打证”。推动行政服务中心转型升级，深化“证照分离”改革，推广“不见面审批”。加强营商法治保障，全市推行全流程电子化招投标，实现“不见面招投标”。</w:t>
      </w:r>
    </w:p>
    <w:p>
      <w:pPr>
        <w:spacing w:line="580" w:lineRule="exact"/>
        <w:ind w:firstLine="643" w:firstLineChars="200"/>
        <w:rPr>
          <w:rFonts w:ascii="Times New Roman" w:hAnsi="Times New Roman" w:eastAsia="仿宋_GB2312" w:cs="Times New Roman"/>
          <w:color w:val="000000"/>
          <w:sz w:val="32"/>
          <w:szCs w:val="28"/>
        </w:rPr>
      </w:pPr>
      <w:r>
        <w:rPr>
          <w:rFonts w:ascii="Times New Roman" w:hAnsi="Times New Roman" w:eastAsia="仿宋_GB2312" w:cs="Times New Roman"/>
          <w:b/>
          <w:color w:val="000000"/>
          <w:sz w:val="32"/>
          <w:szCs w:val="28"/>
        </w:rPr>
        <w:t>打造亲清政府，营造一流营商环境</w:t>
      </w:r>
      <w:r>
        <w:rPr>
          <w:rFonts w:ascii="Times New Roman" w:hAnsi="Times New Roman" w:eastAsia="仿宋_GB2312" w:cs="Times New Roman"/>
          <w:color w:val="000000"/>
          <w:sz w:val="32"/>
          <w:szCs w:val="28"/>
        </w:rPr>
        <w:t>。立足泉州民营经济特色，着重推进政府数字化转型，全力升级涉企服务，市、县联动、政银企协同，加快市、县涉企事项掌上办、掌上联办“一件事一次办”、惠企服务掌上办、对可实现“免申即享”事项及时办，支持泉州台商投资区试点推行“掌上不动产”服务模式，精准服务企业和项目，构建台胞台企登陆的第一家园服务体系。推广泉州台商投资区搭建“亲清家园”在线服务平台做法，构建亲清政商民关系，打造“亲而又清”营商环境。</w:t>
      </w:r>
    </w:p>
    <w:p>
      <w:pPr>
        <w:spacing w:line="580" w:lineRule="exact"/>
        <w:ind w:firstLine="643" w:firstLineChars="200"/>
        <w:rPr>
          <w:rFonts w:ascii="Times New Roman" w:hAnsi="Times New Roman" w:eastAsia="仿宋_GB2312" w:cs="Times New Roman"/>
          <w:color w:val="000000"/>
          <w:sz w:val="32"/>
          <w:szCs w:val="28"/>
        </w:rPr>
      </w:pPr>
      <w:r>
        <w:rPr>
          <w:rFonts w:ascii="Times New Roman" w:hAnsi="Times New Roman" w:eastAsia="仿宋_GB2312" w:cs="Times New Roman"/>
          <w:b/>
          <w:color w:val="000000"/>
          <w:sz w:val="32"/>
          <w:szCs w:val="28"/>
        </w:rPr>
        <w:t>全面提升营商指标信息化支撑</w:t>
      </w:r>
      <w:r>
        <w:rPr>
          <w:rFonts w:ascii="Times New Roman" w:hAnsi="Times New Roman" w:eastAsia="仿宋_GB2312" w:cs="Times New Roman"/>
          <w:color w:val="000000"/>
          <w:sz w:val="32"/>
          <w:szCs w:val="28"/>
        </w:rPr>
        <w:t>。加快政府数字化技术转型和数据保障，统筹政府事项对接、数据汇聚、平台应用，全力支撑“互联网+政府服务”进程。全面实施营商环境“1+17”指标领域优化提升行动，到2023年，进入全国营商环境标杆城市。</w:t>
      </w:r>
    </w:p>
    <w:tbl>
      <w:tblPr>
        <w:tblStyle w:val="24"/>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642" w:type="dxa"/>
          </w:tcPr>
          <w:p>
            <w:pPr>
              <w:widowControl/>
              <w:numPr>
                <w:ilvl w:val="0"/>
                <w:numId w:val="1"/>
              </w:numPr>
              <w:spacing w:line="600" w:lineRule="exact"/>
              <w:jc w:val="center"/>
              <w:rPr>
                <w:rFonts w:ascii="Times New Roman" w:hAnsi="Times New Roman" w:eastAsia="仿宋_GB2312" w:cs="Times New Roman"/>
                <w:color w:val="000000"/>
                <w:kern w:val="0"/>
                <w:sz w:val="30"/>
                <w:szCs w:val="30"/>
              </w:rPr>
            </w:pPr>
            <w:r>
              <w:rPr>
                <w:rFonts w:hint="eastAsia" w:ascii="Times New Roman" w:hAnsi="Times New Roman" w:eastAsia="楷体_GB2312" w:cs="Times New Roman"/>
                <w:b/>
                <w:color w:val="000000"/>
                <w:sz w:val="28"/>
                <w:szCs w:val="28"/>
              </w:rPr>
              <w:t>政府便民服务工程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2" w:type="dxa"/>
          </w:tcPr>
          <w:p>
            <w:pPr>
              <w:spacing w:line="600" w:lineRule="exact"/>
              <w:ind w:firstLine="562" w:firstLineChars="200"/>
              <w:contextualSpacing/>
              <w:rPr>
                <w:rFonts w:ascii="Times New Roman" w:hAnsi="Times New Roman" w:eastAsia="仿宋_GB2312" w:cs="Times New Roman"/>
                <w:color w:val="000000"/>
                <w:sz w:val="28"/>
                <w:szCs w:val="28"/>
              </w:rPr>
            </w:pPr>
            <w:r>
              <w:rPr>
                <w:rFonts w:ascii="Times New Roman" w:hAnsi="Times New Roman" w:eastAsia="仿宋_GB2312" w:cs="Times New Roman"/>
                <w:b/>
                <w:color w:val="000000"/>
                <w:sz w:val="28"/>
                <w:szCs w:val="28"/>
              </w:rPr>
              <w:t>掌上便民“泉服务”</w:t>
            </w:r>
            <w:r>
              <w:rPr>
                <w:rFonts w:ascii="Times New Roman" w:hAnsi="Times New Roman" w:eastAsia="仿宋_GB2312" w:cs="Times New Roman"/>
                <w:color w:val="000000"/>
                <w:sz w:val="28"/>
                <w:szCs w:val="28"/>
              </w:rPr>
              <w:t>。加快推进泉服务移动便民一体化平台建设。按照“一个门户、一个标准、一套制度”的新型模式，采用“统管分建”方式，开发“泉服务”APP，打造城市级统一掌上便民服务入口，实现政务服务一键办理，身份认证一号通认。在微信、支付宝等平台增加“泉服务”入口，梳理推动使用市级及以下自建系统的高频政务服务、便民惠企服务及公益类社会服务事项入驻“泉服务”，推动更多的窗口办、网上办事项，逐步迁移至手机端，实现掌上办。</w:t>
            </w:r>
          </w:p>
          <w:p>
            <w:pPr>
              <w:spacing w:line="600" w:lineRule="exact"/>
              <w:ind w:firstLine="562" w:firstLineChars="200"/>
              <w:contextualSpacing/>
              <w:rPr>
                <w:rFonts w:ascii="Times New Roman" w:hAnsi="Times New Roman" w:eastAsia="仿宋_GB2312" w:cs="Times New Roman"/>
                <w:color w:val="000000"/>
                <w:sz w:val="28"/>
                <w:szCs w:val="28"/>
              </w:rPr>
            </w:pPr>
            <w:r>
              <w:rPr>
                <w:rFonts w:ascii="Times New Roman" w:hAnsi="Times New Roman" w:eastAsia="仿宋_GB2312" w:cs="Times New Roman"/>
                <w:b/>
                <w:color w:val="000000"/>
                <w:sz w:val="28"/>
                <w:szCs w:val="28"/>
              </w:rPr>
              <w:t>电子证照促营商</w:t>
            </w:r>
            <w:r>
              <w:rPr>
                <w:rFonts w:ascii="Times New Roman" w:hAnsi="Times New Roman" w:eastAsia="仿宋_GB2312" w:cs="Times New Roman"/>
                <w:color w:val="000000"/>
                <w:sz w:val="28"/>
                <w:szCs w:val="28"/>
              </w:rPr>
              <w:t>。建立电子证照共享互认机制，实现电子证照“一库管理、互认共享”。选取一批高频和跨省、跨市电子证照应用事项纳入试点，实现电子证照和纸质证照的同步生成、同步变更、同步废止和办事材料自动关联引用，以及跨地区互认共享。引入“区块链+电子证照”技术，实现实体证照与区块链电子证照同步发放，打造全方位在线政务服务新模式。</w:t>
            </w:r>
          </w:p>
          <w:p>
            <w:pPr>
              <w:spacing w:line="600" w:lineRule="exact"/>
              <w:ind w:firstLine="562" w:firstLineChars="200"/>
              <w:contextualSpacing/>
              <w:rPr>
                <w:rFonts w:ascii="Times New Roman" w:hAnsi="Times New Roman" w:eastAsia="华文仿宋" w:cs="Times New Roman"/>
                <w:color w:val="000000"/>
                <w:sz w:val="28"/>
                <w:szCs w:val="28"/>
              </w:rPr>
            </w:pPr>
            <w:r>
              <w:rPr>
                <w:rFonts w:ascii="Times New Roman" w:hAnsi="Times New Roman" w:eastAsia="仿宋_GB2312" w:cs="Times New Roman"/>
                <w:b/>
                <w:color w:val="000000"/>
                <w:sz w:val="28"/>
                <w:szCs w:val="28"/>
              </w:rPr>
              <w:t>“互联网+政务服务”增效能</w:t>
            </w:r>
            <w:r>
              <w:rPr>
                <w:rFonts w:ascii="Times New Roman" w:hAnsi="Times New Roman" w:eastAsia="仿宋_GB2312" w:cs="Times New Roman"/>
                <w:color w:val="000000"/>
                <w:sz w:val="28"/>
                <w:szCs w:val="28"/>
              </w:rPr>
              <w:t>。加强政府网站管理，打造官微、公众号、客户端等新媒体传，构建市、县、乡、村四级联动的“互联网+政务服务”一体化行政服务平台，实现“一号一窗一网”，并继续深化应用，提升政务服务环境。建设“泉州市12345便民服务平台”，实现综合受理，协同办理；加快推进“泉州市公共资源交易平台”建设，实现工程建设项目招标投标、政府采购、土地使用权和矿业权出让、国有资产交易系统等信息与资源共享。</w:t>
            </w:r>
          </w:p>
        </w:tc>
      </w:tr>
    </w:tbl>
    <w:p>
      <w:pPr>
        <w:spacing w:line="580" w:lineRule="exact"/>
        <w:ind w:firstLine="640" w:firstLineChars="200"/>
        <w:rPr>
          <w:rFonts w:ascii="Times New Roman" w:hAnsi="Times New Roman" w:eastAsia="黑体" w:cs="Times New Roman"/>
          <w:color w:val="000000"/>
          <w:kern w:val="0"/>
          <w:sz w:val="32"/>
          <w:szCs w:val="30"/>
          <w:lang w:val="zh-CN"/>
        </w:rPr>
      </w:pPr>
      <w:r>
        <w:rPr>
          <w:rFonts w:ascii="Times New Roman" w:hAnsi="Times New Roman" w:eastAsia="黑体" w:cs="Times New Roman"/>
          <w:color w:val="000000"/>
          <w:kern w:val="0"/>
          <w:sz w:val="32"/>
          <w:szCs w:val="30"/>
          <w:lang w:val="zh-CN"/>
        </w:rPr>
        <w:t>三、创新“互联网+监管”服务</w:t>
      </w:r>
    </w:p>
    <w:p>
      <w:pPr>
        <w:spacing w:line="570" w:lineRule="exact"/>
        <w:ind w:firstLine="640" w:firstLineChars="200"/>
        <w:rPr>
          <w:rFonts w:ascii="Times New Roman" w:hAnsi="Times New Roman" w:eastAsia="仿宋_GB2312" w:cs="Times New Roman"/>
          <w:bCs/>
          <w:color w:val="000000"/>
          <w:sz w:val="32"/>
          <w:szCs w:val="28"/>
        </w:rPr>
      </w:pPr>
      <w:r>
        <w:rPr>
          <w:rFonts w:ascii="Times New Roman" w:hAnsi="Times New Roman" w:eastAsia="仿宋_GB2312" w:cs="Times New Roman"/>
          <w:bCs/>
          <w:color w:val="000000"/>
          <w:sz w:val="32"/>
          <w:szCs w:val="28"/>
        </w:rPr>
        <w:t>加强市场监管信息化建设，完善“双随机</w:t>
      </w:r>
      <w:r>
        <w:rPr>
          <w:rFonts w:hint="eastAsia" w:ascii="Times New Roman" w:hAnsi="Times New Roman" w:eastAsia="仿宋_GB2312" w:cs="Times New Roman"/>
          <w:bCs/>
          <w:color w:val="000000"/>
          <w:sz w:val="32"/>
          <w:szCs w:val="28"/>
          <w:lang w:eastAsia="zh-CN"/>
        </w:rPr>
        <w:t>、</w:t>
      </w:r>
      <w:bookmarkStart w:id="1077" w:name="_GoBack"/>
      <w:bookmarkEnd w:id="1077"/>
      <w:r>
        <w:rPr>
          <w:rFonts w:ascii="Times New Roman" w:hAnsi="Times New Roman" w:eastAsia="仿宋_GB2312" w:cs="Times New Roman"/>
          <w:bCs/>
          <w:color w:val="000000"/>
          <w:sz w:val="32"/>
          <w:szCs w:val="28"/>
        </w:rPr>
        <w:t>一公开”监管、“互联网+监管”、信用监管等机制。打造“信用泉州”，尽快启动市公共信用信息平台（三期）建设，实现政务、商务、社会、司法四大领域信用体系深度融合，结合信用大数据开展公共信用综合评价。积极推动住建信息系统整合，建成市级房地产数据中心和房屋管理综合信息平台。进一步优化“互联网+市场监管”，建立健全食品药品质量追溯体系，加大对食品药品加工、准入和流通等环节智能化监管力度。强化事前预警防控，利用大数据加强对市场行为风险监测分析，确定监管重点和方式。</w:t>
      </w:r>
    </w:p>
    <w:p>
      <w:pPr>
        <w:keepNext/>
        <w:keepLines/>
        <w:spacing w:before="260" w:after="260" w:line="596" w:lineRule="exact"/>
        <w:jc w:val="center"/>
        <w:outlineLvl w:val="1"/>
        <w:rPr>
          <w:rFonts w:ascii="Times New Roman" w:hAnsi="Times New Roman" w:eastAsia="方正黑体简体" w:cs="Times New Roman"/>
          <w:bCs/>
          <w:color w:val="000000"/>
          <w:sz w:val="32"/>
          <w:szCs w:val="32"/>
        </w:rPr>
      </w:pPr>
      <w:bookmarkStart w:id="47" w:name="_Toc87894495"/>
      <w:bookmarkStart w:id="48" w:name="_Toc84783860"/>
      <w:bookmarkStart w:id="49" w:name="_Toc84782343"/>
      <w:bookmarkStart w:id="50" w:name="_Toc94308410"/>
      <w:r>
        <w:rPr>
          <w:rFonts w:ascii="Times New Roman" w:hAnsi="Times New Roman" w:eastAsia="方正黑体简体" w:cs="Times New Roman"/>
          <w:bCs/>
          <w:color w:val="000000"/>
          <w:sz w:val="32"/>
          <w:szCs w:val="32"/>
        </w:rPr>
        <w:t xml:space="preserve">第三节 </w:t>
      </w:r>
      <w:bookmarkEnd w:id="47"/>
      <w:bookmarkEnd w:id="48"/>
      <w:bookmarkEnd w:id="49"/>
      <w:r>
        <w:rPr>
          <w:rFonts w:ascii="Times New Roman" w:hAnsi="Times New Roman" w:eastAsia="方正黑体简体" w:cs="Times New Roman"/>
          <w:bCs/>
          <w:color w:val="000000"/>
          <w:sz w:val="32"/>
          <w:szCs w:val="32"/>
        </w:rPr>
        <w:t>提升数字政府精准治理能力</w:t>
      </w:r>
      <w:bookmarkEnd w:id="50"/>
    </w:p>
    <w:p>
      <w:pPr>
        <w:spacing w:line="570" w:lineRule="exact"/>
        <w:ind w:firstLine="640" w:firstLineChars="200"/>
        <w:rPr>
          <w:rFonts w:ascii="Times New Roman" w:hAnsi="Times New Roman" w:eastAsia="仿宋_GB2312" w:cs="Times New Roman"/>
          <w:bCs/>
          <w:color w:val="000000"/>
          <w:sz w:val="32"/>
          <w:szCs w:val="28"/>
        </w:rPr>
      </w:pPr>
      <w:r>
        <w:rPr>
          <w:rFonts w:ascii="Times New Roman" w:hAnsi="Times New Roman" w:eastAsia="仿宋_GB2312" w:cs="Times New Roman"/>
          <w:bCs/>
          <w:color w:val="000000"/>
          <w:sz w:val="32"/>
          <w:szCs w:val="28"/>
        </w:rPr>
        <w:t>加快构建数字技术辅助政府决策机制，强化数字技术在生态环境监测、社会安全防控、灾害应急管理等的应用，提升数字政府跨部门协同、精准化治理能力。</w:t>
      </w:r>
    </w:p>
    <w:p>
      <w:pPr>
        <w:spacing w:line="580" w:lineRule="exact"/>
        <w:ind w:firstLine="640" w:firstLineChars="200"/>
        <w:rPr>
          <w:rFonts w:ascii="Times New Roman" w:hAnsi="Times New Roman" w:eastAsia="黑体" w:cs="Times New Roman"/>
          <w:color w:val="000000"/>
          <w:kern w:val="0"/>
          <w:sz w:val="32"/>
          <w:szCs w:val="30"/>
          <w:lang w:val="zh-CN"/>
        </w:rPr>
      </w:pPr>
      <w:r>
        <w:rPr>
          <w:rFonts w:ascii="Times New Roman" w:hAnsi="Times New Roman" w:eastAsia="黑体" w:cs="Times New Roman"/>
          <w:color w:val="000000"/>
          <w:kern w:val="0"/>
          <w:sz w:val="32"/>
          <w:szCs w:val="30"/>
          <w:lang w:val="zh-CN"/>
        </w:rPr>
        <w:t>一、构建数字化抗疫能力体系</w:t>
      </w:r>
    </w:p>
    <w:p>
      <w:pPr>
        <w:spacing w:line="570" w:lineRule="exact"/>
        <w:ind w:firstLine="640" w:firstLineChars="200"/>
        <w:rPr>
          <w:rFonts w:ascii="Times New Roman" w:hAnsi="Times New Roman" w:eastAsia="仿宋_GB2312" w:cs="Times New Roman"/>
          <w:bCs/>
          <w:color w:val="000000"/>
          <w:sz w:val="32"/>
          <w:szCs w:val="28"/>
        </w:rPr>
      </w:pPr>
      <w:r>
        <w:rPr>
          <w:rFonts w:ascii="Times New Roman" w:hAnsi="Times New Roman" w:eastAsia="仿宋_GB2312" w:cs="Times New Roman"/>
          <w:bCs/>
          <w:color w:val="000000"/>
          <w:sz w:val="32"/>
          <w:szCs w:val="28"/>
        </w:rPr>
        <w:t>建机制、搭平台、推应用，构建全市一体化协同抗疫管理机制，全面提升数字化抗疫能力。加速推进泉州核酸检测平台建设，实现全市核酸检测应检尽检。汇聚更新各类疫情防控数据，运用大数据、人工智能等数字技术，在疫情监测分析、病毒溯源、资源调配等方面更好发挥支撑作用。建设全市突发灾（疫）情大数据分析与监测预警平台，强化重点人群管控，提供多部门协同防控和跨区县精准防疫支撑，助力复工复产。加强疫情防控数据共享应用，为全市疫情防控工作科学化、精准化开展提供有力支撑。</w:t>
      </w:r>
    </w:p>
    <w:p>
      <w:pPr>
        <w:spacing w:line="580" w:lineRule="exact"/>
        <w:ind w:firstLine="640" w:firstLineChars="200"/>
        <w:rPr>
          <w:rFonts w:ascii="Times New Roman" w:hAnsi="Times New Roman" w:eastAsia="黑体" w:cs="Times New Roman"/>
          <w:color w:val="000000"/>
          <w:kern w:val="0"/>
          <w:sz w:val="32"/>
          <w:szCs w:val="30"/>
          <w:lang w:val="zh-CN"/>
        </w:rPr>
      </w:pPr>
      <w:r>
        <w:rPr>
          <w:rFonts w:ascii="Times New Roman" w:hAnsi="Times New Roman" w:eastAsia="黑体" w:cs="Times New Roman"/>
          <w:color w:val="000000"/>
          <w:kern w:val="0"/>
          <w:sz w:val="32"/>
          <w:szCs w:val="30"/>
          <w:lang w:val="zh-CN"/>
        </w:rPr>
        <w:t>二、构建数字化生态治理体系</w:t>
      </w:r>
    </w:p>
    <w:p>
      <w:pPr>
        <w:spacing w:line="570" w:lineRule="exact"/>
        <w:ind w:firstLine="640" w:firstLineChars="200"/>
        <w:rPr>
          <w:rFonts w:ascii="Times New Roman" w:hAnsi="Times New Roman" w:eastAsia="仿宋_GB2312" w:cs="Times New Roman"/>
          <w:bCs/>
          <w:color w:val="000000"/>
          <w:sz w:val="32"/>
          <w:szCs w:val="28"/>
        </w:rPr>
      </w:pPr>
      <w:r>
        <w:rPr>
          <w:rFonts w:ascii="Times New Roman" w:hAnsi="Times New Roman" w:eastAsia="仿宋_GB2312" w:cs="Times New Roman"/>
          <w:bCs/>
          <w:color w:val="000000"/>
          <w:sz w:val="32"/>
          <w:szCs w:val="28"/>
        </w:rPr>
        <w:t>树牢“绿水青山就是金山银山”的理念，加快实现市、县协同化管理、天空地海一体化监管，为建设“美丽泉州”提供有力支撑。加快构建覆盖全市的水、空气等立体化生态环境质量监测网络和污染源监控系统，初步建成生态环境物联网，大数据应用贯穿监管全领域，推动实现生态环境监管体系和监管能力现代化。优化空气、地表水自动监测网，完善海洋生态环境监管体系，加强生态环境实验室基础能力建设。严格落实海洋生态保护红线管控要求，形成陆海统筹的生态保护红线制度。进一步优化国土空间开发保护格局，为国土空间规划、用途管制、耕地保护、生态保护、督察执法、审批监管等自然资源管理和决策提供重要支撑和保障。强化水资源调度业务与专业模型的深度融合，建设覆盖全市水资源供配体系的水资源综合调度平台，为泉州“上蓄下引、河库连通”的水网工程体系提供支撑。积极谋划泉州市园林绿化数字化信息管理系统建设，对园林事件进行智能化识别、跟踪、分析和管理。</w:t>
      </w:r>
    </w:p>
    <w:tbl>
      <w:tblPr>
        <w:tblStyle w:val="24"/>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642" w:type="dxa"/>
          </w:tcPr>
          <w:p>
            <w:pPr>
              <w:widowControl/>
              <w:numPr>
                <w:ilvl w:val="0"/>
                <w:numId w:val="1"/>
              </w:numPr>
              <w:spacing w:line="600" w:lineRule="exact"/>
              <w:jc w:val="center"/>
              <w:rPr>
                <w:rFonts w:ascii="Times New Roman" w:hAnsi="Times New Roman" w:eastAsia="仿宋_GB2312" w:cs="Times New Roman"/>
                <w:color w:val="000000"/>
                <w:kern w:val="0"/>
                <w:sz w:val="30"/>
                <w:szCs w:val="30"/>
              </w:rPr>
            </w:pPr>
            <w:r>
              <w:rPr>
                <w:rFonts w:hint="eastAsia" w:ascii="Times New Roman" w:hAnsi="Times New Roman" w:eastAsia="楷体_GB2312" w:cs="Times New Roman"/>
                <w:b/>
                <w:color w:val="000000"/>
                <w:sz w:val="28"/>
                <w:szCs w:val="28"/>
              </w:rPr>
              <w:t>美丽泉州数字化工程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2" w:type="dxa"/>
          </w:tcPr>
          <w:p>
            <w:pPr>
              <w:spacing w:line="600" w:lineRule="exact"/>
              <w:ind w:firstLine="562" w:firstLineChars="200"/>
              <w:contextualSpacing/>
              <w:rPr>
                <w:rFonts w:ascii="Times New Roman" w:hAnsi="Times New Roman" w:eastAsia="仿宋_GB2312" w:cs="Times New Roman"/>
                <w:color w:val="000000"/>
                <w:sz w:val="28"/>
                <w:szCs w:val="28"/>
              </w:rPr>
            </w:pPr>
            <w:r>
              <w:rPr>
                <w:rFonts w:ascii="Times New Roman" w:hAnsi="Times New Roman" w:eastAsia="仿宋_GB2312" w:cs="Times New Roman"/>
                <w:b/>
                <w:color w:val="000000"/>
                <w:sz w:val="28"/>
                <w:szCs w:val="28"/>
              </w:rPr>
              <w:t>生态环境数字化工程</w:t>
            </w:r>
            <w:r>
              <w:rPr>
                <w:rFonts w:ascii="Times New Roman" w:hAnsi="Times New Roman" w:eastAsia="仿宋_GB2312" w:cs="Times New Roman"/>
                <w:color w:val="000000"/>
                <w:sz w:val="28"/>
                <w:szCs w:val="28"/>
              </w:rPr>
              <w:t>：开展生态环境监管能力建设三年行动，重点实施生态环境大数据应用、空气与地表水自动监测站建设、海洋环境监管能力建设、实验室基础能力建设、生态环境综合执法和应急能力提升等五大专项项目。加快泉州市生态环境综合监管平台建设，提升生态环境综合决策科学化、监管精准化水平。进一步完善环境质量监测网络，建设泉州市大气超级站。创新海洋环境监管手段，运用5G、高清探头等高科技手段，加强海漂垃圾综合治理。</w:t>
            </w:r>
          </w:p>
          <w:p>
            <w:pPr>
              <w:spacing w:line="600" w:lineRule="exact"/>
              <w:ind w:firstLine="562" w:firstLineChars="200"/>
              <w:contextualSpacing/>
              <w:rPr>
                <w:rFonts w:ascii="Times New Roman" w:hAnsi="Times New Roman" w:eastAsia="华文仿宋" w:cs="Times New Roman"/>
                <w:color w:val="000000"/>
                <w:sz w:val="32"/>
                <w:szCs w:val="32"/>
              </w:rPr>
            </w:pPr>
            <w:r>
              <w:rPr>
                <w:rFonts w:ascii="Times New Roman" w:hAnsi="Times New Roman" w:eastAsia="仿宋_GB2312" w:cs="Times New Roman"/>
                <w:b/>
                <w:color w:val="000000"/>
                <w:sz w:val="28"/>
                <w:szCs w:val="28"/>
              </w:rPr>
              <w:t>自然资源数字化工程</w:t>
            </w:r>
            <w:r>
              <w:rPr>
                <w:rFonts w:ascii="Times New Roman" w:hAnsi="Times New Roman" w:eastAsia="仿宋_GB2312" w:cs="Times New Roman"/>
                <w:color w:val="000000"/>
                <w:sz w:val="28"/>
                <w:szCs w:val="28"/>
              </w:rPr>
              <w:t>：推动遥感影像、大数据、云计算、人工智能、物联网、5G等新一代信息技术与自然资源和规划管理深度融合，有效提升自然资源管理服务水平。积极推动泉州市生态修复信息系统建设，对国土空间综合整治、土地整理、矿山地质生态修复、海域海岸带修复等进行统一管理和监督。实施海岸带美化提升及生态修复工程；严格保护优质沙滩、重要滨海湿地、红树林等海岸线，加强自然岸线保有率管控。推动国土三调成果和水资源、森林资源、湿地资源等专项调查数据成果利用，加强自然资源监测成果动态更新，构建全天候监测与预警的技术机制，形成实时、快速的自然资源感知能力，积极谋划建设泉州市资源规划综合信息平台。</w:t>
            </w:r>
          </w:p>
        </w:tc>
      </w:tr>
    </w:tbl>
    <w:p>
      <w:pPr>
        <w:spacing w:line="580" w:lineRule="exact"/>
        <w:ind w:firstLine="640" w:firstLineChars="200"/>
        <w:rPr>
          <w:rFonts w:ascii="Times New Roman" w:hAnsi="Times New Roman" w:eastAsia="黑体" w:cs="Times New Roman"/>
          <w:color w:val="000000"/>
          <w:kern w:val="0"/>
          <w:sz w:val="32"/>
          <w:szCs w:val="30"/>
          <w:lang w:val="zh-CN"/>
        </w:rPr>
      </w:pPr>
      <w:bookmarkStart w:id="51" w:name="_Toc10585"/>
      <w:bookmarkStart w:id="52" w:name="_Toc23165"/>
      <w:bookmarkStart w:id="53" w:name="_Toc119813883"/>
      <w:bookmarkStart w:id="54" w:name="_Toc6531"/>
      <w:bookmarkStart w:id="55" w:name="_Toc13236"/>
      <w:bookmarkStart w:id="56" w:name="_Toc22199"/>
      <w:bookmarkStart w:id="57" w:name="_Toc2416"/>
      <w:bookmarkStart w:id="58" w:name="_Toc21947"/>
      <w:bookmarkStart w:id="59" w:name="_Toc2481"/>
      <w:bookmarkStart w:id="60" w:name="_Toc146881527"/>
      <w:bookmarkStart w:id="61" w:name="_Toc1549918111"/>
      <w:bookmarkStart w:id="62" w:name="_Toc87003393"/>
      <w:bookmarkStart w:id="63" w:name="_Toc16160"/>
      <w:bookmarkStart w:id="64" w:name="_Toc8296"/>
      <w:bookmarkStart w:id="65" w:name="_Toc25347"/>
      <w:bookmarkStart w:id="66" w:name="_Toc2061883628"/>
      <w:r>
        <w:rPr>
          <w:rFonts w:ascii="Times New Roman" w:hAnsi="Times New Roman" w:eastAsia="黑体" w:cs="Times New Roman"/>
          <w:color w:val="000000"/>
          <w:kern w:val="0"/>
          <w:sz w:val="32"/>
          <w:szCs w:val="30"/>
          <w:lang w:val="zh-CN"/>
        </w:rPr>
        <w:t>三、构建数字化综治防控体系</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pPr>
        <w:spacing w:line="570" w:lineRule="exact"/>
        <w:ind w:firstLine="640" w:firstLineChars="200"/>
        <w:rPr>
          <w:rFonts w:ascii="Times New Roman" w:hAnsi="Times New Roman" w:eastAsia="仿宋_GB2312" w:cs="Times New Roman"/>
          <w:bCs/>
          <w:color w:val="000000"/>
          <w:sz w:val="32"/>
          <w:szCs w:val="28"/>
        </w:rPr>
      </w:pPr>
      <w:r>
        <w:rPr>
          <w:rFonts w:ascii="Times New Roman" w:hAnsi="Times New Roman" w:eastAsia="仿宋_GB2312" w:cs="Times New Roman"/>
          <w:bCs/>
          <w:color w:val="000000"/>
          <w:sz w:val="32"/>
          <w:szCs w:val="28"/>
        </w:rPr>
        <w:t>构建“大联动、微治理”的社会治理体系，推动城市管理从“数字城管”向“智慧城管”的转变，构建网格化管理、精细化服务、信息化支撑、开放共享的基层管理服务平台。高标准推进“雪亮工程”建设，打破数据壁垒，实现信息数据由“面上收集存储”向“深层解析研判”转换升级，构建协同高效的社会治理新模式。打造全国领先的智慧公安“泉州模式”，全面打造智慧城市“安全大脑”，构建全程覆盖的安全管理机制、全网防控的安全保障技术体系，争创全国社会治安防控体系建设示范城市。</w:t>
      </w:r>
    </w:p>
    <w:tbl>
      <w:tblPr>
        <w:tblStyle w:val="24"/>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642" w:type="dxa"/>
          </w:tcPr>
          <w:p>
            <w:pPr>
              <w:widowControl/>
              <w:numPr>
                <w:ilvl w:val="0"/>
                <w:numId w:val="1"/>
              </w:numPr>
              <w:spacing w:line="600" w:lineRule="exact"/>
              <w:jc w:val="center"/>
              <w:rPr>
                <w:rFonts w:ascii="Times New Roman" w:hAnsi="Times New Roman" w:eastAsia="仿宋_GB2312" w:cs="Times New Roman"/>
                <w:color w:val="000000"/>
                <w:kern w:val="0"/>
                <w:sz w:val="30"/>
                <w:szCs w:val="30"/>
              </w:rPr>
            </w:pPr>
            <w:r>
              <w:rPr>
                <w:rFonts w:hint="eastAsia" w:ascii="Times New Roman" w:hAnsi="Times New Roman" w:eastAsia="楷体_GB2312" w:cs="Times New Roman"/>
                <w:b/>
                <w:color w:val="000000"/>
                <w:sz w:val="28"/>
                <w:szCs w:val="28"/>
              </w:rPr>
              <w:t>立体化综治防控工程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2" w:type="dxa"/>
          </w:tcPr>
          <w:p>
            <w:pPr>
              <w:spacing w:line="600" w:lineRule="exact"/>
              <w:ind w:firstLine="560" w:firstLineChars="200"/>
              <w:contextualSpacing/>
              <w:rPr>
                <w:rFonts w:ascii="Times New Roman" w:hAnsi="Times New Roman" w:eastAsia="华文仿宋" w:cs="Times New Roman"/>
                <w:color w:val="000000"/>
                <w:sz w:val="32"/>
                <w:szCs w:val="32"/>
              </w:rPr>
            </w:pPr>
            <w:r>
              <w:rPr>
                <w:rFonts w:ascii="Times New Roman" w:hAnsi="Times New Roman" w:eastAsia="仿宋_GB2312" w:cs="Times New Roman"/>
                <w:color w:val="000000"/>
                <w:sz w:val="28"/>
                <w:szCs w:val="28"/>
              </w:rPr>
              <w:t>加快推进泉州市智慧城管物联通管理平台建设，构建城市物联通大平台、城市视频共享平台、城市管理应用平台，建立一套市、县统一标准的物联通，实现“数据全面实时感知、资源高度集中共享、系统综合有机集成、监管决策有效支撑”监督指挥管理要求。建设“1”张动态实时、全量采集的多维感知网络，“1”个异构兼容、分层解耦的统一支撑云计算平台，“1”个公安大数据中心（福建公安大数据中心泉州分中心），“N”个智能化应用，构建泉州“智慧公安”。加速“E通政法”建设，实现政法部门之间的协同办案和数据共享，建设“智慧政法”示范应用城市。深入推进“雪亮工程”“智慧城安”，完善提升泉州市城市安全信息系统，实现重点公共区域视频监控覆盖率100%，高清率100%，联网率100%，实现以公共安全视频监控为主，推动重点公共区域、重点行业领域视频监控、视频图像联网使用。</w:t>
            </w:r>
          </w:p>
        </w:tc>
      </w:tr>
    </w:tbl>
    <w:p>
      <w:pPr>
        <w:spacing w:line="580" w:lineRule="exact"/>
        <w:ind w:firstLine="640" w:firstLineChars="200"/>
        <w:rPr>
          <w:rFonts w:ascii="Times New Roman" w:hAnsi="Times New Roman" w:eastAsia="黑体" w:cs="Times New Roman"/>
          <w:color w:val="000000"/>
          <w:kern w:val="0"/>
          <w:sz w:val="32"/>
          <w:szCs w:val="30"/>
          <w:lang w:val="zh-CN"/>
        </w:rPr>
      </w:pPr>
      <w:bookmarkStart w:id="67" w:name="_Toc256309553"/>
      <w:bookmarkStart w:id="68" w:name="_Toc2130314758"/>
      <w:bookmarkStart w:id="69" w:name="_Toc19401"/>
      <w:bookmarkStart w:id="70" w:name="_Toc16560"/>
      <w:bookmarkStart w:id="71" w:name="_Toc14691"/>
      <w:bookmarkStart w:id="72" w:name="_Toc87003394"/>
      <w:bookmarkStart w:id="73" w:name="_Toc29916"/>
      <w:bookmarkStart w:id="74" w:name="_Toc1584"/>
      <w:bookmarkStart w:id="75" w:name="_Toc16659"/>
      <w:bookmarkStart w:id="76" w:name="_Toc13297"/>
      <w:bookmarkStart w:id="77" w:name="_Toc9573"/>
      <w:bookmarkStart w:id="78" w:name="_Toc596922744"/>
      <w:bookmarkStart w:id="79" w:name="_Toc21124"/>
      <w:bookmarkStart w:id="80" w:name="_Toc19267"/>
      <w:bookmarkStart w:id="81" w:name="_Toc23870"/>
      <w:bookmarkStart w:id="82" w:name="_Toc1842873195"/>
      <w:r>
        <w:rPr>
          <w:rFonts w:ascii="Times New Roman" w:hAnsi="Times New Roman" w:eastAsia="黑体" w:cs="Times New Roman"/>
          <w:color w:val="000000"/>
          <w:kern w:val="0"/>
          <w:sz w:val="32"/>
          <w:szCs w:val="30"/>
          <w:lang w:val="zh-CN"/>
        </w:rPr>
        <w:t>四、构建数字化应急管理体系</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pPr>
        <w:spacing w:line="570" w:lineRule="exact"/>
        <w:ind w:firstLine="640" w:firstLineChars="200"/>
        <w:rPr>
          <w:rFonts w:ascii="Times New Roman" w:hAnsi="Times New Roman" w:eastAsia="宋体" w:cs="Times New Roman"/>
          <w:szCs w:val="24"/>
        </w:rPr>
      </w:pPr>
      <w:r>
        <w:rPr>
          <w:rFonts w:ascii="Times New Roman" w:hAnsi="Times New Roman" w:eastAsia="仿宋_GB2312" w:cs="Times New Roman"/>
          <w:bCs/>
          <w:color w:val="000000"/>
          <w:sz w:val="32"/>
          <w:szCs w:val="28"/>
        </w:rPr>
        <w:t>完善“互联网+应急”模式，形成需求引领数据驱动、自我进化、融合创新的智慧应急体系。建设一个应急管理大数据库，通过市政务数据汇聚共享22个部门单位应急数据；搭建监测预警、应急指挥、安全生产宣教等“三个中心”；构建感知网、通讯网、人工智能和云平台等“四大赋能工程”，智慧安全监管、智慧监测预警、智慧应急指挥、智慧决策辅助、智慧政务服务等“五大公共应用”和标准化智慧管理平台、智慧安全宣教、智慧防灾减灾（防汛、防火、抗震）、智慧危化品监管、智慧矿山监管、智慧城乡生命线监测预警等“六个专题”。依托天通、北斗等国家自组网络，打造移动公网与应急专网相结合的空天地海一体化通信体系。设置“城乡生命线”模块，融入气象、水、电、燃气、有限空间作业、房屋安全风险、边坡安全风险、桥梁安全风险、隧道安全风险等管控平台数据。</w:t>
      </w:r>
    </w:p>
    <w:tbl>
      <w:tblPr>
        <w:tblStyle w:val="24"/>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642" w:type="dxa"/>
          </w:tcPr>
          <w:p>
            <w:pPr>
              <w:widowControl/>
              <w:numPr>
                <w:ilvl w:val="0"/>
                <w:numId w:val="1"/>
              </w:numPr>
              <w:spacing w:line="600" w:lineRule="exact"/>
              <w:jc w:val="center"/>
              <w:rPr>
                <w:rFonts w:ascii="Times New Roman" w:hAnsi="Times New Roman" w:eastAsia="仿宋_GB2312" w:cs="Times New Roman"/>
                <w:color w:val="000000"/>
                <w:kern w:val="0"/>
                <w:sz w:val="30"/>
                <w:szCs w:val="30"/>
              </w:rPr>
            </w:pPr>
            <w:r>
              <w:rPr>
                <w:rFonts w:hint="eastAsia" w:ascii="Times New Roman" w:hAnsi="Times New Roman" w:eastAsia="楷体_GB2312" w:cs="Times New Roman"/>
                <w:b/>
                <w:color w:val="000000"/>
                <w:sz w:val="28"/>
                <w:szCs w:val="28"/>
              </w:rPr>
              <w:t>防灾减灾应急工程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2" w:type="dxa"/>
          </w:tcPr>
          <w:p>
            <w:pPr>
              <w:spacing w:line="600" w:lineRule="exact"/>
              <w:ind w:firstLine="560" w:firstLineChars="200"/>
              <w:contextualSpacing/>
              <w:rPr>
                <w:rFonts w:ascii="Times New Roman" w:hAnsi="Times New Roman" w:eastAsia="华文仿宋" w:cs="Times New Roman"/>
                <w:color w:val="000000"/>
                <w:sz w:val="28"/>
                <w:szCs w:val="28"/>
              </w:rPr>
            </w:pPr>
            <w:r>
              <w:rPr>
                <w:rFonts w:ascii="Times New Roman" w:hAnsi="Times New Roman" w:eastAsia="仿宋_GB2312" w:cs="Times New Roman"/>
                <w:color w:val="000000"/>
                <w:sz w:val="28"/>
                <w:szCs w:val="28"/>
              </w:rPr>
              <w:t>加快推进市级应急广播平台建设，形成市、县、乡、村四级贯通、纵向与上级应急广播平台对接、横向和本级预警信息发布系统连通的全市应急广播体系。积极推动地质灾害管理系统建设，实现地质灾害防治高效管理和全程监管。支持构建基于海洋监测和预报大数据态势感知的综合信息监管决策分析应用系统，为海洋灾害风险预测提供科学辅助依据。支持370MHz应急指挥窄带无线通信系统、119智能接处警系统建设。加快构建市应急管理信息化平台，全面支撑应急管理能力现代化。加快推进丰泽“人工智能四级联动安防监控平台”建设，建立应急联动长效管理机制。</w:t>
            </w:r>
          </w:p>
        </w:tc>
      </w:tr>
      <w:bookmarkEnd w:id="42"/>
    </w:tbl>
    <w:p>
      <w:pPr>
        <w:spacing w:line="360" w:lineRule="auto"/>
        <w:jc w:val="center"/>
        <w:rPr>
          <w:rFonts w:ascii="Times New Roman" w:hAnsi="Times New Roman" w:eastAsia="宋体" w:cs="Times New Roman"/>
          <w:color w:val="000000"/>
          <w:szCs w:val="24"/>
        </w:rPr>
        <w:sectPr>
          <w:pgSz w:w="11906" w:h="16838"/>
          <w:pgMar w:top="1418" w:right="1474" w:bottom="1418" w:left="1588" w:header="851" w:footer="992" w:gutter="0"/>
          <w:cols w:space="720" w:num="1"/>
          <w:docGrid w:type="lines" w:linePitch="312" w:charSpace="0"/>
        </w:sectPr>
      </w:pPr>
    </w:p>
    <w:p>
      <w:pPr>
        <w:keepNext/>
        <w:keepLines/>
        <w:spacing w:before="340" w:after="240" w:line="596" w:lineRule="exact"/>
        <w:jc w:val="center"/>
        <w:outlineLvl w:val="0"/>
        <w:rPr>
          <w:rFonts w:ascii="Times New Roman" w:hAnsi="Times New Roman" w:eastAsia="方正小标宋简体" w:cs="Times New Roman"/>
          <w:color w:val="000000"/>
          <w:kern w:val="44"/>
          <w:sz w:val="36"/>
          <w:szCs w:val="36"/>
        </w:rPr>
      </w:pPr>
      <w:bookmarkStart w:id="83" w:name="_Toc84782344"/>
      <w:bookmarkStart w:id="84" w:name="_Toc84783861"/>
      <w:bookmarkStart w:id="85" w:name="_Toc87894496"/>
      <w:bookmarkStart w:id="86" w:name="_Toc94308411"/>
      <w:r>
        <w:rPr>
          <w:rFonts w:ascii="Times New Roman" w:hAnsi="Times New Roman" w:eastAsia="方正小标宋简体" w:cs="Times New Roman"/>
          <w:color w:val="000000"/>
          <w:kern w:val="44"/>
          <w:sz w:val="36"/>
          <w:szCs w:val="36"/>
        </w:rPr>
        <w:t xml:space="preserve">第四章 </w:t>
      </w:r>
      <w:bookmarkEnd w:id="36"/>
      <w:bookmarkEnd w:id="83"/>
      <w:bookmarkEnd w:id="84"/>
      <w:bookmarkEnd w:id="85"/>
      <w:r>
        <w:rPr>
          <w:rFonts w:ascii="Times New Roman" w:hAnsi="Times New Roman" w:eastAsia="方正小标宋简体" w:cs="Times New Roman"/>
          <w:color w:val="000000"/>
          <w:kern w:val="44"/>
          <w:sz w:val="36"/>
          <w:szCs w:val="36"/>
        </w:rPr>
        <w:t>推进新经济融合创新，打造数字经济新优势</w:t>
      </w:r>
      <w:bookmarkEnd w:id="86"/>
    </w:p>
    <w:p>
      <w:pPr>
        <w:spacing w:line="580" w:lineRule="exact"/>
        <w:ind w:firstLine="640" w:firstLineChars="200"/>
        <w:rPr>
          <w:rFonts w:ascii="Times New Roman" w:hAnsi="Times New Roman" w:eastAsia="仿宋_GB2312" w:cs="Times New Roman"/>
          <w:color w:val="000000"/>
          <w:sz w:val="32"/>
          <w:szCs w:val="28"/>
        </w:rPr>
      </w:pPr>
      <w:r>
        <w:rPr>
          <w:rFonts w:ascii="Times New Roman" w:hAnsi="Times New Roman" w:eastAsia="仿宋_GB2312" w:cs="Times New Roman"/>
          <w:color w:val="000000"/>
          <w:sz w:val="32"/>
          <w:szCs w:val="28"/>
        </w:rPr>
        <w:t>围绕打造海丝数字科创之都，聚焦构建释放数字生产力的创新发展体系，加强信息技术基础研究，强化关键信息技术创新应用，加快推进5G、大数据、云计算、区块链、元宇宙等新一代数字技术与实体经济深度融合发展。协同推进产业数字化和数字产业化，赋能传统产业升级，培育新产业新业态新模式，大力发展平台经济、线上经济。围绕企业数字能力建设，加快企业数字能力标准体系研制推广，分级分类推进企业数字能力试点示范，加快新经济园区集聚，打造数字经济新引擎。</w:t>
      </w:r>
    </w:p>
    <w:p>
      <w:pPr>
        <w:keepNext/>
        <w:keepLines/>
        <w:spacing w:before="260" w:after="260" w:line="596" w:lineRule="exact"/>
        <w:jc w:val="center"/>
        <w:outlineLvl w:val="1"/>
        <w:rPr>
          <w:rFonts w:ascii="Times New Roman" w:hAnsi="Times New Roman" w:eastAsia="方正黑体简体" w:cs="Times New Roman"/>
          <w:bCs/>
          <w:color w:val="000000"/>
          <w:sz w:val="32"/>
          <w:szCs w:val="32"/>
        </w:rPr>
      </w:pPr>
      <w:bookmarkStart w:id="87" w:name="_Toc84783862"/>
      <w:bookmarkStart w:id="88" w:name="_Toc14616"/>
      <w:bookmarkStart w:id="89" w:name="_Toc84782345"/>
      <w:bookmarkStart w:id="90" w:name="_Toc87894497"/>
      <w:bookmarkStart w:id="91" w:name="_Toc94308412"/>
      <w:r>
        <w:rPr>
          <w:rFonts w:ascii="Times New Roman" w:hAnsi="Times New Roman" w:eastAsia="方正黑体简体" w:cs="Times New Roman"/>
          <w:bCs/>
          <w:color w:val="000000"/>
          <w:sz w:val="32"/>
          <w:szCs w:val="32"/>
        </w:rPr>
        <w:t xml:space="preserve">第一节 </w:t>
      </w:r>
      <w:bookmarkEnd w:id="87"/>
      <w:bookmarkEnd w:id="88"/>
      <w:bookmarkEnd w:id="89"/>
      <w:bookmarkEnd w:id="90"/>
      <w:r>
        <w:rPr>
          <w:rFonts w:ascii="Times New Roman" w:hAnsi="Times New Roman" w:eastAsia="方正黑体简体" w:cs="Times New Roman"/>
          <w:bCs/>
          <w:color w:val="000000"/>
          <w:sz w:val="32"/>
          <w:szCs w:val="32"/>
        </w:rPr>
        <w:t>加快推进数字产业化，发展数字经济新产业</w:t>
      </w:r>
      <w:bookmarkEnd w:id="91"/>
    </w:p>
    <w:p>
      <w:pPr>
        <w:spacing w:line="580" w:lineRule="exact"/>
        <w:ind w:firstLine="640" w:firstLineChars="200"/>
        <w:rPr>
          <w:rFonts w:ascii="Times New Roman" w:hAnsi="Times New Roman" w:eastAsia="仿宋_GB2312" w:cs="Times New Roman"/>
          <w:color w:val="000000"/>
          <w:sz w:val="32"/>
          <w:szCs w:val="28"/>
        </w:rPr>
      </w:pPr>
      <w:r>
        <w:rPr>
          <w:rFonts w:ascii="Times New Roman" w:hAnsi="Times New Roman" w:eastAsia="仿宋_GB2312" w:cs="Times New Roman"/>
          <w:color w:val="000000"/>
          <w:sz w:val="32"/>
          <w:szCs w:val="28"/>
        </w:rPr>
        <w:t>不断增强关键技术创新能力，深化新一代信息技术集成创新和融合应用，完善5G、</w:t>
      </w:r>
      <w:r>
        <w:rPr>
          <w:rFonts w:hint="eastAsia" w:ascii="Times New Roman" w:hAnsi="Times New Roman" w:eastAsia="仿宋_GB2312" w:cs="Times New Roman"/>
          <w:color w:val="000000"/>
          <w:sz w:val="32"/>
          <w:szCs w:val="28"/>
        </w:rPr>
        <w:t>集成电路</w:t>
      </w:r>
      <w:r>
        <w:rPr>
          <w:rFonts w:ascii="Times New Roman" w:hAnsi="Times New Roman" w:eastAsia="仿宋_GB2312" w:cs="Times New Roman"/>
          <w:color w:val="000000"/>
          <w:sz w:val="32"/>
          <w:szCs w:val="28"/>
        </w:rPr>
        <w:t>、人工智能、工业互联网等重点产业供应链体系，推动软件产业做强做大，加快培育发展人工智能、区块链、量子通信、虚拟技术等新产业新业态新模式。</w:t>
      </w:r>
    </w:p>
    <w:p>
      <w:pPr>
        <w:spacing w:line="580" w:lineRule="exact"/>
        <w:ind w:firstLine="640" w:firstLineChars="200"/>
        <w:rPr>
          <w:rFonts w:ascii="Times New Roman" w:hAnsi="Times New Roman" w:eastAsia="黑体" w:cs="Times New Roman"/>
          <w:color w:val="000000"/>
          <w:kern w:val="0"/>
          <w:sz w:val="32"/>
          <w:szCs w:val="30"/>
          <w:lang w:val="zh-CN"/>
        </w:rPr>
      </w:pPr>
      <w:r>
        <w:rPr>
          <w:rFonts w:ascii="Times New Roman" w:hAnsi="Times New Roman" w:eastAsia="黑体" w:cs="Times New Roman"/>
          <w:color w:val="000000"/>
          <w:kern w:val="0"/>
          <w:sz w:val="32"/>
          <w:szCs w:val="30"/>
          <w:lang w:val="zh-CN"/>
        </w:rPr>
        <w:t>一、培育壮大新一代数字技术产业规模</w:t>
      </w:r>
    </w:p>
    <w:p>
      <w:pPr>
        <w:spacing w:line="580" w:lineRule="exact"/>
        <w:ind w:firstLine="640" w:firstLineChars="200"/>
        <w:rPr>
          <w:rFonts w:ascii="Times New Roman" w:hAnsi="Times New Roman" w:eastAsia="方正楷体简体" w:cs="Times New Roman"/>
          <w:bCs/>
          <w:color w:val="000000"/>
          <w:sz w:val="32"/>
          <w:szCs w:val="28"/>
        </w:rPr>
      </w:pPr>
      <w:r>
        <w:rPr>
          <w:rFonts w:ascii="Times New Roman" w:hAnsi="Times New Roman" w:eastAsia="方正楷体简体" w:cs="Times New Roman"/>
          <w:bCs/>
          <w:color w:val="000000"/>
          <w:sz w:val="32"/>
          <w:szCs w:val="28"/>
        </w:rPr>
        <w:t>（一）培育壮大电子信息制造业</w:t>
      </w:r>
    </w:p>
    <w:p>
      <w:pPr>
        <w:spacing w:line="580" w:lineRule="exact"/>
        <w:ind w:firstLine="640" w:firstLineChars="200"/>
        <w:rPr>
          <w:rFonts w:ascii="Times New Roman" w:hAnsi="Times New Roman" w:eastAsia="仿宋_GB2312" w:cs="Times New Roman"/>
          <w:color w:val="000000"/>
          <w:sz w:val="32"/>
          <w:szCs w:val="28"/>
        </w:rPr>
      </w:pPr>
      <w:r>
        <w:rPr>
          <w:rFonts w:ascii="Times New Roman" w:hAnsi="Times New Roman" w:eastAsia="仿宋_GB2312" w:cs="Times New Roman"/>
          <w:color w:val="000000"/>
          <w:sz w:val="32"/>
          <w:szCs w:val="28"/>
        </w:rPr>
        <w:t>以获批海峡两岸集成电路产业合作试验区为契机，突出“增芯强屏”，做强集成电路、半导体产业链，前瞻2035年锻造电子信息五千亿级产业集群。（1）依托泉州芯谷“一区三园”，以晋华存储器、渠梁封装测试、三安高端半导体等项目为龙头，推进慧芯、中石光芯、中科宏芯等项目投建投产，加快招引产业链上下游企业集聚，打造国内最具有市场竞争力、产业辐射力和创新活力的半导体产业基地。（2）利用5G、卫星应用等技术，延伸对讲机产业链，以飞通科技等企业为龙头，建设海上丝绸之路数据中心，推动并形成卫星通讯产业集聚。（3）以西人马联合测控为龙头，大力发展高端传感器产业，全面培育“设计+制造+封装+测试+整机产品+应用集成”的智能传感器产业链，争创国家传感器产业示范基地。</w:t>
      </w:r>
    </w:p>
    <w:tbl>
      <w:tblPr>
        <w:tblStyle w:val="24"/>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642" w:type="dxa"/>
          </w:tcPr>
          <w:p>
            <w:pPr>
              <w:widowControl/>
              <w:numPr>
                <w:ilvl w:val="0"/>
                <w:numId w:val="1"/>
              </w:numPr>
              <w:spacing w:line="600" w:lineRule="exact"/>
              <w:jc w:val="center"/>
              <w:rPr>
                <w:rFonts w:ascii="Times New Roman" w:hAnsi="Times New Roman" w:eastAsia="仿宋_GB2312" w:cs="Times New Roman"/>
                <w:color w:val="000000"/>
                <w:kern w:val="0"/>
                <w:sz w:val="30"/>
                <w:szCs w:val="30"/>
              </w:rPr>
            </w:pPr>
            <w:r>
              <w:rPr>
                <w:rFonts w:hint="eastAsia" w:ascii="Times New Roman" w:hAnsi="Times New Roman" w:eastAsia="楷体_GB2312" w:cs="Times New Roman"/>
                <w:b/>
                <w:color w:val="000000"/>
                <w:sz w:val="28"/>
                <w:szCs w:val="28"/>
              </w:rPr>
              <w:t>电子信息产业工程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2" w:type="dxa"/>
          </w:tcPr>
          <w:p>
            <w:pPr>
              <w:spacing w:line="600" w:lineRule="exact"/>
              <w:ind w:firstLine="560" w:firstLineChars="200"/>
              <w:contextualSpacing/>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培育壮大电子信息制造业，做强新型显示、芯片、半导体等产业链。（1）推进芯片产业发展。推动泉州“光子技术协同创新研究院”建设，打造国内一流光子技术产业研究平台，构建光子技术产业生态圈，推进“光芯片项目”集聚发展，进一步加快光子技术产业发展；继续推进晋江“银达锦物联网芯片设计”项目建设，开展先进无线射频+基带芯片技术的研发。推进“康芯科技电子雷管模组项目”建设，开展专用数码电子雷管芯片的设计与研发；加快推进惠安“城南中心工业园区高端芯片”项目投产放量。（2）做大“新型显示”产业集群规模。支持“泉州开发区新型显示数字经济产业园（一期）”项目建设，创建新型显示数字经济产业集聚中心、创新中心、技术研究院，以锐驰公司、京东与科复平台为核心，打造新型数字显示科技创新中心。积极谋划南安“智能识别激光打标”项目建设，为液晶面板设备生产线提供配套部件加工及维护服务。（3）发展半导体产业链。加快推进“联东U谷·南安半导体科技产业港”“南安科创中心”项目建设，积极推进南安建设“安芯半导体装备及耗材研发制造生产线”，建设含光刻机、涂胶显影机、高端湿法设备等半导体装备及耗材研发制造生产线。积极推动泉州台商投资区“微米科技”项目落地，建设以整合光通信加工组装、半导体封装插针加工等业务为一体的生产制造基地。</w:t>
            </w:r>
          </w:p>
        </w:tc>
      </w:tr>
    </w:tbl>
    <w:p>
      <w:pPr>
        <w:spacing w:line="580" w:lineRule="exact"/>
        <w:ind w:firstLine="640" w:firstLineChars="200"/>
        <w:rPr>
          <w:rFonts w:ascii="Times New Roman" w:hAnsi="Times New Roman" w:eastAsia="方正楷体简体" w:cs="Times New Roman"/>
          <w:bCs/>
          <w:color w:val="000000"/>
          <w:sz w:val="32"/>
          <w:szCs w:val="28"/>
        </w:rPr>
      </w:pPr>
      <w:r>
        <w:rPr>
          <w:rFonts w:ascii="Times New Roman" w:hAnsi="Times New Roman" w:eastAsia="方正楷体简体" w:cs="Times New Roman"/>
          <w:bCs/>
          <w:color w:val="000000"/>
          <w:sz w:val="32"/>
          <w:szCs w:val="28"/>
        </w:rPr>
        <w:t>（二）优化升级软件信息服务业</w:t>
      </w:r>
    </w:p>
    <w:p>
      <w:pPr>
        <w:spacing w:line="580" w:lineRule="exact"/>
        <w:ind w:firstLine="640" w:firstLineChars="200"/>
        <w:rPr>
          <w:rFonts w:ascii="Times New Roman" w:hAnsi="Times New Roman" w:eastAsia="仿宋_GB2312" w:cs="Times New Roman"/>
          <w:color w:val="000000"/>
          <w:sz w:val="32"/>
          <w:szCs w:val="28"/>
        </w:rPr>
      </w:pPr>
      <w:r>
        <w:rPr>
          <w:rFonts w:ascii="Times New Roman" w:hAnsi="Times New Roman" w:eastAsia="仿宋_GB2312" w:cs="Times New Roman"/>
          <w:color w:val="000000"/>
          <w:sz w:val="32"/>
          <w:szCs w:val="28"/>
        </w:rPr>
        <w:t>大力培育本地软件骨干企业，出台专项政策支持企业开拓市场和参与市外信息化项目招标，对入选工信部“全国软件百强”企业给予奖励。鼓励本地企业争创“国家规划布局内重点软件企业”。充分利用市场、政策、项目等手段，吸引工业软件、互联网、人工智能等领域国内外知名软件企业及研发机构来我市投资落户，推动国内外知名软件企业在我市建设软件创新中心。以泉州软件园、华创园等软件园区为依托，以南威软件等龙头企业为带动，建立涵盖项目对接、软件开发、外包知识产权、外包人才培养、行业公共品牌的软件信息平台，提升我市软件与信息服务外包产业的核心竞争力，为政府部门、行业协会、产业园区及企业提供完善和持续性的服务。</w:t>
      </w:r>
    </w:p>
    <w:p>
      <w:pPr>
        <w:spacing w:line="580" w:lineRule="exact"/>
        <w:ind w:firstLine="640" w:firstLineChars="200"/>
        <w:rPr>
          <w:rFonts w:ascii="Times New Roman" w:hAnsi="Times New Roman" w:eastAsia="方正楷体简体" w:cs="Times New Roman"/>
          <w:bCs/>
          <w:color w:val="000000"/>
          <w:sz w:val="32"/>
          <w:szCs w:val="28"/>
        </w:rPr>
      </w:pPr>
      <w:r>
        <w:rPr>
          <w:rFonts w:ascii="Times New Roman" w:hAnsi="Times New Roman" w:eastAsia="方正楷体简体" w:cs="Times New Roman"/>
          <w:bCs/>
          <w:color w:val="000000"/>
          <w:sz w:val="32"/>
          <w:szCs w:val="28"/>
        </w:rPr>
        <w:t>（三）优先发展人工智能新产业</w:t>
      </w:r>
    </w:p>
    <w:p>
      <w:pPr>
        <w:spacing w:line="580" w:lineRule="exact"/>
        <w:ind w:firstLine="640" w:firstLineChars="200"/>
        <w:rPr>
          <w:rFonts w:ascii="Times New Roman" w:hAnsi="Times New Roman" w:eastAsia="仿宋_GB2312" w:cs="Times New Roman"/>
          <w:color w:val="000000"/>
          <w:sz w:val="32"/>
          <w:szCs w:val="28"/>
        </w:rPr>
      </w:pPr>
      <w:r>
        <w:rPr>
          <w:rFonts w:ascii="Times New Roman" w:hAnsi="Times New Roman" w:eastAsia="仿宋_GB2312" w:cs="Times New Roman"/>
          <w:color w:val="000000"/>
          <w:sz w:val="32"/>
          <w:szCs w:val="28"/>
        </w:rPr>
        <w:t>鼓励科技企业孵化器和众创空间将人工智能作为优先引进和支持领域，推进人工智能科技成果转移转化，孵化培育人工智能创新创业企业。前瞻布局类脑智能新兴产业前沿科学研究与技术开发，研制类脑人工智能功能器件及人机交互、共融设备，大力支持无人驾驶、人脸识别等人工智能企业快速成长。加快建设智能交通、智能家居、智能园区、智能商务等人工智能应用试点示范场景。依托“泉州芯谷”、数字福建（安溪）产业园、智能装备产业园，重点发展存储器、智能机器人、智能制造装备等硬件支撑，大规模推进传统产业智能化改造，打造全国重要的半导体产业特色集聚区和智能轻工装备产业基地。到2025年，人工智能技术创新体系基本完备，创新水平显著提升，引领带动新产业、新业态、新模式、新场景加速涌现，人工智能产业集聚效应显现，建设国内具有重要影响力的新一代人工智能产业集群，人工智能领域技术创新应用能力全国领先。</w:t>
      </w:r>
    </w:p>
    <w:tbl>
      <w:tblPr>
        <w:tblStyle w:val="24"/>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642" w:type="dxa"/>
          </w:tcPr>
          <w:p>
            <w:pPr>
              <w:widowControl/>
              <w:numPr>
                <w:ilvl w:val="0"/>
                <w:numId w:val="1"/>
              </w:numPr>
              <w:spacing w:line="600" w:lineRule="exact"/>
              <w:jc w:val="center"/>
              <w:rPr>
                <w:rFonts w:ascii="Times New Roman" w:hAnsi="Times New Roman" w:eastAsia="仿宋_GB2312" w:cs="Times New Roman"/>
                <w:color w:val="000000"/>
                <w:kern w:val="0"/>
                <w:sz w:val="30"/>
                <w:szCs w:val="30"/>
              </w:rPr>
            </w:pPr>
            <w:r>
              <w:rPr>
                <w:rFonts w:hint="eastAsia" w:ascii="Times New Roman" w:hAnsi="Times New Roman" w:eastAsia="楷体_GB2312" w:cs="Times New Roman"/>
                <w:b/>
                <w:color w:val="000000"/>
                <w:sz w:val="28"/>
                <w:szCs w:val="28"/>
              </w:rPr>
              <w:t>人工智能产业工程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2" w:type="dxa"/>
          </w:tcPr>
          <w:p>
            <w:pPr>
              <w:spacing w:line="600" w:lineRule="exact"/>
              <w:ind w:firstLine="560" w:firstLineChars="200"/>
              <w:contextualSpacing/>
              <w:rPr>
                <w:rFonts w:ascii="Times New Roman" w:hAnsi="Times New Roman" w:eastAsia="华文仿宋" w:cs="Times New Roman"/>
                <w:color w:val="000000"/>
                <w:sz w:val="28"/>
                <w:szCs w:val="28"/>
              </w:rPr>
            </w:pPr>
            <w:r>
              <w:rPr>
                <w:rFonts w:ascii="Times New Roman" w:hAnsi="Times New Roman" w:eastAsia="仿宋_GB2312" w:cs="Times New Roman"/>
                <w:color w:val="000000"/>
                <w:sz w:val="28"/>
                <w:szCs w:val="28"/>
              </w:rPr>
              <w:t>在机器人技术、机器视觉与模式识别、传感器基础器件、机器学习等关键技术和应用领域取得重要突破和显著进展，获得一批标志性科技创新成果，人工智能区域联合攻关取得明显成效。积极推动“奇鹭大数据人工智能公共服务SaaS云平台”落地，到2025年，建成10个以上人工智能协同创新平台、工程（技术）研发中心、重点实验室，集聚100名以上人工智能领军型创新创业人才，形成具有核心竞争力的人工智能高层次人才创新创业集聚区。人工智能技术在纺织服装、鞋业、石油化工、机械装备、建材家居等主导产业、以及在智能制造、智能社会治理等领域率先应用和推广，到2025年形成10个以上深度应用场景，建设15个以上应用示范项目。引进一批人工智能领域龙头企业，培育10家以上本土人工智能创新标杆企业，形成若干具有泉州特色的人工智能创新型产业集群。人工智能核心产业规模突破100亿元，带动相关产业规模超过500亿元。</w:t>
            </w:r>
          </w:p>
        </w:tc>
      </w:tr>
    </w:tbl>
    <w:p>
      <w:pPr>
        <w:spacing w:line="580" w:lineRule="exact"/>
        <w:ind w:firstLine="640" w:firstLineChars="200"/>
        <w:rPr>
          <w:rFonts w:ascii="Times New Roman" w:hAnsi="Times New Roman" w:eastAsia="方正楷体简体" w:cs="Times New Roman"/>
          <w:bCs/>
          <w:color w:val="000000"/>
          <w:sz w:val="32"/>
          <w:szCs w:val="28"/>
        </w:rPr>
      </w:pPr>
      <w:r>
        <w:rPr>
          <w:rFonts w:ascii="Times New Roman" w:hAnsi="Times New Roman" w:eastAsia="方正楷体简体" w:cs="Times New Roman"/>
          <w:bCs/>
          <w:color w:val="000000"/>
          <w:sz w:val="32"/>
          <w:szCs w:val="28"/>
        </w:rPr>
        <w:t>（四）加快发展区块链应用产业</w:t>
      </w:r>
    </w:p>
    <w:p>
      <w:pPr>
        <w:spacing w:line="580" w:lineRule="exact"/>
        <w:ind w:firstLine="640" w:firstLineChars="200"/>
        <w:rPr>
          <w:rFonts w:ascii="Times New Roman" w:hAnsi="Times New Roman" w:eastAsia="仿宋_GB2312" w:cs="Times New Roman"/>
          <w:color w:val="000000"/>
          <w:sz w:val="32"/>
          <w:szCs w:val="28"/>
        </w:rPr>
      </w:pPr>
      <w:r>
        <w:rPr>
          <w:rFonts w:ascii="Times New Roman" w:hAnsi="Times New Roman" w:eastAsia="仿宋_GB2312" w:cs="Times New Roman"/>
          <w:color w:val="000000"/>
          <w:sz w:val="32"/>
          <w:szCs w:val="28"/>
        </w:rPr>
        <w:t>支持社会资本设立区块链产业基金，大力引进区块链底层技术、场景应用、资产数字化、安全监管等领域领军人才，强化区块链基础研究，提升原始创新能力，推动区块链核心技术突破。积极部署区块链服务网络（BSN）泉州城市节点，建设区块链数据中心、应用集聚区或案例中心，支持条件成熟的县（市、区）建设区块链产业园。推动成立区块链行业协会和产业发展联盟，依托各类社会组织力量，培育壮大泉州本土区块链产业生态。重点围绕政务数据汇聚、电子证照、市场监管、民生等4个领域，实施“区块链+”计划，推进“证照链”“数据链”“信用链”“民生链”应用，打造区块链产业集聚区，打造区块链应用标杆城市。</w:t>
      </w:r>
    </w:p>
    <w:tbl>
      <w:tblPr>
        <w:tblStyle w:val="24"/>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642" w:type="dxa"/>
          </w:tcPr>
          <w:p>
            <w:pPr>
              <w:widowControl/>
              <w:numPr>
                <w:ilvl w:val="0"/>
                <w:numId w:val="1"/>
              </w:numPr>
              <w:spacing w:line="600" w:lineRule="exact"/>
              <w:jc w:val="center"/>
              <w:rPr>
                <w:rFonts w:ascii="Times New Roman" w:hAnsi="Times New Roman" w:eastAsia="仿宋_GB2312" w:cs="Times New Roman"/>
                <w:color w:val="000000"/>
                <w:kern w:val="0"/>
                <w:sz w:val="30"/>
                <w:szCs w:val="30"/>
              </w:rPr>
            </w:pPr>
            <w:r>
              <w:rPr>
                <w:rFonts w:hint="eastAsia" w:ascii="Times New Roman" w:hAnsi="Times New Roman" w:eastAsia="楷体_GB2312" w:cs="Times New Roman"/>
                <w:b/>
                <w:color w:val="000000"/>
                <w:sz w:val="28"/>
                <w:szCs w:val="28"/>
              </w:rPr>
              <w:t>区块链应用工程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2" w:type="dxa"/>
          </w:tcPr>
          <w:p>
            <w:pPr>
              <w:spacing w:line="600" w:lineRule="exact"/>
              <w:ind w:firstLine="560" w:firstLineChars="200"/>
              <w:contextualSpacing/>
              <w:rPr>
                <w:rFonts w:ascii="Times New Roman" w:hAnsi="Times New Roman" w:eastAsia="华文仿宋" w:cs="Times New Roman"/>
                <w:color w:val="000000"/>
                <w:sz w:val="28"/>
                <w:szCs w:val="28"/>
              </w:rPr>
            </w:pPr>
            <w:r>
              <w:rPr>
                <w:rFonts w:ascii="Times New Roman" w:hAnsi="Times New Roman" w:eastAsia="仿宋_GB2312" w:cs="Times New Roman"/>
                <w:color w:val="000000"/>
                <w:sz w:val="28"/>
                <w:szCs w:val="28"/>
              </w:rPr>
              <w:t>依托数字福建（安溪）产业园，建设区块链分布式存储技术配套设施，打造区块链应用孵化平台；依托中科院国家授时中心打造区块链泉州时间源，为区块链产业发展应用提供高精度时间戳基础服务。（1）全面打造“链上政务”工程。支持泉州台商投资区开展“区块链+政务服务”公共应用试点；继续推进行政服务中心通过区块链技术搭建证照应用的证照链，深度将区块链与电子证照结合应用；基于区块链技术开展“区块链+征信”应用，打造“信用泉州”。（2）不断拓展行业应用。致力打造安溪区块链产业孵化基地，区块链服务实体产业涵盖了金融、农业、餐饮等“民生链”应用；以中化泉州原油进口业务获批开展区块链应用试点为契机开展“石化链”应用；推动德化“中国陶瓷产业互联网数字平台”建设，打造从瓷土到成品，再到流通的可视溯源平台的“陶瓷链”应用；支持纺织鞋服行业提升供应链管理效率和品牌信任度的“纺织鞋服链”应用；利用区块链技术不断完善和支撑电商诚信体系建设的“电商链”应用；改造和优化茶产业供应链体系的“茶业链”应用等。</w:t>
            </w:r>
          </w:p>
        </w:tc>
      </w:tr>
    </w:tbl>
    <w:p>
      <w:pPr>
        <w:spacing w:line="580" w:lineRule="exact"/>
        <w:ind w:firstLine="640" w:firstLineChars="200"/>
        <w:rPr>
          <w:rFonts w:ascii="Times New Roman" w:hAnsi="Times New Roman" w:eastAsia="方正楷体简体" w:cs="Times New Roman"/>
          <w:bCs/>
          <w:color w:val="000000"/>
          <w:sz w:val="32"/>
          <w:szCs w:val="28"/>
        </w:rPr>
      </w:pPr>
      <w:bookmarkStart w:id="92" w:name="_Toc58310546"/>
      <w:r>
        <w:rPr>
          <w:rFonts w:ascii="Times New Roman" w:hAnsi="Times New Roman" w:eastAsia="方正楷体简体" w:cs="Times New Roman"/>
          <w:bCs/>
          <w:color w:val="000000"/>
          <w:sz w:val="32"/>
          <w:szCs w:val="28"/>
        </w:rPr>
        <w:t>（五）创新发展量子通信新产业</w:t>
      </w:r>
    </w:p>
    <w:p>
      <w:pPr>
        <w:spacing w:line="580" w:lineRule="exact"/>
        <w:ind w:firstLine="640" w:firstLineChars="200"/>
        <w:rPr>
          <w:rFonts w:ascii="Times New Roman" w:hAnsi="Times New Roman" w:eastAsia="仿宋_GB2312" w:cs="Times New Roman"/>
          <w:color w:val="000000"/>
          <w:sz w:val="32"/>
          <w:szCs w:val="28"/>
        </w:rPr>
      </w:pPr>
      <w:r>
        <w:rPr>
          <w:rFonts w:ascii="Times New Roman" w:hAnsi="Times New Roman" w:eastAsia="仿宋_GB2312" w:cs="Times New Roman"/>
          <w:color w:val="000000"/>
          <w:sz w:val="32"/>
          <w:szCs w:val="28"/>
        </w:rPr>
        <w:t>加强量子通信关键创新技术研发，聚焦量子通信基础研究及前沿技术、重大共性关键技术和重点核心元器件，加大人才引进和资金投入，优化量子通信技术产业环境，全力推进高可靠相位编码量子密钥技术在政务领域的使用。创新发展量子通信技术新产业，加快量子通信技术和产业链条布局，开展量子通信试点应用等工作，打造“量子安全平台”。围绕产业链孵化培育大批创新型量子中小企业，形成完善的量子产业生态系统，力争培育一批量子领军企业。推进泉州市量子通信产业发展。</w:t>
      </w:r>
    </w:p>
    <w:p>
      <w:pPr>
        <w:spacing w:line="580" w:lineRule="exact"/>
        <w:ind w:firstLine="640" w:firstLineChars="200"/>
        <w:rPr>
          <w:rFonts w:ascii="Times New Roman" w:hAnsi="Times New Roman" w:eastAsia="方正楷体简体" w:cs="Times New Roman"/>
          <w:bCs/>
          <w:color w:val="000000"/>
          <w:sz w:val="32"/>
          <w:szCs w:val="28"/>
        </w:rPr>
      </w:pPr>
      <w:r>
        <w:rPr>
          <w:rFonts w:ascii="Times New Roman" w:hAnsi="Times New Roman" w:eastAsia="方正楷体简体" w:cs="Times New Roman"/>
          <w:bCs/>
          <w:color w:val="000000"/>
          <w:sz w:val="32"/>
          <w:szCs w:val="28"/>
        </w:rPr>
        <w:t>（六）创新发展虚拟技术新产业</w:t>
      </w:r>
    </w:p>
    <w:p>
      <w:pPr>
        <w:spacing w:line="580" w:lineRule="exact"/>
        <w:ind w:firstLine="640" w:firstLineChars="200"/>
        <w:rPr>
          <w:rFonts w:ascii="Times New Roman" w:hAnsi="Times New Roman" w:eastAsia="仿宋_GB2312" w:cs="Times New Roman"/>
          <w:color w:val="000000"/>
          <w:sz w:val="32"/>
          <w:szCs w:val="28"/>
        </w:rPr>
      </w:pPr>
      <w:r>
        <w:rPr>
          <w:rFonts w:ascii="Times New Roman" w:hAnsi="Times New Roman" w:eastAsia="仿宋_GB2312" w:cs="Times New Roman"/>
          <w:color w:val="000000"/>
          <w:sz w:val="32"/>
          <w:szCs w:val="28"/>
        </w:rPr>
        <w:t>发挥虚拟现实（VR）、增强现实（AR）、人机交互、第五代移动通信（5G）等数字技术对内容创作、产品研发、模式创新的深度渗透和核心支撑作用。提升工业设计服务水平，加强新技术、新工艺、新材料应用，支持面向制造业设计需求，搭建网络化的设计协同平台，开展众创、众包、众设等模式的应用推广，强化工业设计对电子信息、家电、服装、玩具等产业发展的支撑。</w:t>
      </w:r>
    </w:p>
    <w:p>
      <w:pPr>
        <w:spacing w:line="580" w:lineRule="exact"/>
        <w:ind w:firstLine="640" w:firstLineChars="200"/>
        <w:rPr>
          <w:rFonts w:ascii="Times New Roman" w:hAnsi="Times New Roman" w:eastAsia="黑体" w:cs="Times New Roman"/>
          <w:color w:val="000000"/>
          <w:kern w:val="0"/>
          <w:sz w:val="32"/>
          <w:szCs w:val="30"/>
          <w:lang w:val="zh-CN"/>
        </w:rPr>
      </w:pPr>
      <w:bookmarkStart w:id="93" w:name="_Toc154"/>
      <w:bookmarkStart w:id="94" w:name="_Toc8309"/>
      <w:bookmarkStart w:id="95" w:name="_Toc254663121"/>
      <w:bookmarkStart w:id="96" w:name="_Toc27503"/>
      <w:bookmarkStart w:id="97" w:name="_Toc16139"/>
      <w:bookmarkStart w:id="98" w:name="_Toc2268"/>
      <w:bookmarkStart w:id="99" w:name="_Toc3145"/>
      <w:bookmarkStart w:id="100" w:name="_Toc81425755"/>
      <w:bookmarkStart w:id="101" w:name="_Toc14009"/>
      <w:bookmarkStart w:id="102" w:name="_Toc22265"/>
      <w:bookmarkStart w:id="103" w:name="_Toc2095"/>
      <w:bookmarkStart w:id="104" w:name="_Toc86954669"/>
      <w:bookmarkStart w:id="105" w:name="_Toc16795"/>
      <w:bookmarkStart w:id="106" w:name="_Toc1820960008"/>
      <w:bookmarkStart w:id="107" w:name="_Toc459690429"/>
      <w:bookmarkStart w:id="108" w:name="_Toc19028"/>
      <w:bookmarkStart w:id="109" w:name="_Toc880"/>
      <w:bookmarkStart w:id="110" w:name="_Toc915069911"/>
      <w:r>
        <w:rPr>
          <w:rFonts w:ascii="Times New Roman" w:hAnsi="Times New Roman" w:eastAsia="黑体" w:cs="Times New Roman"/>
          <w:color w:val="000000"/>
          <w:kern w:val="0"/>
          <w:sz w:val="32"/>
          <w:szCs w:val="30"/>
          <w:lang w:val="zh-CN"/>
        </w:rPr>
        <w:t>二、加快发展数字经济的新业态新模式</w:t>
      </w:r>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pPr>
        <w:spacing w:line="580" w:lineRule="exact"/>
        <w:ind w:firstLine="640" w:firstLineChars="200"/>
        <w:rPr>
          <w:rFonts w:ascii="Times New Roman" w:hAnsi="Times New Roman" w:eastAsia="方正楷体简体" w:cs="Times New Roman"/>
          <w:bCs/>
          <w:color w:val="000000"/>
          <w:sz w:val="32"/>
          <w:szCs w:val="28"/>
        </w:rPr>
      </w:pPr>
      <w:r>
        <w:rPr>
          <w:rFonts w:ascii="Times New Roman" w:hAnsi="Times New Roman" w:eastAsia="方正楷体简体" w:cs="Times New Roman"/>
          <w:bCs/>
          <w:color w:val="000000"/>
          <w:sz w:val="32"/>
          <w:szCs w:val="28"/>
        </w:rPr>
        <w:t>（一）大力发展平台经济新模式</w:t>
      </w:r>
    </w:p>
    <w:p>
      <w:pPr>
        <w:spacing w:line="580" w:lineRule="exact"/>
        <w:ind w:firstLine="640" w:firstLineChars="200"/>
        <w:rPr>
          <w:rFonts w:ascii="Times New Roman" w:hAnsi="Times New Roman" w:eastAsia="仿宋_GB2312" w:cs="Times New Roman"/>
          <w:color w:val="000000"/>
          <w:sz w:val="32"/>
          <w:szCs w:val="28"/>
        </w:rPr>
      </w:pPr>
      <w:r>
        <w:rPr>
          <w:rFonts w:ascii="Times New Roman" w:hAnsi="Times New Roman" w:eastAsia="仿宋_GB2312" w:cs="Times New Roman"/>
          <w:color w:val="000000"/>
          <w:sz w:val="32"/>
          <w:szCs w:val="28"/>
        </w:rPr>
        <w:t>大力引进重大平台，加大培育本土大型数字经济平台、行业特色平台，不断推动提升数字经济辐射力。启动实施泉州市平台经济“五十百千”行动，围绕打造全国知名工业互联网应用示范城市，积极创建省级工业互联网示范平台；持续创建国家电子商务示范城市，加大综合性电商平台的引进力度，做大做强电商物流平台；围绕建设海丝文化休闲旅游目的地，立足“后申遗”时代，创新打造文创文旅平台；通过“互联网+”整合资源，积极培育新兴细分互联网平台；夯实做强基础资源平台等5个重点领域，聚焦纺织服装、鞋业、建材家居、机械装备、食品饮料、工艺制品、纸业印刷、商贸、物流、文旅等10个主要行业，筛选培育扶持100个具有行业性、区域性影响力的平台，每年新增1000家以上企业“上云上平台”，交易额超百亿平台12个以上，加快形成“一行业一数据、一数据一平台、一平台一龙头”的发展格局。</w:t>
      </w:r>
    </w:p>
    <w:tbl>
      <w:tblPr>
        <w:tblStyle w:val="24"/>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642" w:type="dxa"/>
          </w:tcPr>
          <w:p>
            <w:pPr>
              <w:widowControl/>
              <w:numPr>
                <w:ilvl w:val="0"/>
                <w:numId w:val="1"/>
              </w:numPr>
              <w:spacing w:line="600" w:lineRule="exact"/>
              <w:jc w:val="center"/>
              <w:rPr>
                <w:rFonts w:ascii="Times New Roman" w:hAnsi="Times New Roman" w:eastAsia="仿宋_GB2312" w:cs="Times New Roman"/>
                <w:color w:val="000000"/>
                <w:kern w:val="0"/>
                <w:sz w:val="30"/>
                <w:szCs w:val="30"/>
              </w:rPr>
            </w:pPr>
            <w:r>
              <w:rPr>
                <w:rFonts w:hint="eastAsia" w:ascii="Times New Roman" w:hAnsi="Times New Roman" w:eastAsia="楷体_GB2312" w:cs="Times New Roman"/>
                <w:b/>
                <w:color w:val="000000"/>
                <w:sz w:val="28"/>
                <w:szCs w:val="28"/>
              </w:rPr>
              <w:t>平台经济建设工程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2" w:type="dxa"/>
          </w:tcPr>
          <w:p>
            <w:pPr>
              <w:spacing w:line="600" w:lineRule="exact"/>
              <w:ind w:firstLine="560" w:firstLineChars="200"/>
              <w:contextualSpacing/>
              <w:rPr>
                <w:rFonts w:ascii="Times New Roman" w:hAnsi="Times New Roman" w:eastAsia="仿宋_GB2312" w:cs="Times New Roman"/>
                <w:color w:val="000000"/>
                <w:sz w:val="28"/>
                <w:szCs w:val="28"/>
              </w:rPr>
            </w:pPr>
            <w:r>
              <w:rPr>
                <w:rFonts w:ascii="Times New Roman" w:hAnsi="Times New Roman" w:eastAsia="仿宋_GB2312" w:cs="Times New Roman"/>
                <w:b/>
                <w:color w:val="000000"/>
                <w:sz w:val="28"/>
                <w:szCs w:val="28"/>
              </w:rPr>
              <w:t>加快建设工业互联网平台</w:t>
            </w:r>
            <w:r>
              <w:rPr>
                <w:rFonts w:ascii="Times New Roman" w:hAnsi="Times New Roman" w:eastAsia="仿宋_GB2312" w:cs="Times New Roman"/>
                <w:color w:val="000000"/>
                <w:sz w:val="28"/>
                <w:szCs w:val="28"/>
              </w:rPr>
              <w:t>：重点培育SAP、华为、万物智联等工业互联网平台，推进本地特色产业集群数字化、网络化、智能化改造升级。大力开展企业数字化技术改造，力争每年推广应用100条（个）以上数字化、智能化生产线或应用场景。支持中小企业通过购买服务、租用系统，应用成熟的设计、管理、仓储、供销等云服务，支持企业“上云上平台”。</w:t>
            </w:r>
          </w:p>
          <w:p>
            <w:pPr>
              <w:spacing w:line="600" w:lineRule="exact"/>
              <w:ind w:firstLine="560" w:firstLineChars="200"/>
              <w:contextualSpacing/>
              <w:rPr>
                <w:rFonts w:ascii="Times New Roman" w:hAnsi="Times New Roman" w:eastAsia="仿宋_GB2312" w:cs="Times New Roman"/>
                <w:color w:val="000000"/>
                <w:sz w:val="28"/>
                <w:szCs w:val="28"/>
              </w:rPr>
            </w:pPr>
            <w:r>
              <w:rPr>
                <w:rFonts w:ascii="Times New Roman" w:hAnsi="Times New Roman" w:eastAsia="仿宋_GB2312" w:cs="Times New Roman"/>
                <w:b/>
                <w:color w:val="000000"/>
                <w:sz w:val="28"/>
                <w:szCs w:val="28"/>
              </w:rPr>
              <w:t>做大做强电商物流平台</w:t>
            </w:r>
            <w:r>
              <w:rPr>
                <w:rFonts w:ascii="Times New Roman" w:hAnsi="Times New Roman" w:eastAsia="仿宋_GB2312" w:cs="Times New Roman"/>
                <w:color w:val="000000"/>
                <w:sz w:val="28"/>
                <w:szCs w:val="28"/>
              </w:rPr>
              <w:t>：扶持海峡石化交易中心、青创网等一批区域性垂直电商平台发展，培育本地电子商务产业集群。重点吸引国际100强或国内50强电商企业到泉州设立全国性或区域总部。扶持天地汇、龙易配等网络货运平台发展，重点培育晋江陆地港等物流专业服务平台，培育网络货运行业营业额超百亿平台3个以上。</w:t>
            </w:r>
          </w:p>
          <w:p>
            <w:pPr>
              <w:spacing w:line="600" w:lineRule="exact"/>
              <w:ind w:firstLine="560" w:firstLineChars="200"/>
              <w:contextualSpacing/>
              <w:rPr>
                <w:rFonts w:ascii="Times New Roman" w:hAnsi="Times New Roman" w:eastAsia="仿宋_GB2312" w:cs="Times New Roman"/>
                <w:color w:val="000000"/>
                <w:sz w:val="28"/>
                <w:szCs w:val="28"/>
              </w:rPr>
            </w:pPr>
            <w:r>
              <w:rPr>
                <w:rFonts w:ascii="Times New Roman" w:hAnsi="Times New Roman" w:eastAsia="仿宋_GB2312" w:cs="Times New Roman"/>
                <w:b/>
                <w:color w:val="000000"/>
                <w:sz w:val="28"/>
                <w:szCs w:val="28"/>
              </w:rPr>
              <w:t>创新打造文创文旅平台</w:t>
            </w:r>
            <w:r>
              <w:rPr>
                <w:rFonts w:ascii="Times New Roman" w:hAnsi="Times New Roman" w:eastAsia="仿宋_GB2312" w:cs="Times New Roman"/>
                <w:color w:val="000000"/>
                <w:sz w:val="28"/>
                <w:szCs w:val="28"/>
              </w:rPr>
              <w:t>：推动泉州深厚历史文化积淀与互联网深度融合，建好用好神旅APP、泉州智慧旅游云、泉州文化云等文化旅游平台。打造具有行业影响力的文旅服务平台3个以上。</w:t>
            </w:r>
          </w:p>
          <w:p>
            <w:pPr>
              <w:spacing w:line="600" w:lineRule="exact"/>
              <w:ind w:firstLine="560" w:firstLineChars="200"/>
              <w:contextualSpacing/>
              <w:rPr>
                <w:rFonts w:ascii="Times New Roman" w:hAnsi="Times New Roman" w:eastAsia="华文仿宋" w:cs="Times New Roman"/>
                <w:color w:val="000000"/>
                <w:sz w:val="28"/>
                <w:szCs w:val="28"/>
              </w:rPr>
            </w:pPr>
            <w:r>
              <w:rPr>
                <w:rFonts w:ascii="Times New Roman" w:hAnsi="Times New Roman" w:eastAsia="仿宋_GB2312" w:cs="Times New Roman"/>
                <w:b/>
                <w:color w:val="000000"/>
                <w:sz w:val="28"/>
                <w:szCs w:val="28"/>
              </w:rPr>
              <w:t>积极培育新兴细分互联网平台</w:t>
            </w:r>
            <w:r>
              <w:rPr>
                <w:rFonts w:ascii="Times New Roman" w:hAnsi="Times New Roman" w:eastAsia="仿宋_GB2312" w:cs="Times New Roman"/>
                <w:color w:val="000000"/>
                <w:sz w:val="28"/>
                <w:szCs w:val="28"/>
              </w:rPr>
              <w:t>：全面推进信用信息服务产业发展，推广银行业机构线上供应链金融产品，支持泉州小微企业金融服务平台做大做强，打造具有行业影响力的金融服务平台2个以上。积极培育面向生活需求的细分服务平台，打造多样化、本地化新兴消费业态，打造具有区域影响力的生活服务类平台3个以上。深入推进“互联网+”创业创新，支持有条件的18家科研平台及众创空间、孵化器通过“互联网+”整合资源，优化服务模式，培育具有网络辐射能力的平台5个以上。</w:t>
            </w:r>
          </w:p>
        </w:tc>
      </w:tr>
    </w:tbl>
    <w:p>
      <w:pPr>
        <w:spacing w:line="580" w:lineRule="exact"/>
        <w:ind w:firstLine="640" w:firstLineChars="200"/>
        <w:rPr>
          <w:rFonts w:ascii="Times New Roman" w:hAnsi="Times New Roman" w:eastAsia="方正楷体简体" w:cs="Times New Roman"/>
          <w:bCs/>
          <w:color w:val="000000"/>
          <w:sz w:val="32"/>
          <w:szCs w:val="28"/>
        </w:rPr>
      </w:pPr>
      <w:bookmarkStart w:id="111" w:name="_Toc58310547"/>
      <w:r>
        <w:rPr>
          <w:rFonts w:ascii="Times New Roman" w:hAnsi="Times New Roman" w:eastAsia="方正楷体简体" w:cs="Times New Roman"/>
          <w:bCs/>
          <w:color w:val="000000"/>
          <w:sz w:val="32"/>
          <w:szCs w:val="28"/>
        </w:rPr>
        <w:t>（二）加快发展线上经济新模式</w:t>
      </w:r>
    </w:p>
    <w:p>
      <w:pPr>
        <w:spacing w:line="580" w:lineRule="exact"/>
        <w:ind w:firstLine="640" w:firstLineChars="200"/>
        <w:rPr>
          <w:rFonts w:ascii="Times New Roman" w:hAnsi="Times New Roman" w:eastAsia="仿宋_GB2312" w:cs="Times New Roman"/>
          <w:color w:val="000000"/>
          <w:sz w:val="32"/>
          <w:szCs w:val="28"/>
        </w:rPr>
      </w:pPr>
      <w:r>
        <w:rPr>
          <w:rFonts w:ascii="Times New Roman" w:hAnsi="Times New Roman" w:eastAsia="仿宋_GB2312" w:cs="Times New Roman"/>
          <w:color w:val="000000"/>
          <w:sz w:val="32"/>
          <w:szCs w:val="28"/>
        </w:rPr>
        <w:t>加快发展线上经济，鼓励各类“直播带货”模式，培育发展一批产业带直播基地。大力发展在线定制化设计，建立数字化设计与虚拟仿真系统。鼓励企业发展无边界协同、全场景协作的远程办公新模式。加强校企合作，全面推广“互联网+职业技能培训”。推动各类专业化会展线上线下融合发展，推进智能化会展场馆建设。借助新一代信息技术和“新基建”优化传统劳动力，发展“无接触”“宅生活”“云消费”“无人经济”，打造具有较大国内影响力、区域强带动力的线上经济发展高地。</w:t>
      </w:r>
    </w:p>
    <w:tbl>
      <w:tblPr>
        <w:tblStyle w:val="24"/>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642" w:type="dxa"/>
          </w:tcPr>
          <w:p>
            <w:pPr>
              <w:widowControl/>
              <w:numPr>
                <w:ilvl w:val="0"/>
                <w:numId w:val="1"/>
              </w:numPr>
              <w:spacing w:line="600" w:lineRule="exact"/>
              <w:jc w:val="center"/>
              <w:rPr>
                <w:rFonts w:ascii="Times New Roman" w:hAnsi="Times New Roman" w:eastAsia="仿宋_GB2312" w:cs="Times New Roman"/>
                <w:color w:val="000000"/>
                <w:kern w:val="0"/>
                <w:sz w:val="30"/>
                <w:szCs w:val="30"/>
              </w:rPr>
            </w:pPr>
            <w:r>
              <w:rPr>
                <w:rFonts w:hint="eastAsia" w:ascii="Times New Roman" w:hAnsi="Times New Roman" w:eastAsia="楷体_GB2312" w:cs="Times New Roman"/>
                <w:b/>
                <w:color w:val="000000"/>
                <w:sz w:val="28"/>
                <w:szCs w:val="28"/>
              </w:rPr>
              <w:t>线上经济建设工程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2" w:type="dxa"/>
          </w:tcPr>
          <w:p>
            <w:pPr>
              <w:spacing w:line="600" w:lineRule="exact"/>
              <w:ind w:firstLine="560" w:firstLineChars="200"/>
              <w:contextualSpacing/>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加快推进直播电商与纺织鞋服、家居建材、休闲食品、陶瓷、茶叶等我市特色优势产业融合发展，构建与淘宝、拼多多、抖音等国内顶尖直播平台共同发展的生态产业。深入推进“一十百千万”发展计划（打造一个网红城市、十个直播基地、百个网红直播机构、千家供货商、万个直播商铺），加快线上线下深度融合，着力打造千亿规模电商区域中心。积极推动领SHOW天地“短视频+直播”基地，打造泉州短视频、直播基地完整闭环的产业链条。构建10个年带货量超亿元直播电商产业基地，培育及引进100家年带货量超千万直播机构和网红品牌。</w:t>
            </w:r>
          </w:p>
          <w:p>
            <w:pPr>
              <w:spacing w:line="600" w:lineRule="exact"/>
              <w:ind w:firstLine="560" w:firstLineChars="200"/>
              <w:contextualSpacing/>
              <w:rPr>
                <w:rFonts w:ascii="Times New Roman" w:hAnsi="Times New Roman" w:eastAsia="华文仿宋" w:cs="Times New Roman"/>
                <w:color w:val="000000"/>
                <w:sz w:val="28"/>
                <w:szCs w:val="28"/>
              </w:rPr>
            </w:pPr>
            <w:r>
              <w:rPr>
                <w:rFonts w:ascii="Times New Roman" w:hAnsi="Times New Roman" w:eastAsia="仿宋_GB2312" w:cs="Times New Roman"/>
                <w:color w:val="000000"/>
                <w:sz w:val="28"/>
                <w:szCs w:val="28"/>
              </w:rPr>
              <w:t>支持开展各类众创、众智、众包、众设的线上创作活动，推动在线技术服务平台建设。鼓励企业发展远程办公新模式，加快5G技术应用，持续优化用户体验，提高远程办公效率。引导更多职业培训从线下走到线上。大力发展数字会展，提升会展场馆、服务智能化水平，打造永不落幕的网上、掌上会展平台，推动会展对数据资源价值的深度挖掘，实现商业模式升级。</w:t>
            </w:r>
          </w:p>
        </w:tc>
      </w:tr>
      <w:bookmarkEnd w:id="111"/>
    </w:tbl>
    <w:p>
      <w:pPr>
        <w:keepNext/>
        <w:keepLines/>
        <w:spacing w:before="260" w:after="260" w:line="596" w:lineRule="exact"/>
        <w:jc w:val="center"/>
        <w:outlineLvl w:val="1"/>
        <w:rPr>
          <w:rFonts w:ascii="Times New Roman" w:hAnsi="Times New Roman" w:eastAsia="方正黑体简体" w:cs="Times New Roman"/>
          <w:bCs/>
          <w:color w:val="000000"/>
          <w:sz w:val="32"/>
          <w:szCs w:val="32"/>
        </w:rPr>
      </w:pPr>
      <w:bookmarkStart w:id="112" w:name="_Toc31822"/>
      <w:bookmarkStart w:id="113" w:name="_Toc15590"/>
      <w:bookmarkStart w:id="114" w:name="_Toc527686595"/>
      <w:bookmarkStart w:id="115" w:name="_Toc23134"/>
      <w:bookmarkStart w:id="116" w:name="_Toc15925"/>
      <w:bookmarkStart w:id="117" w:name="_Toc29170"/>
      <w:bookmarkStart w:id="118" w:name="_Toc11661"/>
      <w:bookmarkStart w:id="119" w:name="_Toc24422"/>
      <w:bookmarkStart w:id="120" w:name="_Toc21383"/>
      <w:bookmarkStart w:id="121" w:name="_Toc32232"/>
      <w:bookmarkStart w:id="122" w:name="_Toc427686502"/>
      <w:bookmarkStart w:id="123" w:name="_Toc86954670"/>
      <w:bookmarkStart w:id="124" w:name="_Toc14894"/>
      <w:bookmarkStart w:id="125" w:name="_Toc22400"/>
      <w:bookmarkStart w:id="126" w:name="_Toc1570745891"/>
      <w:bookmarkStart w:id="127" w:name="_Toc9591"/>
      <w:bookmarkStart w:id="128" w:name="_Toc94308413"/>
      <w:bookmarkStart w:id="129" w:name="_Toc1662864788"/>
      <w:bookmarkStart w:id="130" w:name="_Toc81425756"/>
      <w:r>
        <w:rPr>
          <w:rFonts w:ascii="Times New Roman" w:hAnsi="Times New Roman" w:eastAsia="方正黑体简体" w:cs="Times New Roman"/>
          <w:bCs/>
          <w:color w:val="000000"/>
          <w:sz w:val="32"/>
          <w:szCs w:val="32"/>
        </w:rPr>
        <w:t>第二节 转型升级产业数字化，打造数字经济新引擎</w:t>
      </w:r>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p>
    <w:p>
      <w:pPr>
        <w:spacing w:line="580" w:lineRule="exact"/>
        <w:ind w:firstLine="640" w:firstLineChars="200"/>
        <w:rPr>
          <w:rFonts w:ascii="Times New Roman" w:hAnsi="Times New Roman" w:eastAsia="仿宋_GB2312" w:cs="Times New Roman"/>
          <w:color w:val="000000"/>
          <w:sz w:val="32"/>
          <w:szCs w:val="28"/>
        </w:rPr>
      </w:pPr>
      <w:bookmarkStart w:id="131" w:name="_Toc1266812958"/>
      <w:bookmarkStart w:id="132" w:name="_Toc237669184"/>
      <w:bookmarkStart w:id="133" w:name="_Toc1017520457"/>
      <w:bookmarkStart w:id="134" w:name="_Toc86954671"/>
      <w:bookmarkStart w:id="135" w:name="_Toc28991"/>
      <w:bookmarkStart w:id="136" w:name="_Toc58310548"/>
      <w:bookmarkStart w:id="137" w:name="_Toc20126"/>
      <w:bookmarkStart w:id="138" w:name="_Toc8912"/>
      <w:bookmarkStart w:id="139" w:name="_Toc21804"/>
      <w:bookmarkStart w:id="140" w:name="_Toc29168"/>
      <w:bookmarkStart w:id="141" w:name="_Toc27232"/>
      <w:bookmarkStart w:id="142" w:name="_Toc1495"/>
      <w:bookmarkStart w:id="143" w:name="_Toc81425757"/>
      <w:bookmarkStart w:id="144" w:name="_Toc4806"/>
      <w:bookmarkStart w:id="145" w:name="_Toc18059"/>
      <w:bookmarkStart w:id="146" w:name="_Toc1742218117"/>
      <w:bookmarkStart w:id="147" w:name="_Toc18280"/>
      <w:bookmarkStart w:id="148" w:name="_Toc8439"/>
      <w:bookmarkStart w:id="149" w:name="_Toc11079"/>
      <w:r>
        <w:rPr>
          <w:rFonts w:ascii="Times New Roman" w:hAnsi="Times New Roman" w:eastAsia="仿宋_GB2312" w:cs="Times New Roman"/>
          <w:color w:val="000000"/>
          <w:sz w:val="32"/>
          <w:szCs w:val="28"/>
        </w:rPr>
        <w:t>大力推进产业数字化转型，建设一批产业公共服务平台，深化重点产业数字化转型，立足不同产业特点和差异化需求，推动传统产业全方位、全链条数字化转型。纵深推进工业数字化转型，大力提升农业数字化水平，全面加快商贸、物流、金融等服务业数字化转型。推动产业园区和产业集群数字化转型。</w:t>
      </w:r>
    </w:p>
    <w:p>
      <w:pPr>
        <w:spacing w:line="580" w:lineRule="exact"/>
        <w:ind w:firstLine="640" w:firstLineChars="200"/>
        <w:rPr>
          <w:rFonts w:ascii="Times New Roman" w:hAnsi="Times New Roman" w:eastAsia="黑体" w:cs="Times New Roman"/>
          <w:color w:val="000000"/>
          <w:kern w:val="0"/>
          <w:sz w:val="32"/>
          <w:szCs w:val="30"/>
          <w:lang w:val="zh-CN"/>
        </w:rPr>
      </w:pPr>
      <w:r>
        <w:rPr>
          <w:rFonts w:ascii="Times New Roman" w:hAnsi="Times New Roman" w:eastAsia="黑体" w:cs="Times New Roman"/>
          <w:color w:val="000000"/>
          <w:kern w:val="0"/>
          <w:sz w:val="32"/>
          <w:szCs w:val="30"/>
          <w:lang w:val="zh-CN"/>
        </w:rPr>
        <w:t>一、提升工业数字化赋能</w:t>
      </w:r>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pPr>
        <w:spacing w:line="580" w:lineRule="exact"/>
        <w:ind w:firstLine="640" w:firstLineChars="200"/>
        <w:rPr>
          <w:rFonts w:ascii="Times New Roman" w:hAnsi="Times New Roman" w:eastAsia="方正楷体简体" w:cs="Times New Roman"/>
          <w:bCs/>
          <w:color w:val="000000"/>
          <w:sz w:val="32"/>
          <w:szCs w:val="28"/>
        </w:rPr>
      </w:pPr>
      <w:r>
        <w:rPr>
          <w:rFonts w:ascii="Times New Roman" w:hAnsi="Times New Roman" w:eastAsia="方正楷体简体" w:cs="Times New Roman"/>
          <w:bCs/>
          <w:color w:val="000000"/>
          <w:sz w:val="32"/>
          <w:szCs w:val="28"/>
        </w:rPr>
        <w:t>（一）加快两化深度融合促进转型升级</w:t>
      </w:r>
    </w:p>
    <w:p>
      <w:pPr>
        <w:spacing w:line="580" w:lineRule="exact"/>
        <w:ind w:firstLine="640" w:firstLineChars="200"/>
        <w:rPr>
          <w:rFonts w:ascii="Times New Roman" w:hAnsi="Times New Roman" w:eastAsia="仿宋_GB2312" w:cs="Times New Roman"/>
          <w:color w:val="000000"/>
          <w:sz w:val="32"/>
          <w:szCs w:val="28"/>
        </w:rPr>
      </w:pPr>
      <w:r>
        <w:rPr>
          <w:rFonts w:ascii="Times New Roman" w:hAnsi="Times New Roman" w:eastAsia="仿宋_GB2312" w:cs="Times New Roman"/>
          <w:b/>
          <w:color w:val="000000"/>
          <w:sz w:val="32"/>
          <w:szCs w:val="28"/>
        </w:rPr>
        <w:t>推动工业云平台建设，开展工业大数据应用。</w:t>
      </w:r>
      <w:r>
        <w:rPr>
          <w:rFonts w:ascii="Times New Roman" w:hAnsi="Times New Roman" w:eastAsia="仿宋_GB2312" w:cs="Times New Roman"/>
          <w:color w:val="000000"/>
          <w:sz w:val="32"/>
          <w:szCs w:val="28"/>
        </w:rPr>
        <w:t>积极推动各行业龙头企业输出行业技术标准，建设企业级工业互联网平台，带动企业上下游合作伙伴上云。努力打造一批工业互联网示范平台，支持行业协会牵头打造“产业云”，积极实施“泉企上云”工程，支持鼓励企业开展“设备和流程上云”，到2025年，推动7500家企业上云，工业互联网应用领域进入全国领先行列。推动共性工业APP、行业通用工业APP和企业专用工业APP等向工业云平台汇聚。积极开展工业大数据应用，形成全产业链的大数据产品和服务供应体系，形成一批工业大数据解决方案。大力发展基于工业大数据分析的工艺提升、智能安排生产、过程控制优化、能耗优化等智能决策与控制应用。</w:t>
      </w:r>
    </w:p>
    <w:p>
      <w:pPr>
        <w:spacing w:line="580" w:lineRule="exact"/>
        <w:ind w:firstLine="640" w:firstLineChars="200"/>
        <w:rPr>
          <w:rFonts w:ascii="Times New Roman" w:hAnsi="Times New Roman" w:eastAsia="仿宋_GB2312" w:cs="Times New Roman"/>
          <w:color w:val="000000"/>
          <w:sz w:val="32"/>
          <w:szCs w:val="28"/>
        </w:rPr>
      </w:pPr>
      <w:r>
        <w:rPr>
          <w:rFonts w:ascii="Times New Roman" w:hAnsi="Times New Roman" w:eastAsia="仿宋_GB2312" w:cs="Times New Roman"/>
          <w:b/>
          <w:color w:val="000000"/>
          <w:sz w:val="32"/>
          <w:szCs w:val="28"/>
        </w:rPr>
        <w:t>抓好两化融合项目建设，实现企业产品赋能。</w:t>
      </w:r>
      <w:r>
        <w:rPr>
          <w:rFonts w:ascii="Times New Roman" w:hAnsi="Times New Roman" w:eastAsia="仿宋_GB2312" w:cs="Times New Roman"/>
          <w:color w:val="000000"/>
          <w:sz w:val="32"/>
          <w:szCs w:val="28"/>
        </w:rPr>
        <w:t>支持数字化生产线打造，加快一批智能制造示范性项目建设。引进、培养一批创新能力强、品牌知名度高、产值规模大的领军企业，围绕工业产品研发设计、生产过程控制、企业技术改造等环节加大数字技术应用，促进信息化和工业化深度融合。打造一批示范企业，在基础条件好、需求迫切的重点地区、行业和企业中，分类实施流程制造、离散制造、智能装备和产品、新业态新模式、智能化管理、智能化服务等试点示范及应用推广。制定重点行业领域数字化转型路线图，分行业、分能力、分阶段推进数字化转型标准体系贯标，全面推广两化融合管理体系。</w:t>
      </w:r>
    </w:p>
    <w:p>
      <w:pPr>
        <w:spacing w:line="580" w:lineRule="exact"/>
        <w:ind w:firstLine="640" w:firstLineChars="200"/>
        <w:rPr>
          <w:rFonts w:ascii="Times New Roman" w:hAnsi="Times New Roman" w:eastAsia="仿宋_GB2312" w:cs="Times New Roman"/>
          <w:color w:val="000000"/>
          <w:sz w:val="32"/>
          <w:szCs w:val="28"/>
        </w:rPr>
      </w:pPr>
      <w:r>
        <w:rPr>
          <w:rFonts w:ascii="Times New Roman" w:hAnsi="Times New Roman" w:eastAsia="仿宋_GB2312" w:cs="Times New Roman"/>
          <w:b/>
          <w:color w:val="000000"/>
          <w:sz w:val="32"/>
          <w:szCs w:val="28"/>
        </w:rPr>
        <w:t>加快工业互联网项目建设，实现企业管理赋能。</w:t>
      </w:r>
      <w:r>
        <w:rPr>
          <w:rFonts w:ascii="Times New Roman" w:hAnsi="Times New Roman" w:eastAsia="仿宋_GB2312" w:cs="Times New Roman"/>
          <w:color w:val="000000"/>
          <w:sz w:val="32"/>
          <w:szCs w:val="28"/>
        </w:rPr>
        <w:t>开展管理赋能，建设一批服务于数控和智能制造的产业园区和基地，引进建设一批公共技术服务平台和新型科研机构。实施融合发展系统解决方案能力提升工程，突破系统集成技术瓶颈，面向重点行业组织开展行业系统解决方案应用试点示范，为中小企业提供标准化、专业化的系统解决方案。</w:t>
      </w:r>
    </w:p>
    <w:p>
      <w:pPr>
        <w:spacing w:line="580" w:lineRule="exact"/>
        <w:ind w:firstLine="640" w:firstLineChars="200"/>
        <w:rPr>
          <w:rFonts w:ascii="Times New Roman" w:hAnsi="Times New Roman" w:eastAsia="方正楷体简体" w:cs="Times New Roman"/>
          <w:bCs/>
          <w:color w:val="000000"/>
          <w:sz w:val="32"/>
          <w:szCs w:val="28"/>
        </w:rPr>
      </w:pPr>
      <w:r>
        <w:rPr>
          <w:rFonts w:ascii="Times New Roman" w:hAnsi="Times New Roman" w:eastAsia="方正楷体简体" w:cs="Times New Roman"/>
          <w:bCs/>
          <w:color w:val="000000"/>
          <w:sz w:val="32"/>
          <w:szCs w:val="28"/>
        </w:rPr>
        <w:t>（二）实施智能化改造促进制造业升级</w:t>
      </w:r>
    </w:p>
    <w:p>
      <w:pPr>
        <w:spacing w:line="580" w:lineRule="exact"/>
        <w:ind w:firstLine="640" w:firstLineChars="200"/>
        <w:rPr>
          <w:rFonts w:ascii="Times New Roman" w:hAnsi="Times New Roman" w:eastAsia="仿宋_GB2312" w:cs="Times New Roman"/>
          <w:color w:val="000000"/>
          <w:sz w:val="32"/>
          <w:szCs w:val="28"/>
        </w:rPr>
      </w:pPr>
      <w:r>
        <w:rPr>
          <w:rFonts w:ascii="Times New Roman" w:hAnsi="Times New Roman" w:eastAsia="仿宋_GB2312" w:cs="Times New Roman"/>
          <w:b/>
          <w:color w:val="000000"/>
          <w:sz w:val="32"/>
          <w:szCs w:val="28"/>
        </w:rPr>
        <w:t>推动制造业由“数控一代”向“智能一代”方向发展。</w:t>
      </w:r>
      <w:r>
        <w:rPr>
          <w:rFonts w:ascii="Times New Roman" w:hAnsi="Times New Roman" w:eastAsia="仿宋_GB2312" w:cs="Times New Roman"/>
          <w:color w:val="000000"/>
          <w:sz w:val="32"/>
          <w:szCs w:val="28"/>
        </w:rPr>
        <w:t>进一步推动“数控一代”扩面提质，大力推进“机器换工”专项行动和智能化改造提升工程，全面提升制造装备的数控化率，并把实施示范工程的重点行业领域由原来的纺织鞋服、建材家居、数控机床和机器人三大领域扩大到工程机械、食品包装、纸业印刷和工艺品制造等主要产业领域。先进装备制造业突出高端化智能化发展，壮大高端装备产业，提升关键基础零部件配套能力。加快推进数字化运营平台建设，大幅度改善流程、优化供应链，助力纺织、鞋业制造、智能可穿戴行业开展产业数字化升级。加快推进“5G+智能制造”建设，实现全连接工厂实时生产优化，持续提升生产智能化水平。加快由少数创新应用示范企业带动转向整个产业的推广，建设更多的自动化示范生产线、数字化车间、智能工厂（“熄灯工厂”），积极参与国内、国际市场的竞争和推广应用。力争到2025年规模以上工业企业数字化转型覆盖率达92.5%、生产线改造达65%。</w:t>
      </w:r>
    </w:p>
    <w:p>
      <w:pPr>
        <w:spacing w:line="580" w:lineRule="exact"/>
        <w:ind w:firstLine="640" w:firstLineChars="200"/>
        <w:rPr>
          <w:rFonts w:ascii="Times New Roman" w:hAnsi="Times New Roman" w:eastAsia="仿宋_GB2312" w:cs="Times New Roman"/>
          <w:color w:val="000000"/>
          <w:sz w:val="32"/>
          <w:szCs w:val="28"/>
        </w:rPr>
      </w:pPr>
      <w:r>
        <w:rPr>
          <w:rFonts w:ascii="Times New Roman" w:hAnsi="Times New Roman" w:eastAsia="仿宋_GB2312" w:cs="Times New Roman"/>
          <w:b/>
          <w:color w:val="000000"/>
          <w:sz w:val="32"/>
          <w:szCs w:val="28"/>
        </w:rPr>
        <w:t>实施智能改造实现传统产业“制造”到“智造”升级。</w:t>
      </w:r>
      <w:r>
        <w:rPr>
          <w:rFonts w:ascii="Times New Roman" w:hAnsi="Times New Roman" w:eastAsia="仿宋_GB2312" w:cs="Times New Roman"/>
          <w:color w:val="000000"/>
          <w:sz w:val="32"/>
          <w:szCs w:val="28"/>
        </w:rPr>
        <w:t>实施发展智能制造专项行动计划，力争在网络化协同、个性化定制、柔性化生产、共享制造等智能型制造上闯出泉州特色之路，推进生产型制造向服务型制造转变。发展网络化协同制造，基于网络、数据驱动的生产资源配置新模式，实现产业链高效协同和资源配置优化。支持个性化定制运用，基于供应链数据集成和企业数据垂直打通，实现需求响应向规模定制转变。基于产品全流程数据采集分析的智能化服务，打造产品全生命周期管理服务新模式，培育产品在线服务、远程运维、智能供应链等服务新业态；支持创建一批智能制造示范基地，根据各自特色产业组织实施智能制造示范项目，重点在纺织鞋服、建材家居等行业开展个性化定制试点示范，实现需求响应向规模定制转变，支持鞋业、服装、食品等消费类企业建立开放式创新交互平台、在线设计中心，支持机械装备、建材家居产业加快构建产业链协同创新体系。</w:t>
      </w:r>
    </w:p>
    <w:p>
      <w:pPr>
        <w:spacing w:after="120"/>
        <w:ind w:left="420" w:leftChars="200" w:firstLine="420" w:firstLineChars="200"/>
        <w:rPr>
          <w:rFonts w:ascii="Times New Roman" w:hAnsi="Times New Roman" w:eastAsia="宋体" w:cs="Times New Roman"/>
          <w:szCs w:val="24"/>
        </w:rPr>
      </w:pPr>
    </w:p>
    <w:tbl>
      <w:tblPr>
        <w:tblStyle w:val="24"/>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642" w:type="dxa"/>
          </w:tcPr>
          <w:p>
            <w:pPr>
              <w:widowControl/>
              <w:numPr>
                <w:ilvl w:val="0"/>
                <w:numId w:val="1"/>
              </w:numPr>
              <w:spacing w:line="600" w:lineRule="exact"/>
              <w:jc w:val="center"/>
              <w:rPr>
                <w:rFonts w:ascii="Times New Roman" w:hAnsi="Times New Roman" w:eastAsia="仿宋_GB2312" w:cs="Times New Roman"/>
                <w:color w:val="000000"/>
                <w:kern w:val="0"/>
                <w:sz w:val="30"/>
                <w:szCs w:val="30"/>
              </w:rPr>
            </w:pPr>
            <w:r>
              <w:rPr>
                <w:rFonts w:hint="eastAsia" w:ascii="Times New Roman" w:hAnsi="Times New Roman" w:eastAsia="楷体_GB2312" w:cs="Times New Roman"/>
                <w:b/>
                <w:color w:val="000000"/>
                <w:sz w:val="28"/>
                <w:szCs w:val="28"/>
              </w:rPr>
              <w:t>制造业数字化转型升级工程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2" w:type="dxa"/>
          </w:tcPr>
          <w:p>
            <w:pPr>
              <w:spacing w:line="600" w:lineRule="exact"/>
              <w:ind w:firstLine="560" w:firstLineChars="200"/>
              <w:contextualSpacing/>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加快推进“智谷（泉州）万洋高新技术产业园”“云知声智能科技”“智创机械生产制造”“铁拓信息化系统升级”“泉州云箭技术创新研究院及产业化”等项目建设，支持洛江打造以泛在物联网、芯片、传感器、人工智能、工业互联网等智能制造为核心产业链的传感智能制造产业基地，力争到2025年产业集群规模突破400亿元。</w:t>
            </w:r>
          </w:p>
          <w:p>
            <w:pPr>
              <w:spacing w:line="600" w:lineRule="exact"/>
              <w:ind w:firstLine="560" w:firstLineChars="200"/>
              <w:contextualSpacing/>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推进晋江“盛达石材数控加工设备生产”“和盛智能机械制造”“光学镜头及模组芯片研发生产”“自动化焊接流水线研发生产”等项目建设。推动晋江与航天科工下属第二、三研究院、中科院泉州装备所联合开展“智能识别分拣包装关键技术研发及应用”项目研发，推进智能装备研发与制造。支持晋江“泉州智能装备制造产业园”建设，力争到2025年实现产值200亿元以上。</w:t>
            </w:r>
          </w:p>
          <w:p>
            <w:pPr>
              <w:spacing w:line="600" w:lineRule="exact"/>
              <w:ind w:firstLine="560" w:firstLineChars="200"/>
              <w:contextualSpacing/>
              <w:rPr>
                <w:rFonts w:ascii="Times New Roman" w:hAnsi="Times New Roman" w:eastAsia="华文仿宋" w:cs="Times New Roman"/>
                <w:color w:val="000000"/>
                <w:sz w:val="28"/>
                <w:szCs w:val="28"/>
              </w:rPr>
            </w:pPr>
            <w:r>
              <w:rPr>
                <w:rFonts w:ascii="Times New Roman" w:hAnsi="Times New Roman" w:eastAsia="仿宋_GB2312" w:cs="Times New Roman"/>
                <w:color w:val="000000"/>
                <w:sz w:val="28"/>
                <w:szCs w:val="28"/>
              </w:rPr>
              <w:t>支持“永春智慧制造产业园”项目建设，打造智慧家居产业基地，力争到2025年产值达50亿元以上。积极推动惠安创建“国家增材制造创新中心泉州产业基地”，加快推进“顺天塑胶智能制造”“灿辉绿色环保功能性面料织造及智能服饰产业”“南王科技研发总部及智能工厂”等项目建设。加速推进丰泽“footwork lab SaaS平台”“5G医疗服务机器人”、泉州开发区“面向数字化装备的远程运维智能管控平台”、鲤城“卫生用品高端智能装备生产扩建项目”、石狮“鹏泰二期智能制造”“宏兴二期智能工厂”、南安“石材行业智能制造项目”、泉港“金维他智能化生产项目”等项目建设。</w:t>
            </w:r>
          </w:p>
        </w:tc>
      </w:tr>
    </w:tbl>
    <w:p>
      <w:pPr>
        <w:spacing w:line="580" w:lineRule="exact"/>
        <w:ind w:firstLine="640" w:firstLineChars="200"/>
        <w:rPr>
          <w:rFonts w:ascii="Times New Roman" w:hAnsi="Times New Roman" w:eastAsia="黑体" w:cs="Times New Roman"/>
          <w:color w:val="000000"/>
          <w:kern w:val="0"/>
          <w:sz w:val="32"/>
          <w:szCs w:val="30"/>
          <w:lang w:val="zh-CN"/>
        </w:rPr>
      </w:pPr>
      <w:bookmarkStart w:id="150" w:name="_Toc16120"/>
      <w:bookmarkStart w:id="151" w:name="_Toc15444"/>
      <w:bookmarkStart w:id="152" w:name="_Toc2098224898"/>
      <w:bookmarkStart w:id="153" w:name="_Toc376551862"/>
      <w:bookmarkStart w:id="154" w:name="_Toc1664"/>
      <w:bookmarkStart w:id="155" w:name="_Toc86954672"/>
      <w:bookmarkStart w:id="156" w:name="_Toc4761"/>
      <w:bookmarkStart w:id="157" w:name="_Toc17149"/>
      <w:bookmarkStart w:id="158" w:name="_Toc1958440381"/>
      <w:bookmarkStart w:id="159" w:name="_Toc20860"/>
      <w:bookmarkStart w:id="160" w:name="_Toc5570"/>
      <w:bookmarkStart w:id="161" w:name="_Toc15740"/>
      <w:bookmarkStart w:id="162" w:name="_Toc46"/>
      <w:bookmarkStart w:id="163" w:name="_Toc761"/>
      <w:bookmarkStart w:id="164" w:name="_Toc2132416642"/>
      <w:bookmarkStart w:id="165" w:name="_Toc81425758"/>
      <w:bookmarkStart w:id="166" w:name="_Toc8479"/>
      <w:bookmarkStart w:id="167" w:name="_Toc25244"/>
      <w:bookmarkStart w:id="168" w:name="_Toc58310550"/>
      <w:bookmarkStart w:id="169" w:name="_Toc58310549"/>
      <w:r>
        <w:rPr>
          <w:rFonts w:ascii="Times New Roman" w:hAnsi="Times New Roman" w:eastAsia="黑体" w:cs="Times New Roman"/>
          <w:color w:val="000000"/>
          <w:kern w:val="0"/>
          <w:sz w:val="32"/>
          <w:szCs w:val="30"/>
          <w:lang w:val="zh-CN"/>
        </w:rPr>
        <w:t>二、加速农业数字化推进</w:t>
      </w:r>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pPr>
        <w:spacing w:line="580" w:lineRule="exact"/>
        <w:ind w:firstLine="640" w:firstLineChars="200"/>
        <w:rPr>
          <w:rFonts w:ascii="Times New Roman" w:hAnsi="Times New Roman" w:eastAsia="仿宋_GB2312" w:cs="Times New Roman"/>
          <w:color w:val="000000"/>
          <w:sz w:val="32"/>
          <w:szCs w:val="28"/>
        </w:rPr>
      </w:pPr>
      <w:r>
        <w:rPr>
          <w:rFonts w:ascii="Times New Roman" w:hAnsi="Times New Roman" w:eastAsia="仿宋_GB2312" w:cs="Times New Roman"/>
          <w:color w:val="000000"/>
          <w:sz w:val="32"/>
          <w:szCs w:val="28"/>
        </w:rPr>
        <w:t>促进数字技术与农业经济深度融合，加快农业生产经营、管理服务数字化改造，全面提升农业生产智能化、经营网络化、管理高效化、服务便捷化水平。</w:t>
      </w:r>
    </w:p>
    <w:p>
      <w:pPr>
        <w:spacing w:line="580" w:lineRule="exact"/>
        <w:ind w:firstLine="640" w:firstLineChars="200"/>
        <w:rPr>
          <w:rFonts w:ascii="Times New Roman" w:hAnsi="Times New Roman" w:eastAsia="方正楷体简体" w:cs="Times New Roman"/>
          <w:bCs/>
          <w:color w:val="000000"/>
          <w:sz w:val="32"/>
          <w:szCs w:val="28"/>
        </w:rPr>
      </w:pPr>
      <w:r>
        <w:rPr>
          <w:rFonts w:ascii="Times New Roman" w:hAnsi="Times New Roman" w:eastAsia="方正楷体简体" w:cs="Times New Roman"/>
          <w:bCs/>
          <w:color w:val="000000"/>
          <w:sz w:val="32"/>
          <w:szCs w:val="28"/>
        </w:rPr>
        <w:t>（一）推进智慧型农业建设</w:t>
      </w:r>
    </w:p>
    <w:p>
      <w:pPr>
        <w:spacing w:line="580" w:lineRule="exact"/>
        <w:ind w:firstLine="640" w:firstLineChars="200"/>
        <w:rPr>
          <w:rFonts w:ascii="Times New Roman" w:hAnsi="Times New Roman" w:eastAsia="仿宋_GB2312" w:cs="Times New Roman"/>
          <w:color w:val="000000"/>
          <w:sz w:val="32"/>
          <w:szCs w:val="28"/>
        </w:rPr>
      </w:pPr>
      <w:r>
        <w:rPr>
          <w:rFonts w:ascii="Times New Roman" w:hAnsi="Times New Roman" w:eastAsia="仿宋_GB2312" w:cs="Times New Roman"/>
          <w:color w:val="000000"/>
          <w:sz w:val="32"/>
          <w:szCs w:val="28"/>
        </w:rPr>
        <w:t>加快整合农产品信息发布系统、农产品溯源系统、土壤数据分析系统、病虫害防治系统、农资监管平台，建设农业综合信息服务平台。构建泉州智慧农业大数据资源中心，增加相关农业信息源单位的涉农信息采集和更新范围，统筹建设农业自然资源、重要农业种质资源、农村集体资产、农村宅基地、农户和新型农业经营主体等五类大数据，形成农业农村基础数据资源体系，全面开启对涉农数据的挖掘、汇聚、智能分析、智能感知、智能预警、智能决策。加强市场信息发布和服务，健全重要农产品全产业链监测预警体系。</w:t>
      </w:r>
      <w:bookmarkStart w:id="170" w:name="_Hlk63713423"/>
      <w:r>
        <w:rPr>
          <w:rFonts w:ascii="Times New Roman" w:hAnsi="Times New Roman" w:eastAsia="仿宋_GB2312" w:cs="Times New Roman"/>
          <w:color w:val="000000"/>
          <w:sz w:val="32"/>
          <w:szCs w:val="28"/>
        </w:rPr>
        <w:t>支持安溪构建农业大数据平台，</w:t>
      </w:r>
      <w:bookmarkEnd w:id="170"/>
      <w:r>
        <w:rPr>
          <w:rFonts w:ascii="Times New Roman" w:hAnsi="Times New Roman" w:eastAsia="仿宋_GB2312" w:cs="Times New Roman"/>
          <w:color w:val="000000"/>
          <w:sz w:val="32"/>
          <w:szCs w:val="28"/>
        </w:rPr>
        <w:t>争创全国数字农业建设试点。建设一批省级现代农业智慧园。</w:t>
      </w:r>
    </w:p>
    <w:p>
      <w:pPr>
        <w:spacing w:line="580" w:lineRule="exact"/>
        <w:ind w:firstLine="640" w:firstLineChars="200"/>
        <w:rPr>
          <w:rFonts w:ascii="Times New Roman" w:hAnsi="Times New Roman" w:eastAsia="方正楷体简体" w:cs="Times New Roman"/>
          <w:bCs/>
          <w:color w:val="000000"/>
          <w:sz w:val="32"/>
          <w:szCs w:val="28"/>
        </w:rPr>
      </w:pPr>
      <w:r>
        <w:rPr>
          <w:rFonts w:ascii="Times New Roman" w:hAnsi="Times New Roman" w:eastAsia="方正楷体简体" w:cs="Times New Roman"/>
          <w:bCs/>
          <w:color w:val="000000"/>
          <w:sz w:val="32"/>
          <w:szCs w:val="28"/>
        </w:rPr>
        <w:t>（二）开展农业物联网应用</w:t>
      </w:r>
    </w:p>
    <w:p>
      <w:pPr>
        <w:spacing w:line="580" w:lineRule="exact"/>
        <w:ind w:firstLine="640" w:firstLineChars="200"/>
        <w:rPr>
          <w:rFonts w:ascii="Times New Roman" w:hAnsi="Times New Roman" w:eastAsia="仿宋_GB2312" w:cs="Times New Roman"/>
          <w:color w:val="000000"/>
          <w:sz w:val="32"/>
          <w:szCs w:val="28"/>
        </w:rPr>
      </w:pPr>
      <w:r>
        <w:rPr>
          <w:rFonts w:ascii="Times New Roman" w:hAnsi="Times New Roman" w:eastAsia="仿宋_GB2312" w:cs="Times New Roman"/>
          <w:color w:val="000000"/>
          <w:sz w:val="32"/>
          <w:szCs w:val="28"/>
        </w:rPr>
        <w:t>加快物联网、大数据、空间地理信息（GIS）等新一代信息技术与农业生产全面融合应用，打造一批数字农业创新示范基地。开展农业物联网应用，接入农业物联网感知与控制，采集农业生产过程中的多项目数据，提高农业自动化、智能化水平，实现农业生产的节本增效，创建一批省级农业物联网示范点。选择基础较好地区开展精准农业示范，实现对生产要素、生产环境和生产信息的实时监测、智能控制、可视化操作和远程管理，为农业生产提供精准智能服务，并在大数据日渐成熟的基础上，实现农业可视化远程诊断、远程控制、灾变预警等。</w:t>
      </w:r>
    </w:p>
    <w:p>
      <w:pPr>
        <w:spacing w:line="580" w:lineRule="exact"/>
        <w:ind w:firstLine="640" w:firstLineChars="200"/>
        <w:rPr>
          <w:rFonts w:ascii="Times New Roman" w:hAnsi="Times New Roman" w:eastAsia="黑体" w:cs="Times New Roman"/>
          <w:color w:val="000000"/>
          <w:kern w:val="0"/>
          <w:sz w:val="32"/>
          <w:szCs w:val="30"/>
          <w:lang w:val="zh-CN"/>
        </w:rPr>
      </w:pPr>
      <w:bookmarkStart w:id="171" w:name="_Toc3372"/>
      <w:bookmarkStart w:id="172" w:name="_Toc24582"/>
      <w:bookmarkStart w:id="173" w:name="_Toc19813"/>
      <w:bookmarkStart w:id="174" w:name="_Toc22961"/>
      <w:bookmarkStart w:id="175" w:name="_Toc16268"/>
      <w:bookmarkStart w:id="176" w:name="_Toc1020"/>
      <w:bookmarkStart w:id="177" w:name="_Toc1563"/>
      <w:bookmarkStart w:id="178" w:name="_Toc22353"/>
      <w:bookmarkStart w:id="179" w:name="_Toc16928"/>
      <w:bookmarkStart w:id="180" w:name="_Toc721383992"/>
      <w:bookmarkStart w:id="181" w:name="_Toc86954673"/>
      <w:bookmarkStart w:id="182" w:name="_Toc812443334"/>
      <w:bookmarkStart w:id="183" w:name="_Toc31360"/>
      <w:bookmarkStart w:id="184" w:name="_Toc81425759"/>
      <w:bookmarkStart w:id="185" w:name="_Toc13849"/>
      <w:bookmarkStart w:id="186" w:name="_Toc25275"/>
      <w:bookmarkStart w:id="187" w:name="_Toc2047525073"/>
      <w:bookmarkStart w:id="188" w:name="_Toc558489341"/>
      <w:r>
        <w:rPr>
          <w:rFonts w:ascii="Times New Roman" w:hAnsi="Times New Roman" w:eastAsia="黑体" w:cs="Times New Roman"/>
          <w:color w:val="000000"/>
          <w:kern w:val="0"/>
          <w:sz w:val="32"/>
          <w:szCs w:val="30"/>
          <w:lang w:val="zh-CN"/>
        </w:rPr>
        <w:t>三、推动服务业数字化升级</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pPr>
        <w:spacing w:line="580" w:lineRule="exact"/>
        <w:ind w:firstLine="640" w:firstLineChars="200"/>
        <w:rPr>
          <w:rFonts w:ascii="Times New Roman" w:hAnsi="Times New Roman" w:eastAsia="仿宋_GB2312" w:cs="Times New Roman"/>
          <w:color w:val="000000"/>
          <w:sz w:val="32"/>
          <w:szCs w:val="28"/>
        </w:rPr>
      </w:pPr>
      <w:r>
        <w:rPr>
          <w:rFonts w:ascii="Times New Roman" w:hAnsi="Times New Roman" w:eastAsia="仿宋_GB2312" w:cs="Times New Roman"/>
          <w:color w:val="000000"/>
          <w:sz w:val="32"/>
          <w:szCs w:val="28"/>
        </w:rPr>
        <w:t>电子商务、智慧物流、在线金融已经成为服务业发展新引擎，推动服务业高质量发展，重点要升级发展电子商务，构建智慧物流配送体系，优化在线金融服务。</w:t>
      </w:r>
    </w:p>
    <w:p>
      <w:pPr>
        <w:spacing w:line="580" w:lineRule="exact"/>
        <w:ind w:firstLine="640" w:firstLineChars="200"/>
        <w:rPr>
          <w:rFonts w:ascii="Times New Roman" w:hAnsi="Times New Roman" w:eastAsia="方正楷体简体" w:cs="Times New Roman"/>
          <w:bCs/>
          <w:color w:val="000000"/>
          <w:sz w:val="32"/>
          <w:szCs w:val="28"/>
        </w:rPr>
      </w:pPr>
      <w:r>
        <w:rPr>
          <w:rFonts w:ascii="Times New Roman" w:hAnsi="Times New Roman" w:eastAsia="方正楷体简体" w:cs="Times New Roman"/>
          <w:bCs/>
          <w:color w:val="000000"/>
          <w:sz w:val="32"/>
          <w:szCs w:val="28"/>
        </w:rPr>
        <w:t>（一）升级发展电子商务</w:t>
      </w:r>
    </w:p>
    <w:p>
      <w:pPr>
        <w:spacing w:line="580" w:lineRule="exact"/>
        <w:ind w:firstLine="640" w:firstLineChars="200"/>
        <w:rPr>
          <w:rFonts w:ascii="Times New Roman" w:hAnsi="Times New Roman" w:eastAsia="仿宋_GB2312" w:cs="Times New Roman"/>
          <w:color w:val="000000"/>
          <w:sz w:val="32"/>
          <w:szCs w:val="28"/>
        </w:rPr>
      </w:pPr>
      <w:r>
        <w:rPr>
          <w:rFonts w:ascii="Times New Roman" w:hAnsi="Times New Roman" w:eastAsia="仿宋_GB2312" w:cs="Times New Roman"/>
          <w:color w:val="000000"/>
          <w:sz w:val="32"/>
          <w:szCs w:val="28"/>
        </w:rPr>
        <w:t>以建设国家电子商务示范城市、国家电子商务示范基地、中国（泉州）跨境电商综合试验区、国家级市场采购贸易方式试点为契机全面升级发展电子商务，建立电子商务（泉州）大数据服务平台，汇集泉州产业的发展趋势、用户画像、热销省市、热销品牌、热销产品及市场份额、价格走势等信息，为地方政策提供有力依据。完善电子商务监测系统，建立多层次、全覆盖、高效率的社交移动电商风险监测预警机制。加快电商产业链招商，建设全产业链跨境贸易高新技术综合示范园区，实施“一业一平台”扶持工程，分类推动平台做大做强。建设完善线上公共服务平台，为跨境电商各类市场主体提供“一站式”综合服务，构建具有泉州特色的线下功能园区，推动泉州加速形成制造、交易、集货、支付、物流、结算、结汇等全产业链“闭环式”跨境电商生态圈，打造全国重点跨境电商供货基地、物流基地和“双创”基地。通过“集成+赋能”方式，整合涵盖网批市场、直播基地、电商数据中心、物流服务中心、网红公寓、网红培训等创建千亿级新电商区域中心。</w:t>
      </w:r>
    </w:p>
    <w:tbl>
      <w:tblPr>
        <w:tblStyle w:val="24"/>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642" w:type="dxa"/>
          </w:tcPr>
          <w:p>
            <w:pPr>
              <w:widowControl/>
              <w:numPr>
                <w:ilvl w:val="0"/>
                <w:numId w:val="1"/>
              </w:numPr>
              <w:spacing w:line="600" w:lineRule="exact"/>
              <w:jc w:val="center"/>
              <w:rPr>
                <w:rFonts w:ascii="Times New Roman" w:hAnsi="Times New Roman" w:eastAsia="仿宋_GB2312" w:cs="Times New Roman"/>
                <w:color w:val="000000"/>
                <w:kern w:val="0"/>
                <w:sz w:val="30"/>
                <w:szCs w:val="30"/>
              </w:rPr>
            </w:pPr>
            <w:r>
              <w:rPr>
                <w:rFonts w:hint="eastAsia" w:ascii="Times New Roman" w:hAnsi="Times New Roman" w:eastAsia="楷体_GB2312" w:cs="Times New Roman"/>
                <w:b/>
                <w:color w:val="000000"/>
                <w:sz w:val="28"/>
                <w:szCs w:val="28"/>
              </w:rPr>
              <w:t>电子商务升级工程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2" w:type="dxa"/>
          </w:tcPr>
          <w:p>
            <w:pPr>
              <w:spacing w:line="600" w:lineRule="exact"/>
              <w:ind w:firstLine="560" w:firstLineChars="200"/>
              <w:contextualSpacing/>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加快建设泉州市电子商务监测系统，建立起多层次、全覆盖、高效率的社交移动电商风险监测预警机制。加快建设鲤城“捷云科创园”，开展企业直播电商服务、新零售电商云技术供应链服务；加快推进晋江“Lazada泉州综合保税区发展跨境电商合作项目”“云创联航电商数字经济园”建设；加快推进惠安“家世比工业4.0电商产业园”“城南慧臻科技电商双创产业园”建设。</w:t>
            </w:r>
          </w:p>
          <w:p>
            <w:pPr>
              <w:spacing w:line="600" w:lineRule="exact"/>
              <w:ind w:firstLine="560" w:firstLineChars="200"/>
              <w:contextualSpacing/>
              <w:rPr>
                <w:rFonts w:ascii="Times New Roman" w:hAnsi="Times New Roman" w:eastAsia="华文仿宋" w:cs="Times New Roman"/>
                <w:color w:val="000000"/>
                <w:sz w:val="28"/>
                <w:szCs w:val="28"/>
              </w:rPr>
            </w:pPr>
            <w:r>
              <w:rPr>
                <w:rFonts w:ascii="Times New Roman" w:hAnsi="Times New Roman" w:eastAsia="仿宋_GB2312" w:cs="Times New Roman"/>
                <w:color w:val="000000"/>
                <w:sz w:val="28"/>
                <w:szCs w:val="28"/>
              </w:rPr>
              <w:t>推动石狮“海丝国际智能电商孵化基地”建设，打造规模化、规范化、多功能、立体化、全方位的一流电商集散地；加速“青创城服装网批云市场公共服务平台”建设，采用线上“青创网”+线下“青创城”的模式致力于石狮服装产业的优化与革新；探索建立“市场采购贸易+跨境电商+外贸综合服务+保税物流中心区+港口经济”等叠加优势模式。</w:t>
            </w:r>
          </w:p>
        </w:tc>
      </w:tr>
    </w:tbl>
    <w:p>
      <w:pPr>
        <w:spacing w:line="580" w:lineRule="exact"/>
        <w:ind w:firstLine="640" w:firstLineChars="200"/>
        <w:rPr>
          <w:rFonts w:ascii="Times New Roman" w:hAnsi="Times New Roman" w:eastAsia="方正楷体简体" w:cs="Times New Roman"/>
          <w:bCs/>
          <w:color w:val="000000"/>
          <w:sz w:val="32"/>
          <w:szCs w:val="28"/>
        </w:rPr>
      </w:pPr>
      <w:r>
        <w:rPr>
          <w:rFonts w:ascii="Times New Roman" w:hAnsi="Times New Roman" w:eastAsia="方正楷体简体" w:cs="Times New Roman"/>
          <w:bCs/>
          <w:color w:val="000000"/>
          <w:sz w:val="32"/>
          <w:szCs w:val="28"/>
        </w:rPr>
        <w:t>（二）构建物流配送体系</w:t>
      </w:r>
    </w:p>
    <w:p>
      <w:pPr>
        <w:spacing w:line="580" w:lineRule="exact"/>
        <w:ind w:firstLine="640" w:firstLineChars="200"/>
        <w:rPr>
          <w:rFonts w:ascii="Times New Roman" w:hAnsi="Times New Roman" w:eastAsia="仿宋_GB2312" w:cs="Times New Roman"/>
          <w:color w:val="000000"/>
          <w:sz w:val="32"/>
          <w:szCs w:val="28"/>
        </w:rPr>
      </w:pPr>
      <w:r>
        <w:rPr>
          <w:rFonts w:ascii="Times New Roman" w:hAnsi="Times New Roman" w:eastAsia="仿宋_GB2312" w:cs="Times New Roman"/>
          <w:color w:val="000000"/>
          <w:sz w:val="32"/>
          <w:szCs w:val="28"/>
        </w:rPr>
        <w:t>以创建新一轮“中国快递示范城市”为契机，加快智慧物流发展，建立物流大数据中心，促进智慧物流平台与电子商务平台对接，鼓励构建网络货运平台，发展“物流+互联网”新生态，构建智能物流配送体系。充分发挥泉州生产基地产业集群优势，大力推动“互联网+生产基地+物流”融合创新，加快培育一批布局集中、用地集约、功能集成的示范物流园区。依托晋江陆地港、泉州国际快件监管中心、石狮国际快件监管中心、泉州跨境电商通关服务中心和泉州国际邮件互换局（交换站），创新集国际快件、跨境电商和国际邮件监管于一体的“三合一”式集约化通关新模式。加速推广使用无线射频识别、自动分拣设备、无人仓、专业机器人等，拓展泉州快递数据实时分析展示系统功能，提高其在市场监管、数据追踪、趋势研判、宏观经济分析等多个方面应用。推进快递“进厂”“进村”“出海”，建成邮政快递业监管服务平台，实现全市邮政、快递网点监控全覆盖。大力发展“无接触”配送服务，加快社区、园区、楼宇等区域布局智能投递终端，加快推进和完善村级邮政快递物流公共服务体系建设，促进农特产品“走出去”。</w:t>
      </w:r>
    </w:p>
    <w:tbl>
      <w:tblPr>
        <w:tblStyle w:val="24"/>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8642" w:type="dxa"/>
          </w:tcPr>
          <w:p>
            <w:pPr>
              <w:widowControl/>
              <w:numPr>
                <w:ilvl w:val="0"/>
                <w:numId w:val="1"/>
              </w:numPr>
              <w:spacing w:line="600" w:lineRule="exact"/>
              <w:jc w:val="center"/>
              <w:rPr>
                <w:rFonts w:ascii="Times New Roman" w:hAnsi="Times New Roman" w:eastAsia="仿宋_GB2312" w:cs="Times New Roman"/>
                <w:color w:val="000000"/>
                <w:kern w:val="0"/>
                <w:sz w:val="30"/>
                <w:szCs w:val="30"/>
              </w:rPr>
            </w:pPr>
            <w:r>
              <w:rPr>
                <w:rFonts w:hint="eastAsia" w:ascii="Times New Roman" w:hAnsi="Times New Roman" w:eastAsia="楷体_GB2312" w:cs="Times New Roman"/>
                <w:b/>
                <w:color w:val="000000"/>
                <w:sz w:val="28"/>
                <w:szCs w:val="28"/>
              </w:rPr>
              <w:t>现代物流体系建设工程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2" w:type="dxa"/>
          </w:tcPr>
          <w:p>
            <w:pPr>
              <w:spacing w:line="600" w:lineRule="exact"/>
              <w:ind w:firstLine="560" w:firstLineChars="200"/>
              <w:contextualSpacing/>
              <w:rPr>
                <w:rFonts w:ascii="Times New Roman" w:hAnsi="Times New Roman" w:eastAsia="仿宋_GB2312" w:cs="Times New Roman"/>
                <w:color w:val="000000"/>
                <w:sz w:val="28"/>
                <w:szCs w:val="28"/>
              </w:rPr>
            </w:pPr>
            <w:r>
              <w:rPr>
                <w:rFonts w:ascii="Times New Roman" w:hAnsi="Times New Roman" w:eastAsia="仿宋_GB2312" w:cs="Times New Roman"/>
                <w:b/>
                <w:color w:val="000000"/>
                <w:sz w:val="28"/>
                <w:szCs w:val="28"/>
              </w:rPr>
              <w:t>构建智能物流配送体系重点项目</w:t>
            </w:r>
            <w:r>
              <w:rPr>
                <w:rFonts w:ascii="Times New Roman" w:hAnsi="Times New Roman" w:eastAsia="仿宋_GB2312" w:cs="Times New Roman"/>
                <w:color w:val="000000"/>
                <w:sz w:val="28"/>
                <w:szCs w:val="28"/>
              </w:rPr>
              <w:t>：（1）积极构建覆盖泉州市全区“邮政快递业监管服务平台”，加快推进晋江“货同运网络货运平台”建设。加快推进泉港“陆地港项目”，打造对于危化品运输车辆的监管和服务并行的线上线下石化智慧物流平台。（2）积极推动安溪“弘桥智谷电商园仓储物流扩容升级项目”建设，</w:t>
            </w:r>
            <w:bookmarkStart w:id="189" w:name="_Hlk63713520"/>
            <w:r>
              <w:rPr>
                <w:rFonts w:ascii="Times New Roman" w:hAnsi="Times New Roman" w:eastAsia="仿宋_GB2312" w:cs="Times New Roman"/>
                <w:color w:val="000000"/>
                <w:sz w:val="28"/>
                <w:szCs w:val="28"/>
              </w:rPr>
              <w:t>加快推进石狮“特步现代化智能物流仓储及生产车间项目”建设；</w:t>
            </w:r>
            <w:bookmarkEnd w:id="189"/>
            <w:r>
              <w:rPr>
                <w:rFonts w:ascii="Times New Roman" w:hAnsi="Times New Roman" w:eastAsia="仿宋_GB2312" w:cs="Times New Roman"/>
                <w:color w:val="000000"/>
                <w:sz w:val="28"/>
                <w:szCs w:val="28"/>
              </w:rPr>
              <w:t>加快推进惠安“音锋智能物流机器人及数字工厂产业基地项目”建设。（3）积极推动安溪建设农副产品冻库冷链项目，创建国际现代冷链物流创新基地；积极推动晋江创建“华南智慧冷链产业园”，泉港创建“恒昌盛物流仓储产业园”，德化创建“中国陶瓷电商物流园”，发展智能仓储物流，提升上下游产业智慧化水平。</w:t>
            </w:r>
          </w:p>
          <w:p>
            <w:pPr>
              <w:spacing w:line="600" w:lineRule="exact"/>
              <w:ind w:firstLine="560" w:firstLineChars="200"/>
              <w:contextualSpacing/>
              <w:rPr>
                <w:rFonts w:ascii="Times New Roman" w:hAnsi="Times New Roman" w:eastAsia="华文仿宋" w:cs="Times New Roman"/>
                <w:color w:val="000000"/>
                <w:sz w:val="28"/>
                <w:szCs w:val="28"/>
              </w:rPr>
            </w:pPr>
            <w:r>
              <w:rPr>
                <w:rFonts w:ascii="Times New Roman" w:hAnsi="Times New Roman" w:eastAsia="仿宋_GB2312" w:cs="Times New Roman"/>
                <w:b/>
                <w:color w:val="000000"/>
                <w:sz w:val="28"/>
                <w:szCs w:val="28"/>
              </w:rPr>
              <w:t>创建中国快递集聚发展先行区</w:t>
            </w:r>
            <w:r>
              <w:rPr>
                <w:rFonts w:ascii="Times New Roman" w:hAnsi="Times New Roman" w:eastAsia="仿宋_GB2312" w:cs="Times New Roman"/>
                <w:color w:val="000000"/>
                <w:sz w:val="28"/>
                <w:szCs w:val="28"/>
              </w:rPr>
              <w:t>：推动泉州开发区开展“泉州智能物流示范基地”建设。加快推进泉州顺丰创新产业园项目、德邦东南总部项目建设；推动中通福建总部、福建圆通总部、邮政物流（EMS）集散中心、韵达集团泉州区域总部，申通快递华东总部等项目的落地，加速形成以晋江和泉州开发区为快递聚集区。</w:t>
            </w:r>
          </w:p>
        </w:tc>
      </w:tr>
    </w:tbl>
    <w:p>
      <w:pPr>
        <w:spacing w:line="580" w:lineRule="exact"/>
        <w:ind w:firstLine="640" w:firstLineChars="200"/>
        <w:rPr>
          <w:rFonts w:ascii="Times New Roman" w:hAnsi="Times New Roman" w:eastAsia="方正楷体简体" w:cs="Times New Roman"/>
          <w:bCs/>
          <w:color w:val="000000"/>
          <w:sz w:val="32"/>
          <w:szCs w:val="28"/>
        </w:rPr>
      </w:pPr>
      <w:r>
        <w:rPr>
          <w:rFonts w:ascii="Times New Roman" w:hAnsi="Times New Roman" w:eastAsia="方正楷体简体" w:cs="Times New Roman"/>
          <w:bCs/>
          <w:color w:val="000000"/>
          <w:sz w:val="32"/>
          <w:szCs w:val="28"/>
        </w:rPr>
        <w:t>（三）优化在线金融服务</w:t>
      </w:r>
    </w:p>
    <w:p>
      <w:pPr>
        <w:spacing w:line="580" w:lineRule="exact"/>
        <w:ind w:firstLine="640" w:firstLineChars="200"/>
        <w:rPr>
          <w:rFonts w:ascii="Times New Roman" w:hAnsi="Times New Roman" w:eastAsia="仿宋_GB2312" w:cs="Times New Roman"/>
          <w:color w:val="000000"/>
          <w:sz w:val="32"/>
          <w:szCs w:val="28"/>
        </w:rPr>
      </w:pPr>
      <w:r>
        <w:rPr>
          <w:rFonts w:ascii="Times New Roman" w:hAnsi="Times New Roman" w:eastAsia="仿宋_GB2312" w:cs="Times New Roman"/>
          <w:color w:val="000000"/>
          <w:sz w:val="32"/>
          <w:szCs w:val="28"/>
        </w:rPr>
        <w:t>大力推进国家产融合作试点城市建设，鼓励在泉银行业机构积极对接省“金服云”平台的“线上经济定制式服务产品”，面向线上经济企业推广“快服贷”服务。推动数字普惠金融服务平台建设。促进政务数据与金融数据融合应用，打通金融机构与政府部门之间的信息通道，设立数据共享机制，让平台充分依规使用银行数据，银行依规共享政务数据，做活政府的政务数据资产。鼓励银行机构依托本地普惠金融服务平台和“信易贷”平台向信用良好的中小微企业开展以信用为基础的免抵押贷款、电力贷等信用无抵押贷款。依托我市产业链条，构建更多行业信用维度，创新应用场景，推动垂直领域细分行业信易贷应用场景落地。探索风险多元缓释机制，实现信易贷风险共担。</w:t>
      </w:r>
    </w:p>
    <w:p>
      <w:pPr>
        <w:spacing w:line="580" w:lineRule="exact"/>
        <w:ind w:firstLine="640" w:firstLineChars="200"/>
        <w:rPr>
          <w:rFonts w:ascii="Times New Roman" w:hAnsi="Times New Roman" w:eastAsia="仿宋_GB2312" w:cs="Times New Roman"/>
          <w:color w:val="000000"/>
          <w:sz w:val="32"/>
          <w:szCs w:val="28"/>
        </w:rPr>
      </w:pPr>
      <w:r>
        <w:rPr>
          <w:rFonts w:ascii="Times New Roman" w:hAnsi="Times New Roman" w:eastAsia="仿宋_GB2312" w:cs="Times New Roman"/>
          <w:color w:val="000000"/>
          <w:sz w:val="32"/>
          <w:szCs w:val="28"/>
        </w:rPr>
        <w:t>积极开发知识产权质押贷款、科技保险、专利保险等金融产品，支持线上经济小微企业等轻资产企业融资。推进供应链金融“互联网+票据”建设，依托供应链核心企业信用、真实交易背景和实物流、资金流、信息流闭环，为上下游企业提供无需抵押担保的“平台+金融+保险+企业”具有民营企业特色的供应链金融。探索建设用工企业平台与自由职业者之间收入结算及成本优化的一站式互联网服务平台。加快推进泉州银行“数据基础服务平台”建设，利用机器学习技术构建客户画像；推动银行机构积极开展互联网金融新业务，逐步向电子商务、移动支付、互联网理财等领域加速业务渗透。</w:t>
      </w:r>
    </w:p>
    <w:p>
      <w:pPr>
        <w:spacing w:line="580" w:lineRule="exact"/>
        <w:ind w:firstLine="640" w:firstLineChars="200"/>
        <w:rPr>
          <w:rFonts w:ascii="Times New Roman" w:hAnsi="Times New Roman" w:eastAsia="仿宋_GB2312" w:cs="Times New Roman"/>
          <w:color w:val="000000"/>
          <w:sz w:val="32"/>
          <w:szCs w:val="28"/>
        </w:rPr>
      </w:pPr>
      <w:r>
        <w:rPr>
          <w:rFonts w:ascii="Times New Roman" w:hAnsi="Times New Roman" w:eastAsia="仿宋_GB2312" w:cs="Times New Roman"/>
          <w:color w:val="000000"/>
          <w:sz w:val="32"/>
          <w:szCs w:val="28"/>
        </w:rPr>
        <w:t>推动线上申贷续贷还贷、线上投资理财理赔、线上便民缴费等金融服务。创新探索开展线上房屋抵押典当贷款、个人消费贷等业务，打造上下游供应商应收账款、商票、银票等财产权利质押数字化融资平台。推动发展电子保函，推动我市建筑、市政、水利水电等各类招投标业务以电子保函替代传统投标保证金。</w:t>
      </w:r>
    </w:p>
    <w:bookmarkEnd w:id="168"/>
    <w:bookmarkEnd w:id="169"/>
    <w:p>
      <w:pPr>
        <w:spacing w:line="580" w:lineRule="exact"/>
        <w:ind w:firstLine="640" w:firstLineChars="200"/>
        <w:rPr>
          <w:rFonts w:ascii="Times New Roman" w:hAnsi="Times New Roman" w:eastAsia="黑体" w:cs="Times New Roman"/>
          <w:color w:val="000000"/>
          <w:kern w:val="0"/>
          <w:sz w:val="32"/>
          <w:szCs w:val="30"/>
          <w:lang w:val="zh-CN"/>
        </w:rPr>
      </w:pPr>
      <w:bookmarkStart w:id="190" w:name="_Toc58310545"/>
      <w:bookmarkStart w:id="191" w:name="_Toc11189"/>
      <w:bookmarkStart w:id="192" w:name="_Toc10672"/>
      <w:bookmarkStart w:id="193" w:name="_Toc15030"/>
      <w:bookmarkStart w:id="194" w:name="_Toc2032666438"/>
      <w:bookmarkStart w:id="195" w:name="_Toc16260"/>
      <w:bookmarkStart w:id="196" w:name="_Toc782005829"/>
      <w:bookmarkStart w:id="197" w:name="_Toc26949"/>
      <w:bookmarkStart w:id="198" w:name="_Toc22786"/>
      <w:bookmarkStart w:id="199" w:name="_Toc18564"/>
      <w:bookmarkStart w:id="200" w:name="_Toc15179"/>
      <w:bookmarkStart w:id="201" w:name="_Toc1103836538"/>
      <w:bookmarkStart w:id="202" w:name="_Toc81425760"/>
      <w:bookmarkStart w:id="203" w:name="_Toc2034000889"/>
      <w:bookmarkStart w:id="204" w:name="_Toc4674"/>
      <w:bookmarkStart w:id="205" w:name="_Toc86954674"/>
      <w:bookmarkStart w:id="206" w:name="_Toc3681"/>
      <w:bookmarkStart w:id="207" w:name="_Toc4824"/>
      <w:bookmarkStart w:id="208" w:name="_Toc5466"/>
      <w:bookmarkStart w:id="209" w:name="_Toc58098827"/>
      <w:r>
        <w:rPr>
          <w:rFonts w:ascii="Times New Roman" w:hAnsi="Times New Roman" w:eastAsia="黑体" w:cs="Times New Roman"/>
          <w:color w:val="000000"/>
          <w:kern w:val="0"/>
          <w:sz w:val="32"/>
          <w:szCs w:val="30"/>
          <w:lang w:val="zh-CN"/>
        </w:rPr>
        <w:t>四</w:t>
      </w:r>
      <w:bookmarkEnd w:id="190"/>
      <w:r>
        <w:rPr>
          <w:rFonts w:ascii="Times New Roman" w:hAnsi="Times New Roman" w:eastAsia="黑体" w:cs="Times New Roman"/>
          <w:color w:val="000000"/>
          <w:kern w:val="0"/>
          <w:sz w:val="32"/>
          <w:szCs w:val="30"/>
          <w:lang w:val="zh-CN"/>
        </w:rPr>
        <w:t>、加速数字经济园区集聚</w:t>
      </w:r>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p>
    <w:p>
      <w:pPr>
        <w:spacing w:line="580" w:lineRule="exact"/>
        <w:ind w:firstLine="640" w:firstLineChars="200"/>
        <w:rPr>
          <w:rFonts w:ascii="Times New Roman" w:hAnsi="Times New Roman" w:eastAsia="仿宋_GB2312" w:cs="Times New Roman"/>
          <w:color w:val="000000"/>
          <w:sz w:val="32"/>
          <w:szCs w:val="28"/>
        </w:rPr>
      </w:pPr>
      <w:r>
        <w:rPr>
          <w:rFonts w:ascii="Times New Roman" w:hAnsi="Times New Roman" w:eastAsia="仿宋_GB2312" w:cs="Times New Roman"/>
          <w:color w:val="000000"/>
          <w:sz w:val="32"/>
          <w:szCs w:val="28"/>
        </w:rPr>
        <w:t>以建设国家级数字经济（福厦泉）示范区为契机，着力提升数字经济产业集聚和辐射能力，打造数字经济发展新引擎。加强数字经济园区（基地）建设，打造数字文创动漫、大数据、新型显示、电子化学新材料等产业集群；打造区域智能电网电器产业综合园、科技创新孵化器和软件生态圈；打造光子技术、高科技陶瓷、人工智能等产业集聚区；打造服务泉州、辐射全省乃至全国的知识产权、科技成果转化创新创业基地；打造先进传感智能制造产业基地、人机交互产业基地、全球重要的内存生产基地、国际领先的化合物半导体专业基地；打造全国领先的现代化智能装备产业园区、世界一流时空产业园区；打造中国快递集聚发展先行区。深入开展园区标准化建设，按照“龙头+基地+产业链”的运作模式，集聚资源要素打造高水平数字经济产业园区，力争用5年时间打造百亿传感制造产业、百亿时空产业、百亿新型数字显示产业、百亿知创产业和千亿半导体产业等一批数字经济产业集聚园区。到2025年，力争打造50个数字经济产业园区，落地工业互联网、人工智能、区块链等创新示范应用案例超过300个，数字经济增加值占地区生产总值比重超57%。</w:t>
      </w:r>
    </w:p>
    <w:tbl>
      <w:tblPr>
        <w:tblStyle w:val="24"/>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642" w:type="dxa"/>
          </w:tcPr>
          <w:p>
            <w:pPr>
              <w:widowControl/>
              <w:numPr>
                <w:ilvl w:val="0"/>
                <w:numId w:val="1"/>
              </w:numPr>
              <w:spacing w:line="600" w:lineRule="exact"/>
              <w:jc w:val="center"/>
              <w:rPr>
                <w:rFonts w:ascii="Times New Roman" w:hAnsi="Times New Roman" w:eastAsia="仿宋_GB2312" w:cs="Times New Roman"/>
                <w:color w:val="000000"/>
                <w:kern w:val="0"/>
                <w:sz w:val="30"/>
                <w:szCs w:val="30"/>
              </w:rPr>
            </w:pPr>
            <w:r>
              <w:rPr>
                <w:rFonts w:hint="eastAsia" w:ascii="Times New Roman" w:hAnsi="Times New Roman" w:eastAsia="楷体_GB2312" w:cs="Times New Roman"/>
                <w:b/>
                <w:color w:val="000000"/>
                <w:sz w:val="28"/>
                <w:szCs w:val="28"/>
              </w:rPr>
              <w:t>数字经济园区集聚大比拼行动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2" w:type="dxa"/>
          </w:tcPr>
          <w:p>
            <w:pPr>
              <w:spacing w:line="600" w:lineRule="exact"/>
              <w:ind w:firstLine="560" w:firstLineChars="200"/>
              <w:contextualSpacing/>
              <w:rPr>
                <w:rFonts w:ascii="Times New Roman" w:hAnsi="Times New Roman" w:eastAsia="仿宋_GB2312" w:cs="Times New Roman"/>
                <w:color w:val="000000"/>
                <w:sz w:val="28"/>
                <w:szCs w:val="28"/>
              </w:rPr>
            </w:pPr>
            <w:r>
              <w:rPr>
                <w:rFonts w:ascii="Times New Roman" w:hAnsi="Times New Roman" w:eastAsia="仿宋_GB2312" w:cs="Times New Roman"/>
                <w:b/>
                <w:color w:val="000000"/>
                <w:sz w:val="28"/>
                <w:szCs w:val="28"/>
              </w:rPr>
              <w:t>产业集群、产业集聚区、发展先行区</w:t>
            </w:r>
            <w:r>
              <w:rPr>
                <w:rFonts w:ascii="Times New Roman" w:hAnsi="Times New Roman" w:eastAsia="仿宋_GB2312" w:cs="Times New Roman"/>
                <w:color w:val="000000"/>
                <w:sz w:val="28"/>
                <w:szCs w:val="28"/>
              </w:rPr>
              <w:t>：鲤城区打造古城数字文创动漫产业集群；数字福建（安溪）产业基地打造具有较强竞争力的空天、影视、电商大数据产业链；泉州开发区打造新型数字显示产业集群；泉港区打造具有国际竞争力的电子化学新材料产业集群。石狮市打造光子技术产业特色集聚区；德化县打造高端陶瓷制造产业集聚区；惠安县打造人工智能及半导体全生态产业链集聚区；晋江市与泉州开发区打造中国快递集聚发展先行区。</w:t>
            </w:r>
          </w:p>
          <w:p>
            <w:pPr>
              <w:spacing w:line="600" w:lineRule="exact"/>
              <w:ind w:firstLine="560" w:firstLineChars="200"/>
              <w:contextualSpacing/>
              <w:rPr>
                <w:rFonts w:ascii="Times New Roman" w:hAnsi="Times New Roman" w:eastAsia="仿宋_GB2312" w:cs="Times New Roman"/>
                <w:color w:val="000000"/>
                <w:sz w:val="28"/>
                <w:szCs w:val="28"/>
              </w:rPr>
            </w:pPr>
            <w:r>
              <w:rPr>
                <w:rFonts w:ascii="Times New Roman" w:hAnsi="Times New Roman" w:eastAsia="仿宋_GB2312" w:cs="Times New Roman"/>
                <w:b/>
                <w:color w:val="000000"/>
                <w:sz w:val="28"/>
                <w:szCs w:val="28"/>
              </w:rPr>
              <w:t>产业基地、创业基地</w:t>
            </w:r>
            <w:r>
              <w:rPr>
                <w:rFonts w:ascii="Times New Roman" w:hAnsi="Times New Roman" w:eastAsia="仿宋_GB2312" w:cs="Times New Roman"/>
                <w:color w:val="000000"/>
                <w:sz w:val="28"/>
                <w:szCs w:val="28"/>
              </w:rPr>
              <w:t>：丰泽区打造服务泉州、辐射全省乃至全国的知识产权、科技成果转化创新创业基地；洛江区全力打造全国重要的先进传感智能制造产业基地；晋江市全力打造全球重要的内存产业生产基地，全力建设两岸集成电路产业合作示范中心；南安市打造国际领先的化合物半导体专业基地。</w:t>
            </w:r>
          </w:p>
          <w:p>
            <w:pPr>
              <w:spacing w:line="600" w:lineRule="exact"/>
              <w:ind w:firstLine="560" w:firstLineChars="200"/>
              <w:contextualSpacing/>
              <w:rPr>
                <w:rFonts w:ascii="Times New Roman" w:hAnsi="Times New Roman" w:eastAsia="华文仿宋" w:cs="Times New Roman"/>
                <w:color w:val="000000"/>
                <w:sz w:val="28"/>
                <w:szCs w:val="28"/>
              </w:rPr>
            </w:pPr>
            <w:r>
              <w:rPr>
                <w:rFonts w:ascii="Times New Roman" w:hAnsi="Times New Roman" w:eastAsia="仿宋_GB2312" w:cs="Times New Roman"/>
                <w:b/>
                <w:color w:val="000000"/>
                <w:sz w:val="28"/>
                <w:szCs w:val="28"/>
              </w:rPr>
              <w:t>产业园区、生态圈</w:t>
            </w:r>
            <w:r>
              <w:rPr>
                <w:rFonts w:ascii="Times New Roman" w:hAnsi="Times New Roman" w:eastAsia="仿宋_GB2312" w:cs="Times New Roman"/>
                <w:color w:val="000000"/>
                <w:sz w:val="28"/>
                <w:szCs w:val="28"/>
              </w:rPr>
              <w:t>：南安市重点打造特种机器人、无人机（船）、智能军警训练器材、后勤装备等人机交互特色产业生态圈；晋江市打造全国领先的现代化智能装备产业园区；丰泽区与泉州台商投资区打造世界一流时空产业园区；泉州台商投资区打造区域智能电网电器产业综合园；丰泽区打造科技创新孵化器和软件生态圈。</w:t>
            </w:r>
          </w:p>
        </w:tc>
      </w:tr>
    </w:tbl>
    <w:p>
      <w:pPr>
        <w:keepNext/>
        <w:keepLines/>
        <w:pageBreakBefore/>
        <w:spacing w:before="340" w:after="240" w:line="596" w:lineRule="exact"/>
        <w:jc w:val="center"/>
        <w:outlineLvl w:val="0"/>
        <w:rPr>
          <w:rFonts w:ascii="Times New Roman" w:hAnsi="Times New Roman" w:eastAsia="方正小标宋简体" w:cs="Times New Roman"/>
          <w:color w:val="000000"/>
          <w:kern w:val="44"/>
          <w:sz w:val="36"/>
          <w:szCs w:val="36"/>
        </w:rPr>
      </w:pPr>
      <w:bookmarkStart w:id="210" w:name="_Toc31258"/>
      <w:bookmarkStart w:id="211" w:name="_Toc400124136"/>
      <w:bookmarkStart w:id="212" w:name="_Toc903743861"/>
      <w:bookmarkStart w:id="213" w:name="_Toc2099402558"/>
      <w:bookmarkStart w:id="214" w:name="_Toc24791"/>
      <w:bookmarkStart w:id="215" w:name="_Toc94308414"/>
      <w:bookmarkStart w:id="216" w:name="_Toc30571"/>
      <w:bookmarkStart w:id="217" w:name="_Toc20384"/>
      <w:bookmarkStart w:id="218" w:name="_Toc25667"/>
      <w:bookmarkStart w:id="219" w:name="_Toc86954675"/>
      <w:bookmarkStart w:id="220" w:name="_Toc1193078756"/>
      <w:bookmarkStart w:id="221" w:name="_Toc18339"/>
      <w:bookmarkStart w:id="222" w:name="_Toc29143"/>
      <w:bookmarkStart w:id="223" w:name="_Toc8510"/>
      <w:bookmarkStart w:id="224" w:name="_Toc81425761"/>
      <w:bookmarkStart w:id="225" w:name="_Toc6551"/>
      <w:bookmarkStart w:id="226" w:name="_Toc21884"/>
      <w:bookmarkStart w:id="227" w:name="_Toc710"/>
      <w:bookmarkStart w:id="228" w:name="_Toc13448"/>
      <w:r>
        <w:rPr>
          <w:rFonts w:ascii="Times New Roman" w:hAnsi="Times New Roman" w:eastAsia="方正小标宋简体" w:cs="Times New Roman"/>
          <w:color w:val="000000"/>
          <w:kern w:val="44"/>
          <w:sz w:val="36"/>
          <w:szCs w:val="36"/>
        </w:rPr>
        <w:t>第五章 促进跨区域融合发展，建设数字社会新篇章</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pPr>
        <w:spacing w:line="580" w:lineRule="exact"/>
        <w:ind w:firstLine="640" w:firstLineChars="200"/>
        <w:rPr>
          <w:rFonts w:ascii="Times New Roman" w:hAnsi="Times New Roman" w:eastAsia="仿宋_GB2312" w:cs="Times New Roman"/>
          <w:color w:val="000000"/>
          <w:sz w:val="32"/>
          <w:szCs w:val="28"/>
        </w:rPr>
      </w:pPr>
      <w:r>
        <w:rPr>
          <w:rFonts w:ascii="Times New Roman" w:hAnsi="Times New Roman" w:eastAsia="仿宋_GB2312" w:cs="Times New Roman"/>
          <w:color w:val="000000"/>
          <w:sz w:val="32"/>
          <w:szCs w:val="28"/>
        </w:rPr>
        <w:t>提升社会服务数字化普惠水平，加快推动文化教育、医疗健康、出行、社保等公共服务资源数字化供给和网络化服务，让群众拥有更多的获得感。统筹推动新型智慧城市和数字乡村建设，加快推进泉州“城市大脑”建设，推进社区设施数字化改造，探索“数字孪生”城市建设，推进数字乡村建设，补齐农村地区信息基础设施短板。加强信息无障碍建设，提升面向特殊群体的数字化社会服务能力，加快弥合数字鸿沟。加速推进“数字丝路”建设，打造“海丝”数字应用标杆城市。</w:t>
      </w:r>
    </w:p>
    <w:bookmarkEnd w:id="209"/>
    <w:p>
      <w:pPr>
        <w:keepNext/>
        <w:keepLines/>
        <w:spacing w:before="260" w:after="260" w:line="596" w:lineRule="exact"/>
        <w:jc w:val="center"/>
        <w:outlineLvl w:val="1"/>
        <w:rPr>
          <w:rFonts w:ascii="Times New Roman" w:hAnsi="Times New Roman" w:eastAsia="方正黑体简体" w:cs="Times New Roman"/>
          <w:bCs/>
          <w:color w:val="000000"/>
          <w:sz w:val="32"/>
          <w:szCs w:val="32"/>
        </w:rPr>
      </w:pPr>
      <w:bookmarkStart w:id="229" w:name="_Toc14576"/>
      <w:bookmarkStart w:id="230" w:name="_Toc9949"/>
      <w:bookmarkStart w:id="231" w:name="_Toc28839"/>
      <w:bookmarkStart w:id="232" w:name="_Toc222488971"/>
      <w:bookmarkStart w:id="233" w:name="_Toc94308415"/>
      <w:bookmarkStart w:id="234" w:name="_Toc2535"/>
      <w:bookmarkStart w:id="235" w:name="_Toc25198"/>
      <w:bookmarkStart w:id="236" w:name="_Toc14950"/>
      <w:bookmarkStart w:id="237" w:name="_Toc86954676"/>
      <w:bookmarkStart w:id="238" w:name="_Toc15202"/>
      <w:bookmarkStart w:id="239" w:name="_Toc4982"/>
      <w:bookmarkStart w:id="240" w:name="_Toc252777188"/>
      <w:bookmarkStart w:id="241" w:name="_Toc182711959"/>
      <w:bookmarkStart w:id="242" w:name="_Toc386552653"/>
      <w:bookmarkStart w:id="243" w:name="_Toc12854"/>
      <w:bookmarkStart w:id="244" w:name="_Toc6189"/>
      <w:bookmarkStart w:id="245" w:name="_Toc31003"/>
      <w:bookmarkStart w:id="246" w:name="_Toc26277"/>
      <w:bookmarkStart w:id="247" w:name="_Toc81425762"/>
      <w:r>
        <w:rPr>
          <w:rFonts w:ascii="Times New Roman" w:hAnsi="Times New Roman" w:eastAsia="方正黑体简体" w:cs="Times New Roman"/>
          <w:bCs/>
          <w:color w:val="000000"/>
          <w:sz w:val="32"/>
          <w:szCs w:val="32"/>
        </w:rPr>
        <w:t>第一节 全面优化数字民生服务</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pPr>
        <w:spacing w:line="580" w:lineRule="exact"/>
        <w:ind w:firstLine="640" w:firstLineChars="200"/>
        <w:rPr>
          <w:rFonts w:ascii="Times New Roman" w:hAnsi="Times New Roman" w:eastAsia="黑体" w:cs="Times New Roman"/>
          <w:color w:val="000000"/>
          <w:kern w:val="0"/>
          <w:sz w:val="32"/>
          <w:szCs w:val="30"/>
          <w:lang w:val="zh-CN"/>
        </w:rPr>
      </w:pPr>
      <w:bookmarkStart w:id="248" w:name="_Toc233"/>
      <w:bookmarkStart w:id="249" w:name="_Toc27619"/>
      <w:bookmarkStart w:id="250" w:name="_Toc501631805"/>
      <w:bookmarkStart w:id="251" w:name="_Toc19699"/>
      <w:bookmarkStart w:id="252" w:name="_Toc19303"/>
      <w:bookmarkStart w:id="253" w:name="_Toc7710"/>
      <w:bookmarkStart w:id="254" w:name="_Toc81425763"/>
      <w:bookmarkStart w:id="255" w:name="_Toc29309"/>
      <w:bookmarkStart w:id="256" w:name="_Toc86954677"/>
      <w:bookmarkStart w:id="257" w:name="_Toc1236357724"/>
      <w:bookmarkStart w:id="258" w:name="_Toc3844"/>
      <w:bookmarkStart w:id="259" w:name="_Toc1664822533"/>
      <w:bookmarkStart w:id="260" w:name="_Toc8201"/>
      <w:bookmarkStart w:id="261" w:name="_Toc29227"/>
      <w:bookmarkStart w:id="262" w:name="_Toc5350"/>
      <w:bookmarkStart w:id="263" w:name="_Toc17216"/>
      <w:bookmarkStart w:id="264" w:name="_Toc1832185926"/>
      <w:bookmarkStart w:id="265" w:name="_Toc3108"/>
      <w:r>
        <w:rPr>
          <w:rFonts w:ascii="Times New Roman" w:hAnsi="Times New Roman" w:eastAsia="黑体" w:cs="Times New Roman"/>
          <w:color w:val="000000"/>
          <w:kern w:val="0"/>
          <w:sz w:val="32"/>
          <w:szCs w:val="30"/>
          <w:lang w:val="zh-CN"/>
        </w:rPr>
        <w:t>一、加快推进智慧教育建设</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pPr>
        <w:spacing w:line="580" w:lineRule="exact"/>
        <w:ind w:firstLine="640" w:firstLineChars="200"/>
        <w:rPr>
          <w:rFonts w:ascii="Times New Roman" w:hAnsi="Times New Roman" w:eastAsia="仿宋_GB2312" w:cs="Times New Roman"/>
          <w:color w:val="000000"/>
          <w:sz w:val="32"/>
          <w:szCs w:val="28"/>
        </w:rPr>
      </w:pPr>
      <w:r>
        <w:rPr>
          <w:rFonts w:ascii="Times New Roman" w:hAnsi="Times New Roman" w:eastAsia="仿宋_GB2312" w:cs="Times New Roman"/>
          <w:color w:val="000000"/>
          <w:sz w:val="32"/>
          <w:szCs w:val="28"/>
        </w:rPr>
        <w:t>围绕物联网、集成电路、区块链、人工智能、5G、大数据、虚拟现实等为代表的新一代信息技术，鼓励本地高校创办数字技术相关学院，增设相关学科。抓住5G商用契机，加快推动物联网、云计算、虚拟现实等技术在教育领域的规模化应用，支持互联网企业与在线教育机构深度合作，大力发展智能化、交互式在线教育模式，增强在线教育体验感。全面落实“教育信息化2.0”行动计划，深入推进“三通两平台”建设，推动信息技术和智能技术融入教育教学全过程，推动智慧校园建设，引进名校教育资源，构建一体化“互联网+教育”大数据平台。加强智能教学助手、人工智能（AI）教师等新技术的应用，推动教育模式变革，大力推进“互联网+”“智能+”教育教学改革，促进学科交叉融合，培养在线教育行业发展各类急需人才。建立市场化运作机制，创新各级资源和管理平台的运营模式，构建基于移动端的“智慧校园”生态圈，消除数字鸿沟。促进全民数字技能教育教学资源体系初步形成，信息弱势群体数字素养与技能明显提升；到2025年，全民数字技能教育培训广泛普及，让人民群众共享信息化发展成果。</w:t>
      </w:r>
    </w:p>
    <w:tbl>
      <w:tblPr>
        <w:tblStyle w:val="24"/>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642" w:type="dxa"/>
          </w:tcPr>
          <w:p>
            <w:pPr>
              <w:widowControl/>
              <w:numPr>
                <w:ilvl w:val="0"/>
                <w:numId w:val="1"/>
              </w:numPr>
              <w:spacing w:line="600" w:lineRule="exact"/>
              <w:jc w:val="center"/>
              <w:rPr>
                <w:rFonts w:ascii="Times New Roman" w:hAnsi="Times New Roman" w:eastAsia="仿宋_GB2312" w:cs="Times New Roman"/>
                <w:color w:val="000000"/>
                <w:kern w:val="0"/>
                <w:sz w:val="30"/>
                <w:szCs w:val="30"/>
              </w:rPr>
            </w:pPr>
            <w:r>
              <w:rPr>
                <w:rFonts w:hint="eastAsia" w:ascii="Times New Roman" w:hAnsi="Times New Roman" w:eastAsia="楷体_GB2312" w:cs="Times New Roman"/>
                <w:b/>
                <w:color w:val="000000"/>
                <w:sz w:val="28"/>
                <w:szCs w:val="28"/>
              </w:rPr>
              <w:t>智慧教育工程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2" w:type="dxa"/>
          </w:tcPr>
          <w:p>
            <w:pPr>
              <w:spacing w:line="600" w:lineRule="exact"/>
              <w:ind w:firstLine="560" w:firstLineChars="200"/>
              <w:contextualSpacing/>
              <w:rPr>
                <w:rFonts w:ascii="Times New Roman" w:hAnsi="Times New Roman" w:eastAsia="华文仿宋" w:cs="Times New Roman"/>
                <w:color w:val="000000"/>
                <w:sz w:val="28"/>
                <w:szCs w:val="28"/>
              </w:rPr>
            </w:pPr>
            <w:r>
              <w:rPr>
                <w:rFonts w:ascii="Times New Roman" w:hAnsi="Times New Roman" w:eastAsia="仿宋_GB2312" w:cs="Times New Roman"/>
                <w:color w:val="000000"/>
                <w:sz w:val="28"/>
                <w:szCs w:val="28"/>
              </w:rPr>
              <w:t>积极推动泉州市在线教育一体化平台建设；加快构建涵盖教育资源、网络教研、教育管理等内容的全市统一的教育云平台。积极推动鲤城构建“成迹”平台，建设一个中心、两个应用，帮助家长关注儿童成长轨迹。加快推进洛江、南安及泉州开发区“智慧教育”项目建设。</w:t>
            </w:r>
          </w:p>
        </w:tc>
      </w:tr>
    </w:tbl>
    <w:p>
      <w:pPr>
        <w:spacing w:line="580" w:lineRule="exact"/>
        <w:ind w:firstLine="640" w:firstLineChars="200"/>
        <w:rPr>
          <w:rFonts w:ascii="Times New Roman" w:hAnsi="Times New Roman" w:eastAsia="黑体" w:cs="Times New Roman"/>
          <w:color w:val="000000"/>
          <w:kern w:val="0"/>
          <w:sz w:val="32"/>
          <w:szCs w:val="30"/>
          <w:lang w:val="zh-CN"/>
        </w:rPr>
      </w:pPr>
      <w:bookmarkStart w:id="266" w:name="_Toc86954678"/>
      <w:bookmarkStart w:id="267" w:name="_Toc81425764"/>
      <w:bookmarkStart w:id="268" w:name="_Toc2273"/>
      <w:bookmarkStart w:id="269" w:name="_Toc386424840"/>
      <w:bookmarkStart w:id="270" w:name="_Toc24443"/>
      <w:bookmarkStart w:id="271" w:name="_Toc833684833"/>
      <w:bookmarkStart w:id="272" w:name="_Toc2526"/>
      <w:bookmarkStart w:id="273" w:name="_Toc7650"/>
      <w:bookmarkStart w:id="274" w:name="_Toc29555"/>
      <w:bookmarkStart w:id="275" w:name="_Toc1800081487"/>
      <w:bookmarkStart w:id="276" w:name="_Toc31234"/>
      <w:bookmarkStart w:id="277" w:name="_Toc27916"/>
      <w:bookmarkStart w:id="278" w:name="_Toc2207"/>
      <w:bookmarkStart w:id="279" w:name="_Toc27864"/>
      <w:bookmarkStart w:id="280" w:name="_Toc13736"/>
      <w:bookmarkStart w:id="281" w:name="_Toc32079"/>
      <w:bookmarkStart w:id="282" w:name="_Toc1235821442"/>
      <w:bookmarkStart w:id="283" w:name="_Toc25376"/>
      <w:r>
        <w:rPr>
          <w:rFonts w:ascii="Times New Roman" w:hAnsi="Times New Roman" w:eastAsia="黑体" w:cs="Times New Roman"/>
          <w:color w:val="000000"/>
          <w:kern w:val="0"/>
          <w:sz w:val="32"/>
          <w:szCs w:val="30"/>
          <w:lang w:val="zh-CN"/>
        </w:rPr>
        <w:t>二、有序推进智慧医疗</w:t>
      </w:r>
      <w:bookmarkEnd w:id="266"/>
      <w:bookmarkEnd w:id="267"/>
      <w:bookmarkEnd w:id="268"/>
      <w:r>
        <w:rPr>
          <w:rFonts w:ascii="Times New Roman" w:hAnsi="Times New Roman" w:eastAsia="黑体" w:cs="Times New Roman"/>
          <w:color w:val="000000"/>
          <w:kern w:val="0"/>
          <w:sz w:val="32"/>
          <w:szCs w:val="30"/>
          <w:lang w:val="zh-CN"/>
        </w:rPr>
        <w:t>建设</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pPr>
        <w:spacing w:line="580" w:lineRule="exact"/>
        <w:ind w:firstLine="640" w:firstLineChars="200"/>
        <w:rPr>
          <w:rFonts w:ascii="Times New Roman" w:hAnsi="Times New Roman" w:eastAsia="仿宋_GB2312" w:cs="Times New Roman"/>
          <w:color w:val="000000"/>
          <w:sz w:val="32"/>
          <w:szCs w:val="28"/>
        </w:rPr>
      </w:pPr>
      <w:r>
        <w:rPr>
          <w:rFonts w:ascii="Times New Roman" w:hAnsi="Times New Roman" w:eastAsia="仿宋_GB2312" w:cs="Times New Roman"/>
          <w:color w:val="000000"/>
          <w:sz w:val="32"/>
          <w:szCs w:val="28"/>
        </w:rPr>
        <w:t>提升“互联网+医疗健康”基础设施保障能力，推进卫生健康专网带宽提速，扩大远程视频专网接入范围。推进“健康泉州服务平台”建设，实现全市统一线上预约、个人健康诊疗记录网上查询等功能，逐步构建“一人一档”的全生命周期个人健康数据库。探索福建健康码“多码融合”应用在全市各级医疗机构落地，统筹电子身份证、电子健康卡、医保电子凭证、电子社保卡等技术标准，实现“一部手机全市就医”。推动医疗机构间信息共享，逐步实现同区域、同级医院间电子病历、检验检查结果、医学影像资料等便捷调阅共享和引用。推进网络安全等级保护，持续提升网络与信息安全保障能力。加快布局“5G+智慧医疗”，重点实现远程会诊、线上问诊、开电子处方、药品审核配送。依托互联网、可穿戴设备，积极开展对慢性病、免疫规划等在线服务和健康干预管理。开展智慧健康养老应用示范，满足多样化、个性化健康养老需求。运用“互联网+”打造智慧社区养老助残服务体系，以居家为基础提升养老服务领域智慧化水平。</w:t>
      </w:r>
    </w:p>
    <w:p>
      <w:pPr>
        <w:spacing w:line="580" w:lineRule="exact"/>
        <w:ind w:firstLine="640" w:firstLineChars="200"/>
        <w:rPr>
          <w:rFonts w:ascii="Times New Roman" w:hAnsi="Times New Roman" w:eastAsia="黑体" w:cs="Times New Roman"/>
          <w:color w:val="000000"/>
          <w:kern w:val="0"/>
          <w:sz w:val="32"/>
          <w:szCs w:val="30"/>
          <w:lang w:val="zh-CN"/>
        </w:rPr>
      </w:pPr>
      <w:bookmarkStart w:id="284" w:name="_Toc219"/>
      <w:bookmarkStart w:id="285" w:name="_Toc30656"/>
      <w:bookmarkStart w:id="286" w:name="_Toc10767"/>
      <w:bookmarkStart w:id="287" w:name="_Toc26897"/>
      <w:bookmarkStart w:id="288" w:name="_Toc28297"/>
      <w:bookmarkStart w:id="289" w:name="_Toc23682"/>
      <w:bookmarkStart w:id="290" w:name="_Toc9166"/>
      <w:bookmarkStart w:id="291" w:name="_Toc1451873767"/>
      <w:bookmarkStart w:id="292" w:name="_Toc21158"/>
      <w:bookmarkStart w:id="293" w:name="_Toc81425765"/>
      <w:bookmarkStart w:id="294" w:name="_Toc11890"/>
      <w:bookmarkStart w:id="295" w:name="_Toc1640998111"/>
      <w:bookmarkStart w:id="296" w:name="_Toc86954679"/>
      <w:bookmarkStart w:id="297" w:name="_Toc1145123676"/>
      <w:bookmarkStart w:id="298" w:name="_Toc250823313"/>
      <w:bookmarkStart w:id="299" w:name="_Toc29566"/>
      <w:bookmarkStart w:id="300" w:name="_Toc10861"/>
      <w:bookmarkStart w:id="301" w:name="_Toc19316"/>
      <w:r>
        <w:rPr>
          <w:rFonts w:ascii="Times New Roman" w:hAnsi="Times New Roman" w:eastAsia="黑体" w:cs="Times New Roman"/>
          <w:color w:val="000000"/>
          <w:kern w:val="0"/>
          <w:sz w:val="32"/>
          <w:szCs w:val="30"/>
          <w:lang w:val="zh-CN"/>
        </w:rPr>
        <w:t>三、加快推进智慧交通建设</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pPr>
        <w:spacing w:line="580" w:lineRule="exact"/>
        <w:ind w:firstLine="640" w:firstLineChars="200"/>
        <w:rPr>
          <w:rFonts w:ascii="Times New Roman" w:hAnsi="Times New Roman" w:eastAsia="仿宋_GB2312" w:cs="Times New Roman"/>
          <w:color w:val="000000"/>
          <w:sz w:val="32"/>
          <w:szCs w:val="28"/>
        </w:rPr>
      </w:pPr>
      <w:r>
        <w:rPr>
          <w:rFonts w:ascii="Times New Roman" w:hAnsi="Times New Roman" w:eastAsia="仿宋_GB2312" w:cs="Times New Roman"/>
          <w:color w:val="000000"/>
          <w:sz w:val="32"/>
          <w:szCs w:val="28"/>
        </w:rPr>
        <w:t>打造智慧交通综合出行平台，有效整合高速、国省道干线、县乡道路三大路网以及民航、对台航运、公路客运、城市公交、出租车、网约车、共享单车等出行服务方式，接入城市路面、地理建筑、实时交通等出行相关信息，推进北斗网格码与智慧交通的融合应用，探索“一键下单、多元融合出行”的一体化智慧出行服务。建设“智慧停车”系统，提供全市停车地图、车场状态实时监控、停车大数据挖掘分析等服务。基于数字孪生技术，开展城市交通流量和信号仿真，促进道路通行能力最大化；应用边缘计算，实现道路边缘节点集成地图、交通信号、附近移动目标等信息系统，实现车路协同和特定区域的自动驾驶示范应用。汇聚交通基础设施、交通运输工具、城市管理相关数据，构建交通基础设施大数据资源中心；依托泉州市交通运输运行监测调度中心建设交通运输监测系统、实时分析系统、应急调度系统，实现交通运输运行实时监测感知和决策分析。</w:t>
      </w:r>
    </w:p>
    <w:tbl>
      <w:tblPr>
        <w:tblStyle w:val="24"/>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642" w:type="dxa"/>
          </w:tcPr>
          <w:p>
            <w:pPr>
              <w:widowControl/>
              <w:numPr>
                <w:ilvl w:val="0"/>
                <w:numId w:val="1"/>
              </w:numPr>
              <w:spacing w:line="600" w:lineRule="exact"/>
              <w:jc w:val="center"/>
              <w:rPr>
                <w:rFonts w:ascii="Times New Roman" w:hAnsi="Times New Roman" w:eastAsia="仿宋_GB2312" w:cs="Times New Roman"/>
                <w:color w:val="000000"/>
                <w:kern w:val="0"/>
                <w:sz w:val="30"/>
                <w:szCs w:val="30"/>
              </w:rPr>
            </w:pPr>
            <w:bookmarkStart w:id="302" w:name="_Toc81425766"/>
            <w:bookmarkStart w:id="303" w:name="_Toc18636"/>
            <w:r>
              <w:rPr>
                <w:rFonts w:hint="eastAsia" w:ascii="Times New Roman" w:hAnsi="Times New Roman" w:eastAsia="楷体_GB2312" w:cs="Times New Roman"/>
                <w:b/>
                <w:color w:val="000000"/>
                <w:sz w:val="28"/>
                <w:szCs w:val="28"/>
              </w:rPr>
              <w:t>智慧交通工程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2" w:type="dxa"/>
          </w:tcPr>
          <w:p>
            <w:pPr>
              <w:spacing w:line="600" w:lineRule="exact"/>
              <w:ind w:firstLine="560" w:firstLineChars="200"/>
              <w:contextualSpacing/>
              <w:rPr>
                <w:rFonts w:ascii="Times New Roman" w:hAnsi="Times New Roman" w:eastAsia="华文仿宋" w:cs="Times New Roman"/>
                <w:color w:val="000000"/>
                <w:sz w:val="28"/>
                <w:szCs w:val="28"/>
              </w:rPr>
            </w:pPr>
            <w:r>
              <w:rPr>
                <w:rFonts w:ascii="Times New Roman" w:hAnsi="Times New Roman" w:eastAsia="仿宋_GB2312" w:cs="Times New Roman"/>
                <w:color w:val="000000"/>
                <w:sz w:val="28"/>
                <w:szCs w:val="28"/>
              </w:rPr>
              <w:t>加快推进“泉州市道路运输车辆路面动态监管平台”建设，开展违法监测预警、移动执法监管、指挥调度等应用。积极推动泉州交通基础设施大数据资源中心建设，实现对全市交通数据的汇聚存储，为建设跨部门、跨层级、跨领域的智慧交通应用体系打下基础。积极推动“泉州市交通运输运行监测调度中心”建设，实现交通运输运行实时监测和决策分析。继续提升完善“泉城通平台”建设，加快推进“自行车网”建设，全面提升泉州电动自行车智能化管理水平，逐步构建电动自行车全链条智能管理一张网。积极推动泉州市城市智慧公交大脑建设，实现全智能公交调度和公交负荷分担。</w:t>
            </w:r>
          </w:p>
        </w:tc>
      </w:tr>
    </w:tbl>
    <w:p>
      <w:pPr>
        <w:spacing w:line="580" w:lineRule="exact"/>
        <w:ind w:firstLine="640" w:firstLineChars="200"/>
        <w:rPr>
          <w:rFonts w:ascii="Times New Roman" w:hAnsi="Times New Roman" w:eastAsia="黑体" w:cs="Times New Roman"/>
          <w:color w:val="000000"/>
          <w:kern w:val="0"/>
          <w:sz w:val="32"/>
          <w:szCs w:val="30"/>
          <w:lang w:val="zh-CN"/>
        </w:rPr>
      </w:pPr>
      <w:bookmarkStart w:id="304" w:name="_Toc5729"/>
      <w:bookmarkStart w:id="305" w:name="_Toc2038973193"/>
      <w:bookmarkStart w:id="306" w:name="_Toc22216"/>
      <w:bookmarkStart w:id="307" w:name="_Toc86954680"/>
      <w:bookmarkStart w:id="308" w:name="_Toc2011513355"/>
      <w:bookmarkStart w:id="309" w:name="_Toc32298992"/>
      <w:bookmarkStart w:id="310" w:name="_Toc21742"/>
      <w:bookmarkStart w:id="311" w:name="_Toc26065"/>
      <w:bookmarkStart w:id="312" w:name="_Toc14295"/>
      <w:bookmarkStart w:id="313" w:name="_Toc2438"/>
      <w:bookmarkStart w:id="314" w:name="_Toc29110"/>
      <w:bookmarkStart w:id="315" w:name="_Toc446"/>
      <w:bookmarkStart w:id="316" w:name="_Toc3535"/>
      <w:bookmarkStart w:id="317" w:name="_Toc2703"/>
      <w:bookmarkStart w:id="318" w:name="_Toc21012"/>
      <w:bookmarkStart w:id="319" w:name="_Toc387465359"/>
      <w:r>
        <w:rPr>
          <w:rFonts w:ascii="Times New Roman" w:hAnsi="Times New Roman" w:eastAsia="黑体" w:cs="Times New Roman"/>
          <w:color w:val="000000"/>
          <w:kern w:val="0"/>
          <w:sz w:val="32"/>
          <w:szCs w:val="30"/>
          <w:lang w:val="zh-CN"/>
        </w:rPr>
        <w:t>四、加快推进智慧人社建设</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p>
    <w:p>
      <w:pPr>
        <w:spacing w:line="580" w:lineRule="exact"/>
        <w:ind w:firstLine="640" w:firstLineChars="200"/>
        <w:rPr>
          <w:rFonts w:ascii="Times New Roman" w:hAnsi="Times New Roman" w:eastAsia="仿宋_GB2312" w:cs="Times New Roman"/>
          <w:color w:val="000000"/>
          <w:sz w:val="32"/>
          <w:szCs w:val="28"/>
        </w:rPr>
      </w:pPr>
      <w:r>
        <w:rPr>
          <w:rFonts w:ascii="Times New Roman" w:hAnsi="Times New Roman" w:eastAsia="仿宋_GB2312" w:cs="Times New Roman"/>
          <w:color w:val="000000"/>
          <w:sz w:val="32"/>
          <w:szCs w:val="28"/>
        </w:rPr>
        <w:t>加快人力资源大数据公共服务平台建设，健全“一窗、一网、一码”服务机制，建立人社数据采集、共享机制，促进人才发展环境全面优化。鼓励海内外顶尖人才来泉州开展数字经济领域的基础研究、应用研发、成果转化等创新创业活动。对数字技术“高精尖缺”人才，实行跟踪走访制，“一人一档”建立台账，“管家式”落实服务。着力培育一批适应数字产业化和产业数字化需要的“数字工匠”，支持培养一批互联网“极客”人才。构建智慧“大就业”平台，优化失业保险平台，实现电子档案标准化管理，促进档案信息资源的共享。持续推进社保卡应用和服务，推动参保人员持卡“参保、缴费、查询、领取待遇、生存认证”不出门应用，促进人社业务的精细化管理，促进公共服务的均等化、普惠性和可及性，打通服务群众“最后一公里”，增强群众对政府公共服务的获得感、认同度和满意度。</w:t>
      </w:r>
    </w:p>
    <w:p>
      <w:pPr>
        <w:spacing w:line="580" w:lineRule="exact"/>
        <w:ind w:firstLine="640" w:firstLineChars="200"/>
        <w:rPr>
          <w:rFonts w:ascii="Times New Roman" w:hAnsi="Times New Roman" w:eastAsia="黑体" w:cs="Times New Roman"/>
          <w:color w:val="000000"/>
          <w:kern w:val="0"/>
          <w:sz w:val="32"/>
          <w:szCs w:val="30"/>
          <w:lang w:val="zh-CN"/>
        </w:rPr>
      </w:pPr>
      <w:bookmarkStart w:id="320" w:name="_Toc27175"/>
      <w:bookmarkStart w:id="321" w:name="_Toc620450355"/>
      <w:bookmarkStart w:id="322" w:name="_Toc144500872"/>
      <w:bookmarkStart w:id="323" w:name="_Toc1126"/>
      <w:bookmarkStart w:id="324" w:name="_Toc9627"/>
      <w:bookmarkStart w:id="325" w:name="_Toc22374"/>
      <w:bookmarkStart w:id="326" w:name="_Toc86954681"/>
      <w:bookmarkStart w:id="327" w:name="_Toc3583"/>
      <w:bookmarkStart w:id="328" w:name="_Toc26134"/>
      <w:bookmarkStart w:id="329" w:name="_Toc32104"/>
      <w:bookmarkStart w:id="330" w:name="_Toc1508"/>
      <w:bookmarkStart w:id="331" w:name="_Toc20269"/>
      <w:bookmarkStart w:id="332" w:name="_Toc837525149"/>
      <w:bookmarkStart w:id="333" w:name="_Toc81425767"/>
      <w:bookmarkStart w:id="334" w:name="_Toc883"/>
      <w:bookmarkStart w:id="335" w:name="_Toc18563"/>
      <w:bookmarkStart w:id="336" w:name="_Toc1019143673"/>
      <w:bookmarkStart w:id="337" w:name="_Toc24340"/>
      <w:r>
        <w:rPr>
          <w:rFonts w:ascii="Times New Roman" w:hAnsi="Times New Roman" w:eastAsia="黑体" w:cs="Times New Roman"/>
          <w:color w:val="000000"/>
          <w:kern w:val="0"/>
          <w:sz w:val="32"/>
          <w:szCs w:val="30"/>
          <w:lang w:val="zh-CN"/>
        </w:rPr>
        <w:t>五、着力推动智慧水务建设</w:t>
      </w:r>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pPr>
        <w:spacing w:line="580" w:lineRule="exact"/>
        <w:ind w:firstLine="640" w:firstLineChars="200"/>
        <w:rPr>
          <w:rFonts w:ascii="Times New Roman" w:hAnsi="Times New Roman" w:eastAsia="仿宋_GB2312" w:cs="Times New Roman"/>
          <w:color w:val="000000"/>
          <w:sz w:val="32"/>
          <w:szCs w:val="28"/>
        </w:rPr>
      </w:pPr>
      <w:r>
        <w:rPr>
          <w:rFonts w:ascii="Times New Roman" w:hAnsi="Times New Roman" w:eastAsia="仿宋_GB2312" w:cs="Times New Roman"/>
          <w:color w:val="000000"/>
          <w:sz w:val="32"/>
          <w:szCs w:val="28"/>
        </w:rPr>
        <w:t>加快建设“水务大脑”，针对原水、制水、供水、排水、污水、节水等涉水全流程业务，建立统一融合和互联互通的中心化平台，助力城市用水向数字化、智慧化阶段转型，建设具有泉州特色的“智慧水务”。通过水质、水压、流量等在线监测设备实时感知城市原水、供排水系统的运行状态，并通过5G等无线网络实时传输，形成全面覆盖的城市水务物联网；建设“水电气热”四表合一抄收系统，实现联合档案管理、联合抄表、账单合并与发布、联合收费及清分结算等功能。</w:t>
      </w:r>
    </w:p>
    <w:tbl>
      <w:tblPr>
        <w:tblStyle w:val="24"/>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642" w:type="dxa"/>
          </w:tcPr>
          <w:p>
            <w:pPr>
              <w:widowControl/>
              <w:numPr>
                <w:ilvl w:val="0"/>
                <w:numId w:val="1"/>
              </w:numPr>
              <w:spacing w:line="600" w:lineRule="exact"/>
              <w:jc w:val="center"/>
              <w:rPr>
                <w:rFonts w:ascii="Times New Roman" w:hAnsi="Times New Roman" w:eastAsia="仿宋_GB2312" w:cs="Times New Roman"/>
                <w:color w:val="000000"/>
                <w:kern w:val="0"/>
                <w:sz w:val="30"/>
                <w:szCs w:val="30"/>
              </w:rPr>
            </w:pPr>
            <w:r>
              <w:rPr>
                <w:rFonts w:hint="eastAsia" w:ascii="Times New Roman" w:hAnsi="Times New Roman" w:eastAsia="楷体_GB2312" w:cs="Times New Roman"/>
                <w:b/>
                <w:color w:val="000000"/>
                <w:sz w:val="28"/>
                <w:szCs w:val="28"/>
              </w:rPr>
              <w:t>智慧水务工程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2" w:type="dxa"/>
          </w:tcPr>
          <w:p>
            <w:pPr>
              <w:spacing w:line="600" w:lineRule="exact"/>
              <w:ind w:firstLine="560" w:firstLineChars="200"/>
              <w:contextualSpacing/>
              <w:rPr>
                <w:rFonts w:ascii="Times New Roman" w:hAnsi="Times New Roman" w:eastAsia="华文仿宋" w:cs="Times New Roman"/>
                <w:color w:val="000000"/>
                <w:sz w:val="28"/>
                <w:szCs w:val="28"/>
              </w:rPr>
            </w:pPr>
            <w:r>
              <w:rPr>
                <w:rFonts w:ascii="Times New Roman" w:hAnsi="Times New Roman" w:eastAsia="仿宋_GB2312" w:cs="Times New Roman"/>
                <w:color w:val="000000"/>
                <w:sz w:val="28"/>
                <w:szCs w:val="28"/>
              </w:rPr>
              <w:t>积极推动“水务大脑”项目建设，建立统一运营管理中心、统一算法模型库、统一应用中心，为水务行业相关用户提供常用水务场景基础平台及水务类APP等。积极推动鲤城建设“水资源监控管理系统开发与应用”项目，推动泉州开发区“海丝埃睿迪智慧水务项目”建设，打造智慧水务数字化平台。推动石狮“智慧水务”建设，构建城市排水、防洪、水环境等业务一体化运行管理系统平台。</w:t>
            </w:r>
          </w:p>
        </w:tc>
      </w:tr>
    </w:tbl>
    <w:p>
      <w:pPr>
        <w:spacing w:line="580" w:lineRule="exact"/>
        <w:ind w:firstLine="640" w:firstLineChars="200"/>
        <w:rPr>
          <w:rFonts w:ascii="Times New Roman" w:hAnsi="Times New Roman" w:eastAsia="黑体" w:cs="Times New Roman"/>
          <w:color w:val="000000"/>
          <w:kern w:val="0"/>
          <w:sz w:val="32"/>
          <w:szCs w:val="30"/>
          <w:lang w:val="zh-CN"/>
        </w:rPr>
      </w:pPr>
      <w:bookmarkStart w:id="338" w:name="_Toc10538"/>
      <w:bookmarkStart w:id="339" w:name="_Toc2123373607"/>
      <w:bookmarkStart w:id="340" w:name="_Toc18188"/>
      <w:bookmarkStart w:id="341" w:name="_Toc25211"/>
      <w:bookmarkStart w:id="342" w:name="_Toc388288145"/>
      <w:bookmarkStart w:id="343" w:name="_Toc10425"/>
      <w:bookmarkStart w:id="344" w:name="_Toc32344"/>
      <w:bookmarkStart w:id="345" w:name="_Toc10972"/>
      <w:bookmarkStart w:id="346" w:name="_Toc12855"/>
      <w:bookmarkStart w:id="347" w:name="_Toc9735"/>
      <w:bookmarkStart w:id="348" w:name="_Toc965867861"/>
      <w:bookmarkStart w:id="349" w:name="_Toc26307"/>
      <w:bookmarkStart w:id="350" w:name="_Toc364994553"/>
      <w:bookmarkStart w:id="351" w:name="_Toc7891"/>
      <w:bookmarkStart w:id="352" w:name="_Toc1831"/>
      <w:bookmarkStart w:id="353" w:name="_Toc86954682"/>
      <w:bookmarkStart w:id="354" w:name="_Toc25753"/>
      <w:bookmarkStart w:id="355" w:name="_Toc81425768"/>
      <w:r>
        <w:rPr>
          <w:rFonts w:ascii="Times New Roman" w:hAnsi="Times New Roman" w:eastAsia="黑体" w:cs="Times New Roman"/>
          <w:color w:val="000000"/>
          <w:kern w:val="0"/>
          <w:sz w:val="32"/>
          <w:szCs w:val="30"/>
          <w:lang w:val="zh-CN"/>
        </w:rPr>
        <w:t>六、加快推进智慧海洋建设</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p>
      <w:pPr>
        <w:spacing w:line="580" w:lineRule="exact"/>
        <w:ind w:firstLine="640" w:firstLineChars="200"/>
        <w:rPr>
          <w:rFonts w:ascii="Times New Roman" w:hAnsi="Times New Roman" w:eastAsia="仿宋_GB2312" w:cs="Times New Roman"/>
          <w:color w:val="000000"/>
          <w:sz w:val="32"/>
          <w:szCs w:val="28"/>
        </w:rPr>
      </w:pPr>
      <w:r>
        <w:rPr>
          <w:rFonts w:ascii="Times New Roman" w:hAnsi="Times New Roman" w:eastAsia="仿宋_GB2312" w:cs="Times New Roman"/>
          <w:color w:val="000000"/>
          <w:sz w:val="32"/>
          <w:szCs w:val="28"/>
        </w:rPr>
        <w:t>推进智慧海洋建设，助力“海上泉州”建设。打造海洋立体实时观测网，提升近岸港湾精细化海洋观测能力，强化海洋感知能力。推动“宽带入海”，打造陆海衔接的通信网络，完善海洋渔业安全应急通信网络。配合推动海洋大数据中心建设，进一步提高海洋环境监测、观测和预警报数据的采集、处理和管理水平。完善海洋综合防灾减灾体系，建设精细化、网格化、智能化海洋预报业务系统，提升海洋灾害预报预警服务、海上突发事件应急处置能力。</w:t>
      </w:r>
    </w:p>
    <w:tbl>
      <w:tblPr>
        <w:tblStyle w:val="24"/>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642" w:type="dxa"/>
          </w:tcPr>
          <w:p>
            <w:pPr>
              <w:widowControl/>
              <w:numPr>
                <w:ilvl w:val="0"/>
                <w:numId w:val="1"/>
              </w:numPr>
              <w:spacing w:line="600" w:lineRule="exact"/>
              <w:jc w:val="center"/>
              <w:rPr>
                <w:rFonts w:ascii="Times New Roman" w:hAnsi="Times New Roman" w:eastAsia="仿宋_GB2312" w:cs="Times New Roman"/>
                <w:color w:val="000000"/>
                <w:kern w:val="0"/>
                <w:sz w:val="30"/>
                <w:szCs w:val="30"/>
              </w:rPr>
            </w:pPr>
            <w:r>
              <w:rPr>
                <w:rFonts w:hint="eastAsia" w:ascii="Times New Roman" w:hAnsi="Times New Roman" w:eastAsia="楷体_GB2312" w:cs="Times New Roman"/>
                <w:b/>
                <w:color w:val="000000"/>
                <w:sz w:val="28"/>
                <w:szCs w:val="28"/>
              </w:rPr>
              <w:t>智慧海洋提升工程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2" w:type="dxa"/>
          </w:tcPr>
          <w:p>
            <w:pPr>
              <w:spacing w:line="600" w:lineRule="exact"/>
              <w:ind w:firstLine="560" w:firstLineChars="200"/>
              <w:contextualSpacing/>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布局智慧海洋基础设施：加快实施“光纤上岛”工程，实现人群聚集和重点开发海岛的有线宽带、4G/5G网络覆盖；拓展遥感、通信卫星在海洋渔业领域的应用，优化布局现有岸台基站；启动实施监测志愿船观测系统项目建设。加大渔船通导与安全装备升级改造力度，推广“插卡式AIS”应用。建设智慧海洋大数据中心（一期），整合各涉海部门和行业数据资源，推动各类海洋数据互联互通、融合共享。</w:t>
            </w:r>
          </w:p>
          <w:p>
            <w:pPr>
              <w:spacing w:line="600" w:lineRule="exact"/>
              <w:ind w:firstLine="560" w:firstLineChars="200"/>
              <w:contextualSpacing/>
              <w:rPr>
                <w:rFonts w:ascii="Times New Roman" w:hAnsi="Times New Roman" w:eastAsia="仿宋_GB2312" w:cs="Times New Roman"/>
                <w:color w:val="000000"/>
                <w:sz w:val="28"/>
                <w:szCs w:val="28"/>
              </w:rPr>
            </w:pPr>
            <w:r>
              <w:rPr>
                <w:rFonts w:ascii="Times New Roman" w:hAnsi="Times New Roman" w:eastAsia="仿宋_GB2312" w:cs="Times New Roman"/>
                <w:color w:val="000000"/>
                <w:sz w:val="28"/>
                <w:szCs w:val="28"/>
              </w:rPr>
              <w:t>建设智慧海洋基础应用：推进“海洋牧场”、智慧水产养殖，构建基于物联网的水产养殖生产和管理系统。升级改造渔船数字化捕捞装备；建设涵盖渔政执法、渔获物可追溯、渔船动态监控等一体化渔港综合管理系统。打造集人、船、港为一体的渔业智慧监管平台，培育发展海洋卫星应用产业，推进石狮飞通通讯等智慧海洋通讯项目。加强海洋生态灾害和环境风险防范，强化赤潮灾害防控与预警能力建设，完善海洋环境事故风险防范与应急体系建设。</w:t>
            </w:r>
          </w:p>
          <w:p>
            <w:pPr>
              <w:spacing w:line="600" w:lineRule="exact"/>
              <w:ind w:firstLine="560" w:firstLineChars="200"/>
              <w:contextualSpacing/>
              <w:rPr>
                <w:rFonts w:ascii="Times New Roman" w:hAnsi="Times New Roman" w:eastAsia="华文仿宋" w:cs="Times New Roman"/>
                <w:color w:val="000000"/>
                <w:sz w:val="28"/>
                <w:szCs w:val="28"/>
              </w:rPr>
            </w:pPr>
            <w:r>
              <w:rPr>
                <w:rFonts w:ascii="Times New Roman" w:hAnsi="Times New Roman" w:eastAsia="仿宋_GB2312" w:cs="Times New Roman"/>
                <w:color w:val="000000"/>
                <w:sz w:val="28"/>
                <w:szCs w:val="28"/>
              </w:rPr>
              <w:t>推进智慧渔港项目建设：推进石狮市祥芝渔港、晋江市东石镇白沙渔港等智慧渔港建设，启动渔港渔船一体智能化管理，构建“市场-航线-港口-港后服务”智慧生态体系，力争到2025年产值达500亿元。</w:t>
            </w:r>
          </w:p>
        </w:tc>
      </w:tr>
    </w:tbl>
    <w:p>
      <w:pPr>
        <w:keepNext/>
        <w:keepLines/>
        <w:spacing w:before="260" w:after="260" w:line="596" w:lineRule="exact"/>
        <w:jc w:val="center"/>
        <w:outlineLvl w:val="1"/>
        <w:rPr>
          <w:rFonts w:ascii="Times New Roman" w:hAnsi="Times New Roman" w:eastAsia="方正黑体简体" w:cs="Times New Roman"/>
          <w:bCs/>
          <w:color w:val="000000"/>
          <w:sz w:val="32"/>
          <w:szCs w:val="32"/>
        </w:rPr>
      </w:pPr>
      <w:bookmarkStart w:id="356" w:name="_Toc19999"/>
      <w:bookmarkStart w:id="357" w:name="_Toc161697896"/>
      <w:bookmarkStart w:id="358" w:name="_Toc28602"/>
      <w:bookmarkStart w:id="359" w:name="_Toc5779"/>
      <w:bookmarkStart w:id="360" w:name="_Toc4704"/>
      <w:bookmarkStart w:id="361" w:name="_Toc30765"/>
      <w:bookmarkStart w:id="362" w:name="_Toc1013945815"/>
      <w:bookmarkStart w:id="363" w:name="_Toc86954683"/>
      <w:bookmarkStart w:id="364" w:name="_Toc16341"/>
      <w:bookmarkStart w:id="365" w:name="_Toc173476384"/>
      <w:bookmarkStart w:id="366" w:name="_Toc22068"/>
      <w:bookmarkStart w:id="367" w:name="_Toc19976"/>
      <w:bookmarkStart w:id="368" w:name="_Toc31351"/>
      <w:bookmarkStart w:id="369" w:name="_Toc94308416"/>
      <w:bookmarkStart w:id="370" w:name="_Toc27060"/>
      <w:bookmarkStart w:id="371" w:name="_Toc1166976567"/>
      <w:bookmarkStart w:id="372" w:name="_Toc18046"/>
      <w:r>
        <w:rPr>
          <w:rFonts w:ascii="Times New Roman" w:hAnsi="Times New Roman" w:eastAsia="方正黑体简体" w:cs="Times New Roman"/>
          <w:bCs/>
          <w:color w:val="000000"/>
          <w:sz w:val="32"/>
          <w:szCs w:val="32"/>
        </w:rPr>
        <w:t>第二节 全面推动智慧城市建设</w:t>
      </w:r>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p>
      <w:pPr>
        <w:spacing w:line="580" w:lineRule="exact"/>
        <w:ind w:firstLine="640" w:firstLineChars="200"/>
        <w:rPr>
          <w:rFonts w:ascii="Times New Roman" w:hAnsi="Times New Roman" w:eastAsia="黑体" w:cs="Times New Roman"/>
          <w:color w:val="000000"/>
          <w:kern w:val="0"/>
          <w:sz w:val="32"/>
          <w:szCs w:val="30"/>
          <w:lang w:val="zh-CN"/>
        </w:rPr>
      </w:pPr>
      <w:bookmarkStart w:id="373" w:name="_Toc15506"/>
      <w:bookmarkStart w:id="374" w:name="_Toc81425769"/>
      <w:bookmarkStart w:id="375" w:name="_Toc29078"/>
      <w:bookmarkStart w:id="376" w:name="_Toc763489416"/>
      <w:bookmarkStart w:id="377" w:name="_Toc894492857"/>
      <w:bookmarkStart w:id="378" w:name="_Toc104901448"/>
      <w:bookmarkStart w:id="379" w:name="_Toc14348"/>
      <w:bookmarkStart w:id="380" w:name="_Toc6719"/>
      <w:bookmarkStart w:id="381" w:name="_Toc86954684"/>
      <w:bookmarkStart w:id="382" w:name="_Toc25975"/>
      <w:bookmarkStart w:id="383" w:name="_Toc17187"/>
      <w:bookmarkStart w:id="384" w:name="_Toc1016070981"/>
      <w:bookmarkStart w:id="385" w:name="_Toc4785"/>
      <w:bookmarkStart w:id="386" w:name="_Toc9217"/>
      <w:bookmarkStart w:id="387" w:name="_Toc20557"/>
      <w:bookmarkStart w:id="388" w:name="_Toc7849"/>
      <w:bookmarkStart w:id="389" w:name="_Toc13713"/>
      <w:bookmarkStart w:id="390" w:name="_Toc12315"/>
      <w:r>
        <w:rPr>
          <w:rFonts w:ascii="Times New Roman" w:hAnsi="Times New Roman" w:eastAsia="黑体" w:cs="Times New Roman"/>
          <w:color w:val="000000"/>
          <w:kern w:val="0"/>
          <w:sz w:val="32"/>
          <w:szCs w:val="30"/>
          <w:lang w:val="zh-CN"/>
        </w:rPr>
        <w:t>一、全面提升城市基础设施感知能力</w:t>
      </w:r>
      <w:bookmarkEnd w:id="373"/>
      <w:bookmarkEnd w:id="374"/>
      <w:bookmarkEnd w:id="375"/>
      <w:bookmarkEnd w:id="376"/>
      <w:bookmarkEnd w:id="377"/>
      <w:bookmarkEnd w:id="378"/>
      <w:bookmarkEnd w:id="379"/>
      <w:bookmarkEnd w:id="380"/>
      <w:bookmarkEnd w:id="381"/>
      <w:bookmarkEnd w:id="382"/>
      <w:bookmarkEnd w:id="383"/>
      <w:bookmarkEnd w:id="384"/>
      <w:r>
        <w:rPr>
          <w:rFonts w:ascii="Times New Roman" w:hAnsi="Times New Roman" w:eastAsia="黑体" w:cs="Times New Roman"/>
          <w:color w:val="000000"/>
          <w:kern w:val="0"/>
          <w:sz w:val="32"/>
          <w:szCs w:val="30"/>
          <w:lang w:val="zh-CN"/>
        </w:rPr>
        <w:t>建设</w:t>
      </w:r>
      <w:bookmarkEnd w:id="385"/>
      <w:bookmarkEnd w:id="386"/>
      <w:bookmarkEnd w:id="387"/>
      <w:bookmarkEnd w:id="388"/>
      <w:bookmarkEnd w:id="389"/>
      <w:bookmarkEnd w:id="390"/>
    </w:p>
    <w:p>
      <w:pPr>
        <w:spacing w:line="580" w:lineRule="exact"/>
        <w:ind w:firstLine="640" w:firstLineChars="200"/>
        <w:rPr>
          <w:rFonts w:ascii="Times New Roman" w:hAnsi="Times New Roman" w:eastAsia="仿宋_GB2312" w:cs="Times New Roman"/>
          <w:color w:val="000000"/>
          <w:sz w:val="32"/>
          <w:szCs w:val="28"/>
        </w:rPr>
      </w:pPr>
      <w:r>
        <w:rPr>
          <w:rFonts w:ascii="Times New Roman" w:hAnsi="Times New Roman" w:eastAsia="仿宋_GB2312" w:cs="Times New Roman"/>
          <w:color w:val="000000"/>
          <w:sz w:val="32"/>
          <w:szCs w:val="28"/>
        </w:rPr>
        <w:t>加快部署城市感知基础设施，进一步增强城市NB-IoT接入支撑能力，加强二维码、RFID、智能传感器、智能摄像头等全域感知设施的建设及应用，推动传统隐蔽基础设施（给排水、燃气、电力、通信等地下市政管网）的数字化改造升级，推进智慧杆柱、智能化综合管廊等新型智能市政设施建设，加快物联网与互联网基础设施融合，大力发展融合固定、移动、有线、无线的多层次泛在物联网络，打造新型城市泛在感知网络。</w:t>
      </w:r>
    </w:p>
    <w:p>
      <w:pPr>
        <w:spacing w:line="580" w:lineRule="exact"/>
        <w:ind w:firstLine="640" w:firstLineChars="200"/>
        <w:rPr>
          <w:rFonts w:ascii="Times New Roman" w:hAnsi="Times New Roman" w:eastAsia="黑体" w:cs="Times New Roman"/>
          <w:color w:val="000000"/>
          <w:kern w:val="0"/>
          <w:sz w:val="32"/>
          <w:szCs w:val="30"/>
          <w:lang w:val="zh-CN"/>
        </w:rPr>
      </w:pPr>
      <w:bookmarkStart w:id="391" w:name="_Toc81425773"/>
      <w:bookmarkStart w:id="392" w:name="_Toc7916"/>
      <w:bookmarkStart w:id="393" w:name="_Toc149361117"/>
      <w:bookmarkStart w:id="394" w:name="_Toc10395"/>
      <w:bookmarkStart w:id="395" w:name="_Toc9256"/>
      <w:bookmarkStart w:id="396" w:name="_Toc20135"/>
      <w:bookmarkStart w:id="397" w:name="_Toc86954685"/>
      <w:bookmarkStart w:id="398" w:name="_Toc24815"/>
      <w:bookmarkStart w:id="399" w:name="_Toc1317815709"/>
      <w:bookmarkStart w:id="400" w:name="_Toc3620"/>
      <w:bookmarkStart w:id="401" w:name="_Toc24718"/>
      <w:bookmarkStart w:id="402" w:name="_Toc1517840303"/>
      <w:bookmarkStart w:id="403" w:name="_Toc20421"/>
      <w:bookmarkStart w:id="404" w:name="_Toc1006092265"/>
      <w:bookmarkStart w:id="405" w:name="_Toc21105"/>
      <w:bookmarkStart w:id="406" w:name="_Toc3871"/>
      <w:bookmarkStart w:id="407" w:name="_Toc21567"/>
      <w:bookmarkStart w:id="408" w:name="_Toc6655"/>
      <w:r>
        <w:rPr>
          <w:rFonts w:ascii="Times New Roman" w:hAnsi="Times New Roman" w:eastAsia="黑体" w:cs="Times New Roman"/>
          <w:color w:val="000000"/>
          <w:kern w:val="0"/>
          <w:sz w:val="32"/>
          <w:szCs w:val="30"/>
          <w:lang w:val="zh-CN"/>
        </w:rPr>
        <w:t>二、构建新型智慧城市运营指挥中枢平台</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p>
    <w:p>
      <w:pPr>
        <w:spacing w:line="580" w:lineRule="exact"/>
        <w:ind w:firstLine="640" w:firstLineChars="200"/>
        <w:rPr>
          <w:rFonts w:ascii="Times New Roman" w:hAnsi="Times New Roman" w:eastAsia="仿宋_GB2312" w:cs="Times New Roman"/>
          <w:color w:val="000000"/>
          <w:sz w:val="32"/>
          <w:szCs w:val="28"/>
        </w:rPr>
      </w:pPr>
      <w:r>
        <w:rPr>
          <w:rFonts w:ascii="Times New Roman" w:hAnsi="Times New Roman" w:eastAsia="仿宋_GB2312" w:cs="Times New Roman"/>
          <w:color w:val="000000"/>
          <w:sz w:val="32"/>
          <w:szCs w:val="28"/>
        </w:rPr>
        <w:t>加快推进泉州“城市大脑”建设，设计区域产业图谱、政策主动识别、宏观经济分析、投融资等专业预测、分析、研判模型和算法，提升政府决策精确性，实现政府对于城市运行状态和潜在问题的“先知、先觉和先行”，实现城市“一脑统管”。适度超前，应用智能感知、SDN、云边协同计算等技术，基于全要素城市信息模型（CIM）建设“数字孪生城市”，开展城市画像、人口画像、虚拟服务、决策仿真等超级应用；构建北斗数码数据注册与解析根服务平台及其应用场景建设。依托城市发展时空轨迹推演未来的演进趋势，洞察城市发展规律，为城市管理者提供更科学的监测分析和预警决策能力。</w:t>
      </w:r>
    </w:p>
    <w:p>
      <w:pPr>
        <w:spacing w:line="580" w:lineRule="exact"/>
        <w:ind w:firstLine="640" w:firstLineChars="200"/>
        <w:rPr>
          <w:rFonts w:ascii="Times New Roman" w:hAnsi="Times New Roman" w:eastAsia="黑体" w:cs="Times New Roman"/>
          <w:color w:val="000000"/>
          <w:kern w:val="0"/>
          <w:sz w:val="32"/>
          <w:szCs w:val="30"/>
          <w:lang w:val="zh-CN"/>
        </w:rPr>
      </w:pPr>
      <w:bookmarkStart w:id="409" w:name="_Toc18097"/>
      <w:bookmarkStart w:id="410" w:name="_Toc27981"/>
      <w:bookmarkStart w:id="411" w:name="_Toc30737"/>
      <w:bookmarkStart w:id="412" w:name="_Toc30724"/>
      <w:bookmarkStart w:id="413" w:name="_Toc28168"/>
      <w:bookmarkStart w:id="414" w:name="_Toc86954686"/>
      <w:bookmarkStart w:id="415" w:name="_Toc7444"/>
      <w:bookmarkStart w:id="416" w:name="_Toc704786349"/>
      <w:bookmarkStart w:id="417" w:name="_Toc28420"/>
      <w:bookmarkStart w:id="418" w:name="_Toc26952"/>
      <w:bookmarkStart w:id="419" w:name="_Toc1122375220"/>
      <w:bookmarkStart w:id="420" w:name="_Toc31762"/>
      <w:bookmarkStart w:id="421" w:name="_Toc8695"/>
      <w:bookmarkStart w:id="422" w:name="_Toc1933500020"/>
      <w:bookmarkStart w:id="423" w:name="_Toc2045087892"/>
      <w:bookmarkStart w:id="424" w:name="_Toc16426"/>
      <w:r>
        <w:rPr>
          <w:rFonts w:ascii="Times New Roman" w:hAnsi="Times New Roman" w:eastAsia="黑体" w:cs="Times New Roman"/>
          <w:color w:val="000000"/>
          <w:kern w:val="0"/>
          <w:sz w:val="32"/>
          <w:szCs w:val="30"/>
          <w:lang w:val="zh-CN"/>
        </w:rPr>
        <w:t>三、构建绿色和谐生态宜居的数字化社区</w:t>
      </w:r>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pPr>
        <w:spacing w:line="580" w:lineRule="exact"/>
        <w:ind w:firstLine="640" w:firstLineChars="200"/>
        <w:rPr>
          <w:rFonts w:ascii="Times New Roman" w:hAnsi="Times New Roman" w:eastAsia="仿宋_GB2312" w:cs="Times New Roman"/>
          <w:color w:val="000000"/>
          <w:sz w:val="32"/>
          <w:szCs w:val="28"/>
        </w:rPr>
      </w:pPr>
      <w:r>
        <w:rPr>
          <w:rFonts w:ascii="Times New Roman" w:hAnsi="Times New Roman" w:eastAsia="仿宋_GB2312" w:cs="Times New Roman"/>
          <w:color w:val="000000"/>
          <w:sz w:val="32"/>
          <w:szCs w:val="28"/>
        </w:rPr>
        <w:t>推进互联网与社区治理和服务体系的深度融合，实现智慧城市更宜居。推进社区智能化改造，建设“智慧楼宇”“智慧社区”；推进信息化设施与建筑、交通等领域无障碍设施融合，在公共场所普及信息无障碍自助设备；加快社区信息化平台“五个一”建设，推动服务实体窗口与一体化行政审批系统无缝对接，实现智慧城市宜居且宜业。建立智能环卫应用管理平台，实现智能化废弃物/垃圾回收与处理，构建绿色环保、低碳生活的生态宜居数字化新环境、新社区。</w:t>
      </w:r>
    </w:p>
    <w:tbl>
      <w:tblPr>
        <w:tblStyle w:val="24"/>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642" w:type="dxa"/>
          </w:tcPr>
          <w:p>
            <w:pPr>
              <w:widowControl/>
              <w:numPr>
                <w:ilvl w:val="0"/>
                <w:numId w:val="1"/>
              </w:numPr>
              <w:spacing w:line="600" w:lineRule="exact"/>
              <w:jc w:val="center"/>
              <w:rPr>
                <w:rFonts w:ascii="Times New Roman" w:hAnsi="Times New Roman" w:eastAsia="仿宋_GB2312" w:cs="Times New Roman"/>
                <w:color w:val="000000"/>
                <w:kern w:val="0"/>
                <w:sz w:val="30"/>
                <w:szCs w:val="30"/>
              </w:rPr>
            </w:pPr>
            <w:r>
              <w:rPr>
                <w:rFonts w:hint="eastAsia" w:ascii="Times New Roman" w:hAnsi="Times New Roman" w:eastAsia="楷体_GB2312" w:cs="Times New Roman"/>
                <w:b/>
                <w:color w:val="000000"/>
                <w:sz w:val="28"/>
                <w:szCs w:val="28"/>
              </w:rPr>
              <w:t>智慧城市提升工程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2" w:type="dxa"/>
          </w:tcPr>
          <w:p>
            <w:pPr>
              <w:spacing w:line="600" w:lineRule="exact"/>
              <w:ind w:firstLine="560" w:firstLineChars="200"/>
              <w:contextualSpacing/>
              <w:rPr>
                <w:rFonts w:ascii="Times New Roman" w:hAnsi="Times New Roman" w:eastAsia="华文仿宋" w:cs="Times New Roman"/>
                <w:color w:val="000000"/>
                <w:sz w:val="28"/>
                <w:szCs w:val="28"/>
              </w:rPr>
            </w:pPr>
            <w:r>
              <w:rPr>
                <w:rFonts w:ascii="Times New Roman" w:hAnsi="Times New Roman" w:eastAsia="仿宋_GB2312" w:cs="Times New Roman"/>
                <w:color w:val="000000"/>
                <w:sz w:val="28"/>
                <w:szCs w:val="28"/>
              </w:rPr>
              <w:t>高位谋划城市大脑，构建“1个城市大脑+M个行业小脑+N个县（市、区）分脑”的城市大脑体系，建设新型智慧城市运营中枢平台。推动洛江智慧城区提升工程建设；进一步推进石狮智慧城市综合项目建设；推动开发区智能城市智慧化改造项目建设；加快推动南安、惠安、永春、德化智慧城市项目建设。适度超前建设“数字孪生城市”，打造数字空间“第二泉州”。</w:t>
            </w:r>
          </w:p>
        </w:tc>
      </w:tr>
    </w:tbl>
    <w:p>
      <w:pPr>
        <w:keepNext/>
        <w:keepLines/>
        <w:spacing w:before="260" w:after="260" w:line="596" w:lineRule="exact"/>
        <w:jc w:val="center"/>
        <w:outlineLvl w:val="1"/>
        <w:rPr>
          <w:rFonts w:ascii="Times New Roman" w:hAnsi="Times New Roman" w:eastAsia="方正黑体简体" w:cs="Times New Roman"/>
          <w:bCs/>
          <w:color w:val="000000"/>
          <w:sz w:val="32"/>
          <w:szCs w:val="32"/>
        </w:rPr>
      </w:pPr>
      <w:bookmarkStart w:id="425" w:name="_Toc339"/>
      <w:bookmarkStart w:id="426" w:name="_Toc26096"/>
      <w:bookmarkStart w:id="427" w:name="_Toc10509"/>
      <w:bookmarkStart w:id="428" w:name="_Toc10635"/>
      <w:bookmarkStart w:id="429" w:name="_Toc15457"/>
      <w:bookmarkStart w:id="430" w:name="_Toc227118583"/>
      <w:bookmarkStart w:id="431" w:name="_Toc15515"/>
      <w:bookmarkStart w:id="432" w:name="_Toc4167"/>
      <w:bookmarkStart w:id="433" w:name="_Toc726878323"/>
      <w:bookmarkStart w:id="434" w:name="_Toc94308417"/>
      <w:bookmarkStart w:id="435" w:name="_Toc984"/>
      <w:bookmarkStart w:id="436" w:name="_Toc21940"/>
      <w:bookmarkStart w:id="437" w:name="_Toc916216254"/>
      <w:bookmarkStart w:id="438" w:name="_Toc1386"/>
      <w:bookmarkStart w:id="439" w:name="_Toc20645"/>
      <w:bookmarkStart w:id="440" w:name="_Toc1818849099"/>
      <w:bookmarkStart w:id="441" w:name="_Toc30195"/>
      <w:bookmarkStart w:id="442" w:name="_Toc86954687"/>
      <w:bookmarkStart w:id="443" w:name="_Toc81425774"/>
      <w:r>
        <w:rPr>
          <w:rFonts w:ascii="Times New Roman" w:hAnsi="Times New Roman" w:eastAsia="方正黑体简体" w:cs="Times New Roman"/>
          <w:bCs/>
          <w:color w:val="000000"/>
          <w:sz w:val="32"/>
          <w:szCs w:val="32"/>
        </w:rPr>
        <w:t>第三节 加快推动数字乡村发展</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p>
    <w:p>
      <w:pPr>
        <w:spacing w:line="580" w:lineRule="exact"/>
        <w:ind w:firstLine="640" w:firstLineChars="200"/>
        <w:rPr>
          <w:rFonts w:ascii="Times New Roman" w:hAnsi="Times New Roman" w:eastAsia="黑体" w:cs="Times New Roman"/>
          <w:color w:val="000000"/>
          <w:kern w:val="0"/>
          <w:sz w:val="32"/>
          <w:szCs w:val="30"/>
          <w:lang w:val="zh-CN"/>
        </w:rPr>
      </w:pPr>
      <w:bookmarkStart w:id="444" w:name="_Toc81425775"/>
      <w:bookmarkStart w:id="445" w:name="_Toc20886"/>
      <w:bookmarkStart w:id="446" w:name="_Toc387390696"/>
      <w:bookmarkStart w:id="447" w:name="_Toc3121"/>
      <w:bookmarkStart w:id="448" w:name="_Toc9851"/>
      <w:bookmarkStart w:id="449" w:name="_Toc29914"/>
      <w:bookmarkStart w:id="450" w:name="_Toc8025"/>
      <w:bookmarkStart w:id="451" w:name="_Toc18940"/>
      <w:bookmarkStart w:id="452" w:name="_Toc32176"/>
      <w:bookmarkStart w:id="453" w:name="_Toc14343"/>
      <w:bookmarkStart w:id="454" w:name="_Toc1103645125"/>
      <w:bookmarkStart w:id="455" w:name="_Toc29764"/>
      <w:bookmarkStart w:id="456" w:name="_Toc86954688"/>
      <w:bookmarkStart w:id="457" w:name="_Toc1010"/>
      <w:bookmarkStart w:id="458" w:name="_Toc1988335443"/>
      <w:bookmarkStart w:id="459" w:name="_Toc17764"/>
      <w:bookmarkStart w:id="460" w:name="_Toc1157789441"/>
      <w:bookmarkStart w:id="461" w:name="_Toc16394"/>
      <w:r>
        <w:rPr>
          <w:rFonts w:ascii="Times New Roman" w:hAnsi="Times New Roman" w:eastAsia="黑体" w:cs="Times New Roman"/>
          <w:color w:val="000000"/>
          <w:kern w:val="0"/>
          <w:sz w:val="32"/>
          <w:szCs w:val="30"/>
          <w:lang w:val="zh-CN"/>
        </w:rPr>
        <w:t>一、提升乡村数字基础设施</w:t>
      </w:r>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p>
      <w:pPr>
        <w:spacing w:line="580" w:lineRule="exact"/>
        <w:ind w:firstLine="640" w:firstLineChars="200"/>
        <w:rPr>
          <w:rFonts w:ascii="Times New Roman" w:hAnsi="Times New Roman" w:eastAsia="仿宋_GB2312" w:cs="Times New Roman"/>
          <w:color w:val="000000"/>
          <w:sz w:val="32"/>
          <w:szCs w:val="28"/>
        </w:rPr>
      </w:pPr>
      <w:r>
        <w:rPr>
          <w:rFonts w:ascii="Times New Roman" w:hAnsi="Times New Roman" w:eastAsia="仿宋_GB2312" w:cs="Times New Roman"/>
          <w:color w:val="000000"/>
          <w:sz w:val="32"/>
          <w:szCs w:val="28"/>
        </w:rPr>
        <w:t>大力实施“宽带乡村”工程、“农业云131”信息工程，发展乡村5G典型创新应用，重点打造涉农综合服务平台。加快完成农村电网、水利、公路、冷链物流、邮政快递等基础设施数字化升级改造，加快农村物流三级节点网络建设。建设农业农村基础数据资源体系和农业农村云平台，统筹山水林田湖草系统治理数据，建立乡村人居环境智能监测体系。</w:t>
      </w:r>
    </w:p>
    <w:p>
      <w:pPr>
        <w:spacing w:line="580" w:lineRule="exact"/>
        <w:ind w:firstLine="640" w:firstLineChars="200"/>
        <w:rPr>
          <w:rFonts w:ascii="Times New Roman" w:hAnsi="Times New Roman" w:eastAsia="黑体" w:cs="Times New Roman"/>
          <w:color w:val="000000"/>
          <w:kern w:val="0"/>
          <w:sz w:val="32"/>
          <w:szCs w:val="30"/>
          <w:lang w:val="zh-CN"/>
        </w:rPr>
      </w:pPr>
      <w:bookmarkStart w:id="462" w:name="_Toc22408"/>
      <w:bookmarkStart w:id="463" w:name="_Toc7000"/>
      <w:bookmarkStart w:id="464" w:name="_Toc23593"/>
      <w:bookmarkStart w:id="465" w:name="_Toc204599520"/>
      <w:bookmarkStart w:id="466" w:name="_Toc32614"/>
      <w:bookmarkStart w:id="467" w:name="_Toc11859"/>
      <w:bookmarkStart w:id="468" w:name="_Toc20458"/>
      <w:bookmarkStart w:id="469" w:name="_Toc1064"/>
      <w:bookmarkStart w:id="470" w:name="_Toc10054"/>
      <w:bookmarkStart w:id="471" w:name="_Toc14684"/>
      <w:bookmarkStart w:id="472" w:name="_Toc596630898"/>
      <w:bookmarkStart w:id="473" w:name="_Toc86954689"/>
      <w:bookmarkStart w:id="474" w:name="_Toc36488206"/>
      <w:bookmarkStart w:id="475" w:name="_Toc1585666764"/>
      <w:bookmarkStart w:id="476" w:name="_Toc81425776"/>
      <w:bookmarkStart w:id="477" w:name="_Toc22083"/>
      <w:bookmarkStart w:id="478" w:name="_Toc19445"/>
      <w:bookmarkStart w:id="479" w:name="_Toc363"/>
      <w:r>
        <w:rPr>
          <w:rFonts w:ascii="Times New Roman" w:hAnsi="Times New Roman" w:eastAsia="黑体" w:cs="Times New Roman"/>
          <w:color w:val="000000"/>
          <w:kern w:val="0"/>
          <w:sz w:val="32"/>
          <w:szCs w:val="30"/>
          <w:lang w:val="zh-CN"/>
        </w:rPr>
        <w:t>二、推动乡村数字经济发展</w:t>
      </w:r>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p>
    <w:p>
      <w:pPr>
        <w:spacing w:line="580" w:lineRule="exact"/>
        <w:ind w:firstLine="640" w:firstLineChars="200"/>
        <w:rPr>
          <w:rFonts w:ascii="Times New Roman" w:hAnsi="Times New Roman" w:eastAsia="仿宋_GB2312" w:cs="Times New Roman"/>
          <w:color w:val="000000"/>
          <w:sz w:val="32"/>
          <w:szCs w:val="28"/>
        </w:rPr>
      </w:pPr>
      <w:r>
        <w:rPr>
          <w:rFonts w:ascii="Times New Roman" w:hAnsi="Times New Roman" w:eastAsia="仿宋_GB2312" w:cs="Times New Roman"/>
          <w:color w:val="000000"/>
          <w:sz w:val="32"/>
          <w:szCs w:val="28"/>
        </w:rPr>
        <w:t>实施“互联网+”农产品出村进城工程，深入推进电子商务进农村。加快发展农业物联网应用和农村电商，帮助农民、农企“触网”，支持农产品上网销售，培育农产品电商品牌。鼓励县（市、区）长、乡（镇）长带货，让直播成为“新农活”。加快数字金融服务向边远山区、农村地区延伸，提升数字金融的服务能力和普惠水平。深入推动网络扶贫行动向纵深发展，因地制宜发展“互联网+”特色主导产业，持续巩固和提升网络扶贫成效。</w:t>
      </w:r>
    </w:p>
    <w:p>
      <w:pPr>
        <w:spacing w:line="580" w:lineRule="exact"/>
        <w:ind w:firstLine="640" w:firstLineChars="200"/>
        <w:rPr>
          <w:rFonts w:ascii="Times New Roman" w:hAnsi="Times New Roman" w:eastAsia="黑体" w:cs="Times New Roman"/>
          <w:color w:val="000000"/>
          <w:kern w:val="0"/>
          <w:sz w:val="32"/>
          <w:szCs w:val="30"/>
          <w:lang w:val="zh-CN"/>
        </w:rPr>
      </w:pPr>
      <w:bookmarkStart w:id="480" w:name="_Toc81425777"/>
      <w:bookmarkStart w:id="481" w:name="_Toc23770"/>
      <w:bookmarkStart w:id="482" w:name="_Toc249372690"/>
      <w:bookmarkStart w:id="483" w:name="_Toc17984"/>
      <w:bookmarkStart w:id="484" w:name="_Toc12255"/>
      <w:bookmarkStart w:id="485" w:name="_Toc17909"/>
      <w:bookmarkStart w:id="486" w:name="_Toc2092730084"/>
      <w:bookmarkStart w:id="487" w:name="_Toc22440"/>
      <w:bookmarkStart w:id="488" w:name="_Toc30699"/>
      <w:bookmarkStart w:id="489" w:name="_Toc172651658"/>
      <w:bookmarkStart w:id="490" w:name="_Toc30458"/>
      <w:bookmarkStart w:id="491" w:name="_Toc5193"/>
      <w:bookmarkStart w:id="492" w:name="_Toc10180"/>
      <w:bookmarkStart w:id="493" w:name="_Toc20114"/>
      <w:bookmarkStart w:id="494" w:name="_Toc9537"/>
      <w:bookmarkStart w:id="495" w:name="_Toc10190"/>
      <w:bookmarkStart w:id="496" w:name="_Toc1234761641"/>
      <w:bookmarkStart w:id="497" w:name="_Toc86954690"/>
      <w:r>
        <w:rPr>
          <w:rFonts w:ascii="Times New Roman" w:hAnsi="Times New Roman" w:eastAsia="黑体" w:cs="Times New Roman"/>
          <w:color w:val="000000"/>
          <w:kern w:val="0"/>
          <w:sz w:val="32"/>
          <w:szCs w:val="30"/>
          <w:lang w:val="zh-CN"/>
        </w:rPr>
        <w:t>三、推进乡村数字化治理</w:t>
      </w:r>
      <w:bookmarkEnd w:id="480"/>
      <w:bookmarkEnd w:id="481"/>
      <w:r>
        <w:rPr>
          <w:rFonts w:ascii="Times New Roman" w:hAnsi="Times New Roman" w:eastAsia="黑体" w:cs="Times New Roman"/>
          <w:color w:val="000000"/>
          <w:kern w:val="0"/>
          <w:sz w:val="32"/>
          <w:szCs w:val="30"/>
          <w:lang w:val="zh-CN"/>
        </w:rPr>
        <w:t>服务</w:t>
      </w:r>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p>
    <w:p>
      <w:pPr>
        <w:spacing w:line="580" w:lineRule="exact"/>
        <w:ind w:firstLine="640" w:firstLineChars="200"/>
        <w:rPr>
          <w:rFonts w:ascii="Times New Roman" w:hAnsi="Times New Roman" w:eastAsia="仿宋_GB2312" w:cs="Times New Roman"/>
          <w:color w:val="000000"/>
          <w:sz w:val="32"/>
          <w:szCs w:val="28"/>
        </w:rPr>
      </w:pPr>
      <w:r>
        <w:rPr>
          <w:rFonts w:ascii="Times New Roman" w:hAnsi="Times New Roman" w:eastAsia="仿宋_GB2312" w:cs="Times New Roman"/>
          <w:color w:val="000000"/>
          <w:sz w:val="32"/>
          <w:szCs w:val="28"/>
        </w:rPr>
        <w:t>提升乡村治理信息化水平，利用卫星遥感技术、无人机、高清远程视频监控系统等新技术新应用，增强农村生态环境监管能力。推动“互联网+政务服务”向乡村覆盖，推进乡村管理服务数字化。大力发展“互联网+医疗健康”，加强乡镇卫生院、村卫生室数字化改造，积极发展远程医疗，促进优质医疗资源向农村延伸。发展“互联网+教育”，推动城市优质教育资源与乡村中小学对接。进一步提升“三农”信息化服务水平，着力缩小城乡“数字鸿沟”，为乡村振兴提供新动力。</w:t>
      </w:r>
    </w:p>
    <w:p>
      <w:pPr>
        <w:spacing w:line="580" w:lineRule="exact"/>
        <w:ind w:firstLine="640" w:firstLineChars="200"/>
        <w:rPr>
          <w:rFonts w:ascii="Times New Roman" w:hAnsi="Times New Roman" w:eastAsia="黑体" w:cs="Times New Roman"/>
          <w:color w:val="000000"/>
          <w:kern w:val="0"/>
          <w:sz w:val="32"/>
          <w:szCs w:val="30"/>
          <w:lang w:val="zh-CN"/>
        </w:rPr>
      </w:pPr>
      <w:bookmarkStart w:id="498" w:name="_Toc81425778"/>
      <w:bookmarkStart w:id="499" w:name="_Toc15341"/>
      <w:bookmarkStart w:id="500" w:name="_Toc28054"/>
      <w:bookmarkStart w:id="501" w:name="_Toc97749761"/>
      <w:bookmarkStart w:id="502" w:name="_Toc22605"/>
      <w:bookmarkStart w:id="503" w:name="_Toc11601"/>
      <w:bookmarkStart w:id="504" w:name="_Toc17610"/>
      <w:bookmarkStart w:id="505" w:name="_Toc6954"/>
      <w:bookmarkStart w:id="506" w:name="_Toc27983"/>
      <w:bookmarkStart w:id="507" w:name="_Toc12590"/>
      <w:bookmarkStart w:id="508" w:name="_Toc10543"/>
      <w:bookmarkStart w:id="509" w:name="_Toc11260"/>
      <w:bookmarkStart w:id="510" w:name="_Toc12412"/>
      <w:bookmarkStart w:id="511" w:name="_Toc1998814959"/>
      <w:bookmarkStart w:id="512" w:name="_Toc86954691"/>
      <w:bookmarkStart w:id="513" w:name="_Toc2109526899"/>
      <w:bookmarkStart w:id="514" w:name="_Toc2142803715"/>
      <w:bookmarkStart w:id="515" w:name="_Toc8662"/>
      <w:r>
        <w:rPr>
          <w:rFonts w:ascii="Times New Roman" w:hAnsi="Times New Roman" w:eastAsia="黑体" w:cs="Times New Roman"/>
          <w:color w:val="000000"/>
          <w:kern w:val="0"/>
          <w:sz w:val="32"/>
          <w:szCs w:val="30"/>
          <w:lang w:val="zh-CN"/>
        </w:rPr>
        <w:t>四、繁荣发展数字乡村文化</w:t>
      </w:r>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p>
    <w:p>
      <w:pPr>
        <w:spacing w:line="580" w:lineRule="exact"/>
        <w:ind w:firstLine="640" w:firstLineChars="200"/>
        <w:rPr>
          <w:rFonts w:ascii="Times New Roman" w:hAnsi="Times New Roman" w:eastAsia="仿宋_GB2312" w:cs="Times New Roman"/>
          <w:color w:val="000000"/>
          <w:sz w:val="32"/>
          <w:szCs w:val="28"/>
        </w:rPr>
      </w:pPr>
      <w:r>
        <w:rPr>
          <w:rFonts w:ascii="Times New Roman" w:hAnsi="Times New Roman" w:eastAsia="仿宋_GB2312" w:cs="Times New Roman"/>
          <w:color w:val="000000"/>
          <w:sz w:val="32"/>
          <w:szCs w:val="28"/>
        </w:rPr>
        <w:t>全面推进县级融媒体中心建设，大力推进智慧广电乡村工程。加速推进乡村优秀文化资源数字化，建立历史文化名镇、名村和传统村落“数字文物资源库”“数字博物馆”，加强农村优秀传统文化的保护与传承。推进一批具有泉州特色的美丽乡村、特色小镇开展数字化留底工程，留住乡愁，留住记忆。</w:t>
      </w:r>
    </w:p>
    <w:p>
      <w:pPr>
        <w:keepNext/>
        <w:keepLines/>
        <w:spacing w:before="260" w:after="260" w:line="596" w:lineRule="exact"/>
        <w:jc w:val="center"/>
        <w:outlineLvl w:val="1"/>
        <w:rPr>
          <w:rFonts w:ascii="Times New Roman" w:hAnsi="Times New Roman" w:eastAsia="方正黑体简体" w:cs="Times New Roman"/>
          <w:bCs/>
          <w:color w:val="000000"/>
          <w:sz w:val="32"/>
          <w:szCs w:val="32"/>
        </w:rPr>
      </w:pPr>
      <w:bookmarkStart w:id="516" w:name="_Toc12444"/>
      <w:bookmarkStart w:id="517" w:name="_Toc6857"/>
      <w:bookmarkStart w:id="518" w:name="_Toc94308418"/>
      <w:bookmarkStart w:id="519" w:name="_Toc11761"/>
      <w:bookmarkStart w:id="520" w:name="_Toc1447658159"/>
      <w:bookmarkStart w:id="521" w:name="_Toc19533"/>
      <w:bookmarkStart w:id="522" w:name="_Toc5243"/>
      <w:bookmarkStart w:id="523" w:name="_Toc28156"/>
      <w:bookmarkStart w:id="524" w:name="_Toc23140"/>
      <w:bookmarkStart w:id="525" w:name="_Toc7001"/>
      <w:bookmarkStart w:id="526" w:name="_Toc26072"/>
      <w:bookmarkStart w:id="527" w:name="_Toc478356819"/>
      <w:bookmarkStart w:id="528" w:name="_Toc86954692"/>
      <w:bookmarkStart w:id="529" w:name="_Toc8491"/>
      <w:bookmarkStart w:id="530" w:name="_Toc1896568769"/>
      <w:bookmarkStart w:id="531" w:name="_Toc81425779"/>
      <w:bookmarkStart w:id="532" w:name="_Toc367649033"/>
      <w:bookmarkStart w:id="533" w:name="_Toc26223"/>
      <w:bookmarkStart w:id="534" w:name="_Toc6103"/>
      <w:r>
        <w:rPr>
          <w:rFonts w:ascii="Times New Roman" w:hAnsi="Times New Roman" w:eastAsia="方正黑体简体" w:cs="Times New Roman"/>
          <w:bCs/>
          <w:color w:val="000000"/>
          <w:sz w:val="32"/>
          <w:szCs w:val="32"/>
        </w:rPr>
        <w:t>第四节 深入推进数字丝路建设</w:t>
      </w:r>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p>
    <w:p>
      <w:pPr>
        <w:spacing w:line="580" w:lineRule="exact"/>
        <w:ind w:firstLine="640" w:firstLineChars="200"/>
        <w:rPr>
          <w:rFonts w:ascii="Times New Roman" w:hAnsi="Times New Roman" w:eastAsia="仿宋_GB2312" w:cs="Times New Roman"/>
          <w:color w:val="000000"/>
          <w:sz w:val="32"/>
          <w:szCs w:val="28"/>
        </w:rPr>
      </w:pPr>
      <w:r>
        <w:rPr>
          <w:rFonts w:ascii="Times New Roman" w:hAnsi="Times New Roman" w:eastAsia="仿宋_GB2312" w:cs="Times New Roman"/>
          <w:color w:val="000000"/>
          <w:sz w:val="32"/>
          <w:szCs w:val="28"/>
        </w:rPr>
        <w:t>发挥“海上丝绸之路”起点城市优势，突出海丝交流合作特色，聚焦数字经贸合作水平、数字文化交流、闽台数字经济融合发展，深入推进“数字丝路”建设。</w:t>
      </w:r>
    </w:p>
    <w:p>
      <w:pPr>
        <w:spacing w:line="580" w:lineRule="exact"/>
        <w:ind w:firstLine="640" w:firstLineChars="200"/>
        <w:rPr>
          <w:rFonts w:ascii="Times New Roman" w:hAnsi="Times New Roman" w:eastAsia="黑体" w:cs="Times New Roman"/>
          <w:color w:val="000000"/>
          <w:kern w:val="0"/>
          <w:sz w:val="32"/>
          <w:szCs w:val="30"/>
          <w:lang w:val="zh-CN"/>
        </w:rPr>
      </w:pPr>
      <w:bookmarkStart w:id="535" w:name="_Toc1681"/>
      <w:bookmarkStart w:id="536" w:name="_Toc21708"/>
      <w:bookmarkStart w:id="537" w:name="_Toc1839011870"/>
      <w:bookmarkStart w:id="538" w:name="_Toc2667"/>
      <w:bookmarkStart w:id="539" w:name="_Toc581558010"/>
      <w:bookmarkStart w:id="540" w:name="_Toc2146912740"/>
      <w:bookmarkStart w:id="541" w:name="_Toc81425780"/>
      <w:bookmarkStart w:id="542" w:name="_Toc293"/>
      <w:bookmarkStart w:id="543" w:name="_Toc31808"/>
      <w:bookmarkStart w:id="544" w:name="_Toc1431733073"/>
      <w:bookmarkStart w:id="545" w:name="_Toc3516"/>
      <w:bookmarkStart w:id="546" w:name="_Toc86954693"/>
      <w:bookmarkStart w:id="547" w:name="_Toc26962"/>
      <w:bookmarkStart w:id="548" w:name="_Toc31854"/>
      <w:bookmarkStart w:id="549" w:name="_Toc21564"/>
      <w:bookmarkStart w:id="550" w:name="_Toc5190"/>
      <w:bookmarkStart w:id="551" w:name="_Toc10241"/>
      <w:bookmarkStart w:id="552" w:name="_Toc32379"/>
      <w:r>
        <w:rPr>
          <w:rFonts w:ascii="Times New Roman" w:hAnsi="Times New Roman" w:eastAsia="黑体" w:cs="Times New Roman"/>
          <w:color w:val="000000"/>
          <w:kern w:val="0"/>
          <w:sz w:val="32"/>
          <w:szCs w:val="30"/>
          <w:lang w:val="zh-CN"/>
        </w:rPr>
        <w:t>一</w:t>
      </w:r>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r>
        <w:rPr>
          <w:rFonts w:ascii="Times New Roman" w:hAnsi="Times New Roman" w:eastAsia="黑体" w:cs="Times New Roman"/>
          <w:color w:val="000000"/>
          <w:kern w:val="0"/>
          <w:sz w:val="32"/>
          <w:szCs w:val="30"/>
          <w:lang w:val="zh-CN"/>
        </w:rPr>
        <w:t>、全面提升数字贸易合作水平</w:t>
      </w:r>
    </w:p>
    <w:p>
      <w:pPr>
        <w:spacing w:line="580" w:lineRule="exact"/>
        <w:ind w:firstLine="640" w:firstLineChars="200"/>
        <w:rPr>
          <w:rFonts w:ascii="Times New Roman" w:hAnsi="Times New Roman" w:eastAsia="仿宋_GB2312" w:cs="Times New Roman"/>
          <w:color w:val="000000"/>
          <w:sz w:val="32"/>
          <w:szCs w:val="28"/>
        </w:rPr>
      </w:pPr>
      <w:r>
        <w:rPr>
          <w:rFonts w:ascii="Times New Roman" w:hAnsi="Times New Roman" w:eastAsia="仿宋_GB2312" w:cs="Times New Roman"/>
          <w:color w:val="000000"/>
          <w:sz w:val="32"/>
          <w:szCs w:val="28"/>
        </w:rPr>
        <w:t>以建设“数字丝路”经济合作试验区为契机，加强与“海丝”沿线国家和地区在信息化领域的交流合作，强化信息互联互通的枢纽功能，建设服务福建面向东南亚乃至全球的交通物流信息共享共通体系。支持数字经济龙头企业“走出去”，为“海丝”沿线国家和地区的数字化转型升级、数字产业发展提供新动能。发挥跨境电商优势，努力打造“丝路电商”核心区，利用RCEP协定正式生效难得的机遇，在各成员国家建立泉州产业带产品集散展销中心。建立海丝泛家居线上多功能平台，在东南亚、中东等地区建设线下体验馆。建设海上丝绸之路产业互联网创新合作平台，推进“丝路海运”信息化平台建设，搭建一批各具特色的国际经贸合作信息化平台，促进港口、航商、物流企业与口岸单位信息资源融合，为“丝路海运”联盟成员提供高质量商业数据服务。拓展丰富“亲清家园”平台涉台服务功能，打造台胞台企登陆第一数据港，以数据赋能台胞台企在大陆投资、创业、生活，打造台胞台企登陆“第一家园”。</w:t>
      </w:r>
    </w:p>
    <w:p>
      <w:pPr>
        <w:spacing w:line="580" w:lineRule="exact"/>
        <w:ind w:firstLine="640" w:firstLineChars="200"/>
        <w:rPr>
          <w:rFonts w:ascii="Times New Roman" w:hAnsi="Times New Roman" w:eastAsia="黑体" w:cs="Times New Roman"/>
          <w:color w:val="000000"/>
          <w:kern w:val="0"/>
          <w:sz w:val="32"/>
          <w:szCs w:val="30"/>
          <w:lang w:val="zh-CN"/>
        </w:rPr>
      </w:pPr>
      <w:bookmarkStart w:id="553" w:name="_Toc81425782"/>
      <w:bookmarkStart w:id="554" w:name="_Toc17505"/>
      <w:bookmarkStart w:id="555" w:name="_Toc16492"/>
      <w:bookmarkStart w:id="556" w:name="_Toc694638153"/>
      <w:bookmarkStart w:id="557" w:name="_Toc20297"/>
      <w:bookmarkStart w:id="558" w:name="_Toc889948577"/>
      <w:bookmarkStart w:id="559" w:name="_Toc1907"/>
      <w:bookmarkStart w:id="560" w:name="_Toc16885"/>
      <w:bookmarkStart w:id="561" w:name="_Toc25886"/>
      <w:bookmarkStart w:id="562" w:name="_Toc2296"/>
      <w:bookmarkStart w:id="563" w:name="_Toc86954694"/>
      <w:bookmarkStart w:id="564" w:name="_Toc30399"/>
      <w:bookmarkStart w:id="565" w:name="_Toc7902"/>
      <w:bookmarkStart w:id="566" w:name="_Toc21642"/>
      <w:bookmarkStart w:id="567" w:name="_Toc1917331271"/>
      <w:bookmarkStart w:id="568" w:name="_Toc117493782"/>
      <w:bookmarkStart w:id="569" w:name="_Toc279"/>
      <w:bookmarkStart w:id="570" w:name="_Toc19967"/>
      <w:r>
        <w:rPr>
          <w:rFonts w:ascii="Times New Roman" w:hAnsi="Times New Roman" w:eastAsia="黑体" w:cs="Times New Roman"/>
          <w:color w:val="000000"/>
          <w:kern w:val="0"/>
          <w:sz w:val="32"/>
          <w:szCs w:val="30"/>
          <w:lang w:val="zh-CN"/>
        </w:rPr>
        <w:t>二、全面推进海丝智慧旅游</w:t>
      </w:r>
      <w:bookmarkEnd w:id="553"/>
      <w:bookmarkEnd w:id="554"/>
      <w:r>
        <w:rPr>
          <w:rFonts w:ascii="Times New Roman" w:hAnsi="Times New Roman" w:eastAsia="黑体" w:cs="Times New Roman"/>
          <w:color w:val="000000"/>
          <w:kern w:val="0"/>
          <w:sz w:val="32"/>
          <w:szCs w:val="30"/>
          <w:lang w:val="zh-CN"/>
        </w:rPr>
        <w:t>建设</w:t>
      </w:r>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p>
    <w:p>
      <w:pPr>
        <w:spacing w:line="580" w:lineRule="exact"/>
        <w:ind w:firstLine="640" w:firstLineChars="200"/>
        <w:rPr>
          <w:rFonts w:ascii="Times New Roman" w:hAnsi="Times New Roman" w:eastAsia="仿宋_GB2312" w:cs="Times New Roman"/>
          <w:color w:val="000000"/>
          <w:sz w:val="32"/>
          <w:szCs w:val="28"/>
        </w:rPr>
      </w:pPr>
      <w:r>
        <w:rPr>
          <w:rFonts w:ascii="Times New Roman" w:hAnsi="Times New Roman" w:eastAsia="仿宋_GB2312" w:cs="Times New Roman"/>
          <w:color w:val="000000"/>
          <w:sz w:val="32"/>
          <w:szCs w:val="28"/>
        </w:rPr>
        <w:t>全面打造统一的泉州智慧旅游云服务综合平台，汇集“吃住行游购娱”要素，应用旅游大数据，增强旅游职能管理和宣传营销，完善导览与服务功能，拓展信用、监管和互动功能，提供一站式的文化和旅游公共信息服务。基于5G+AR/VR、技术打造沉浸式智慧旅游体验馆，让游客身临其境体验“东亚文化之都”的魅力。打造“一部手机游泉州”，全面提升旅游服务智能化，构建媒体、云服务、旅游OTA等一系列“海丝泉州”传播平台，打响“海丝泉州”品牌，建设世界“海丝文化”休闲旅游目的地。完善12315旅游投诉平台系统的建设，加快与全国旅游监管服务平台对接，实现旅游市场智慧化监管。</w:t>
      </w:r>
    </w:p>
    <w:p>
      <w:pPr>
        <w:spacing w:line="580" w:lineRule="exact"/>
        <w:ind w:firstLine="640" w:firstLineChars="200"/>
        <w:rPr>
          <w:rFonts w:ascii="Times New Roman" w:hAnsi="Times New Roman" w:eastAsia="黑体" w:cs="Times New Roman"/>
          <w:color w:val="000000"/>
          <w:kern w:val="0"/>
          <w:sz w:val="32"/>
          <w:szCs w:val="30"/>
          <w:lang w:val="zh-CN"/>
        </w:rPr>
      </w:pPr>
      <w:bookmarkStart w:id="571" w:name="_Toc31460"/>
      <w:bookmarkStart w:id="572" w:name="_Toc23990"/>
      <w:bookmarkStart w:id="573" w:name="_Toc514530560"/>
      <w:bookmarkStart w:id="574" w:name="_Toc1865"/>
      <w:bookmarkStart w:id="575" w:name="_Toc1810968750"/>
      <w:bookmarkStart w:id="576" w:name="_Toc25479"/>
      <w:bookmarkStart w:id="577" w:name="_Toc850092622"/>
      <w:bookmarkStart w:id="578" w:name="_Toc23861"/>
      <w:bookmarkStart w:id="579" w:name="_Toc598170702"/>
      <w:bookmarkStart w:id="580" w:name="_Toc81425783"/>
      <w:bookmarkStart w:id="581" w:name="_Toc3816"/>
      <w:bookmarkStart w:id="582" w:name="_Toc7549"/>
      <w:bookmarkStart w:id="583" w:name="_Toc3855"/>
      <w:bookmarkStart w:id="584" w:name="_Toc86954695"/>
      <w:bookmarkStart w:id="585" w:name="_Toc12472"/>
      <w:bookmarkStart w:id="586" w:name="_Toc26033"/>
      <w:bookmarkStart w:id="587" w:name="_Toc12563"/>
      <w:bookmarkStart w:id="588" w:name="_Toc6876"/>
      <w:r>
        <w:rPr>
          <w:rFonts w:ascii="Times New Roman" w:hAnsi="Times New Roman" w:eastAsia="黑体" w:cs="Times New Roman"/>
          <w:color w:val="000000"/>
          <w:kern w:val="0"/>
          <w:sz w:val="32"/>
          <w:szCs w:val="30"/>
          <w:lang w:val="zh-CN"/>
        </w:rPr>
        <w:t>三、加快推进数字海丝文化建设</w:t>
      </w:r>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p>
    <w:p>
      <w:pPr>
        <w:spacing w:line="580" w:lineRule="exact"/>
        <w:ind w:firstLine="640" w:firstLineChars="200"/>
        <w:rPr>
          <w:rFonts w:ascii="Times New Roman" w:hAnsi="Times New Roman" w:eastAsia="仿宋_GB2312" w:cs="Times New Roman"/>
          <w:color w:val="000000"/>
          <w:sz w:val="32"/>
          <w:szCs w:val="28"/>
        </w:rPr>
      </w:pPr>
      <w:r>
        <w:rPr>
          <w:rFonts w:ascii="Times New Roman" w:hAnsi="Times New Roman" w:eastAsia="仿宋_GB2312" w:cs="Times New Roman"/>
          <w:color w:val="000000"/>
          <w:sz w:val="32"/>
          <w:szCs w:val="28"/>
        </w:rPr>
        <w:t>全力推进“泉州：宋元中国的世界海洋商贸中心”世界遗产数字化赋能工程，推动泉州文化场馆、非遗文化、文物古迹等资源数字化，支持5G、大数据、区块链等在文化产业领域的集成应用和创新，建设一批文化产业数字化应用场景，培育和塑造一批具有鲜明“海丝文化”“闽南文化”特色的原创IP。引导和支持5G+AR/VR、5G+4K/8K超高清等技术在文化领域应用，推动文化内容向沉浸式内容移植转化。深化数字文化产业国际合作，打造交流合作平台，向“海丝”沿线国家和地区提供数字化服务，合作开发数字文化产品。</w:t>
      </w:r>
    </w:p>
    <w:tbl>
      <w:tblPr>
        <w:tblStyle w:val="24"/>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642" w:type="dxa"/>
          </w:tcPr>
          <w:p>
            <w:pPr>
              <w:widowControl/>
              <w:numPr>
                <w:ilvl w:val="0"/>
                <w:numId w:val="1"/>
              </w:numPr>
              <w:spacing w:line="600" w:lineRule="exact"/>
              <w:jc w:val="center"/>
              <w:rPr>
                <w:rFonts w:ascii="Times New Roman" w:hAnsi="Times New Roman" w:eastAsia="仿宋_GB2312" w:cs="Times New Roman"/>
                <w:color w:val="000000"/>
                <w:kern w:val="0"/>
                <w:sz w:val="30"/>
                <w:szCs w:val="30"/>
              </w:rPr>
            </w:pPr>
            <w:r>
              <w:rPr>
                <w:rFonts w:hint="eastAsia" w:ascii="Times New Roman" w:hAnsi="Times New Roman" w:eastAsia="楷体_GB2312" w:cs="Times New Roman"/>
                <w:b/>
                <w:color w:val="000000"/>
                <w:sz w:val="28"/>
                <w:szCs w:val="28"/>
              </w:rPr>
              <w:t>数字</w:t>
            </w:r>
            <w:r>
              <w:rPr>
                <w:rFonts w:ascii="Times New Roman" w:hAnsi="Times New Roman" w:eastAsia="楷体_GB2312" w:cs="Times New Roman"/>
                <w:b/>
                <w:color w:val="000000"/>
                <w:sz w:val="28"/>
                <w:szCs w:val="28"/>
              </w:rPr>
              <w:t>海丝</w:t>
            </w:r>
            <w:r>
              <w:rPr>
                <w:rFonts w:hint="eastAsia" w:ascii="Times New Roman" w:hAnsi="Times New Roman" w:eastAsia="楷体_GB2312" w:cs="Times New Roman"/>
                <w:b/>
                <w:color w:val="000000"/>
                <w:sz w:val="28"/>
                <w:szCs w:val="28"/>
              </w:rPr>
              <w:t>文化工程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2" w:type="dxa"/>
          </w:tcPr>
          <w:p>
            <w:pPr>
              <w:spacing w:line="600" w:lineRule="exact"/>
              <w:ind w:firstLine="560" w:firstLineChars="200"/>
              <w:contextualSpacing/>
              <w:rPr>
                <w:rFonts w:ascii="Times New Roman" w:hAnsi="Times New Roman" w:eastAsia="华文仿宋" w:cs="Times New Roman"/>
                <w:color w:val="000000"/>
                <w:sz w:val="28"/>
                <w:szCs w:val="28"/>
              </w:rPr>
            </w:pPr>
            <w:r>
              <w:rPr>
                <w:rFonts w:ascii="Times New Roman" w:hAnsi="Times New Roman" w:eastAsia="仿宋_GB2312" w:cs="Times New Roman"/>
                <w:color w:val="000000"/>
                <w:sz w:val="28"/>
                <w:szCs w:val="28"/>
              </w:rPr>
              <w:t>创新实施文化惠民工程，推动公共文化数字化建设。（1）整合现有文化平台资源，植入在线文创设计、直播拍卖等新业态，打造文化产业大平台。加快推进鲤城“城市超级IP数字文创生态平台”建设，推进游戏、动漫、虚拟现实、影像处理、城市超级IP数字文创等业务向“海丝”沿线国家和地区拓展。（2）推动“文化+”产业跨界融合，</w:t>
            </w:r>
            <w:bookmarkStart w:id="589" w:name="_Hlk63713582"/>
            <w:r>
              <w:rPr>
                <w:rFonts w:ascii="Times New Roman" w:hAnsi="Times New Roman" w:eastAsia="仿宋_GB2312" w:cs="Times New Roman"/>
                <w:color w:val="000000"/>
                <w:sz w:val="28"/>
                <w:szCs w:val="28"/>
              </w:rPr>
              <w:t>推动福建广电网络数据中心建设，</w:t>
            </w:r>
            <w:bookmarkEnd w:id="589"/>
            <w:r>
              <w:rPr>
                <w:rFonts w:ascii="Times New Roman" w:hAnsi="Times New Roman" w:eastAsia="仿宋_GB2312" w:cs="Times New Roman"/>
                <w:color w:val="000000"/>
                <w:sz w:val="28"/>
                <w:szCs w:val="28"/>
              </w:rPr>
              <w:t>服务融媒体中心和海峡云节点；</w:t>
            </w:r>
            <w:bookmarkStart w:id="590" w:name="_Hlk63713598"/>
            <w:r>
              <w:rPr>
                <w:rFonts w:ascii="Times New Roman" w:hAnsi="Times New Roman" w:eastAsia="仿宋_GB2312" w:cs="Times New Roman"/>
                <w:color w:val="000000"/>
                <w:sz w:val="28"/>
                <w:szCs w:val="28"/>
              </w:rPr>
              <w:t>推动安溪建设“中国电影资料馆安溪数字资源中心”“中影星光（安溪）电影小镇</w:t>
            </w:r>
            <w:bookmarkEnd w:id="590"/>
            <w:r>
              <w:rPr>
                <w:rFonts w:ascii="Times New Roman" w:hAnsi="Times New Roman" w:eastAsia="仿宋_GB2312" w:cs="Times New Roman"/>
                <w:color w:val="000000"/>
                <w:sz w:val="28"/>
                <w:szCs w:val="28"/>
              </w:rPr>
              <w:t>”。（3）加快南洋华裔族群寻根谒祖综合服务平台（二期）建设，打造世界华侨华人族谱馆、寻根文化中心、海丝国家华裔文化交流中心等。</w:t>
            </w:r>
          </w:p>
        </w:tc>
      </w:tr>
    </w:tbl>
    <w:p>
      <w:pPr>
        <w:keepNext/>
        <w:keepLines/>
        <w:pageBreakBefore/>
        <w:spacing w:before="340" w:after="240" w:line="596" w:lineRule="exact"/>
        <w:jc w:val="center"/>
        <w:outlineLvl w:val="0"/>
        <w:rPr>
          <w:rFonts w:ascii="Times New Roman" w:hAnsi="Times New Roman" w:eastAsia="方正小标宋简体" w:cs="Times New Roman"/>
          <w:color w:val="000000"/>
          <w:kern w:val="44"/>
          <w:sz w:val="36"/>
          <w:szCs w:val="36"/>
        </w:rPr>
      </w:pPr>
      <w:bookmarkStart w:id="591" w:name="_Toc27103"/>
      <w:bookmarkStart w:id="592" w:name="_Toc86954696"/>
      <w:bookmarkStart w:id="593" w:name="_Toc13004"/>
      <w:bookmarkStart w:id="594" w:name="_Toc1162"/>
      <w:bookmarkStart w:id="595" w:name="_Toc94308419"/>
      <w:bookmarkStart w:id="596" w:name="_Toc8212"/>
      <w:bookmarkStart w:id="597" w:name="_Toc1842302288"/>
      <w:bookmarkStart w:id="598" w:name="_Toc21407"/>
      <w:bookmarkStart w:id="599" w:name="_Toc22917"/>
      <w:bookmarkStart w:id="600" w:name="_Toc2690"/>
      <w:bookmarkStart w:id="601" w:name="_Toc12213"/>
      <w:bookmarkStart w:id="602" w:name="_Toc1414564183"/>
      <w:bookmarkStart w:id="603" w:name="_Toc16459"/>
      <w:bookmarkStart w:id="604" w:name="_Toc81425784"/>
      <w:bookmarkStart w:id="605" w:name="_Toc19610"/>
      <w:bookmarkStart w:id="606" w:name="_Toc5517"/>
      <w:bookmarkStart w:id="607" w:name="_Toc7018"/>
      <w:bookmarkStart w:id="608" w:name="_Toc2095321423"/>
      <w:bookmarkStart w:id="609" w:name="_Toc1178480754"/>
      <w:r>
        <w:rPr>
          <w:rFonts w:ascii="Times New Roman" w:hAnsi="Times New Roman" w:eastAsia="方正小标宋简体" w:cs="Times New Roman"/>
          <w:color w:val="000000"/>
          <w:kern w:val="44"/>
          <w:sz w:val="36"/>
          <w:szCs w:val="36"/>
        </w:rPr>
        <w:t>第六章 加快数据资源价值化，激发数据要素新活力</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p>
    <w:p>
      <w:pPr>
        <w:spacing w:line="580" w:lineRule="exact"/>
        <w:ind w:firstLine="640" w:firstLineChars="200"/>
        <w:rPr>
          <w:rFonts w:ascii="Times New Roman" w:hAnsi="Times New Roman" w:eastAsia="仿宋_GB2312" w:cs="Times New Roman"/>
          <w:color w:val="000000"/>
          <w:sz w:val="32"/>
          <w:szCs w:val="28"/>
        </w:rPr>
      </w:pPr>
      <w:r>
        <w:rPr>
          <w:rFonts w:ascii="Times New Roman" w:hAnsi="Times New Roman" w:eastAsia="仿宋_GB2312" w:cs="Times New Roman"/>
          <w:color w:val="000000"/>
          <w:sz w:val="32"/>
          <w:szCs w:val="28"/>
        </w:rPr>
        <w:t>坚持“全市一盘棋”统筹数据要素配置，完善政务数据汇聚与治理体系，推进公共数据资源有序开放，积极探索公共数据资源开发利用，着力构建“统一、开放、安全、高效”的数据要素市场体系。</w:t>
      </w:r>
      <w:bookmarkStart w:id="610" w:name="_Toc15918"/>
      <w:bookmarkStart w:id="611" w:name="_Toc15177"/>
      <w:bookmarkStart w:id="612" w:name="_Toc23453"/>
      <w:bookmarkStart w:id="613" w:name="_Toc12229"/>
      <w:bookmarkStart w:id="614" w:name="_Toc26503"/>
      <w:bookmarkStart w:id="615" w:name="_Toc27729"/>
      <w:bookmarkStart w:id="616" w:name="_Toc18260"/>
      <w:bookmarkStart w:id="617" w:name="_Toc86954697"/>
      <w:bookmarkStart w:id="618" w:name="_Toc24203"/>
      <w:bookmarkStart w:id="619" w:name="_Toc32640"/>
      <w:bookmarkStart w:id="620" w:name="_Toc524302838"/>
      <w:bookmarkStart w:id="621" w:name="_Toc8907"/>
      <w:bookmarkStart w:id="622" w:name="_Toc984766208"/>
      <w:bookmarkStart w:id="623" w:name="_Toc16422"/>
      <w:bookmarkStart w:id="624" w:name="_Toc30925"/>
      <w:bookmarkStart w:id="625" w:name="_Toc1526558619"/>
      <w:bookmarkStart w:id="626" w:name="_Toc81425785"/>
      <w:bookmarkStart w:id="627" w:name="_Toc903272958"/>
      <w:r>
        <w:rPr>
          <w:rFonts w:ascii="Times New Roman" w:hAnsi="Times New Roman" w:eastAsia="仿宋_GB2312" w:cs="Times New Roman"/>
          <w:color w:val="000000"/>
          <w:sz w:val="32"/>
          <w:szCs w:val="28"/>
        </w:rPr>
        <w:t>坚持应用牵引，发挥我市丰富应用场景优势，充分释放数据要素价值，激活数据要素潜能，推动数据技术产品、应用范式、商业模式和体制机制协同创新。</w:t>
      </w:r>
    </w:p>
    <w:p>
      <w:pPr>
        <w:keepNext/>
        <w:keepLines/>
        <w:spacing w:before="260" w:after="260" w:line="596" w:lineRule="exact"/>
        <w:jc w:val="center"/>
        <w:outlineLvl w:val="1"/>
        <w:rPr>
          <w:rFonts w:ascii="Times New Roman" w:hAnsi="Times New Roman" w:eastAsia="方正黑体简体" w:cs="Times New Roman"/>
          <w:bCs/>
          <w:color w:val="000000"/>
          <w:sz w:val="32"/>
          <w:szCs w:val="32"/>
        </w:rPr>
      </w:pPr>
      <w:bookmarkStart w:id="628" w:name="_Toc94308420"/>
      <w:r>
        <w:rPr>
          <w:rFonts w:ascii="Times New Roman" w:hAnsi="Times New Roman" w:eastAsia="方正黑体简体" w:cs="Times New Roman"/>
          <w:bCs/>
          <w:color w:val="000000"/>
          <w:sz w:val="32"/>
          <w:szCs w:val="32"/>
        </w:rPr>
        <w:t>第一节 完善公共数据汇聚治理体系</w:t>
      </w:r>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p>
    <w:p>
      <w:pPr>
        <w:spacing w:line="580" w:lineRule="exact"/>
        <w:ind w:firstLine="640" w:firstLineChars="200"/>
        <w:rPr>
          <w:rFonts w:ascii="Times New Roman" w:hAnsi="Times New Roman" w:eastAsia="黑体" w:cs="Times New Roman"/>
          <w:color w:val="000000"/>
          <w:kern w:val="0"/>
          <w:sz w:val="32"/>
          <w:szCs w:val="30"/>
          <w:lang w:val="zh-CN"/>
        </w:rPr>
      </w:pPr>
      <w:bookmarkStart w:id="629" w:name="_Toc23183"/>
      <w:bookmarkStart w:id="630" w:name="_Toc31477"/>
      <w:bookmarkStart w:id="631" w:name="_Toc31626"/>
      <w:bookmarkStart w:id="632" w:name="_Toc28954"/>
      <w:bookmarkStart w:id="633" w:name="_Toc8277"/>
      <w:bookmarkStart w:id="634" w:name="_Toc32588"/>
      <w:bookmarkStart w:id="635" w:name="_Toc853676791"/>
      <w:bookmarkStart w:id="636" w:name="_Toc25384"/>
      <w:bookmarkStart w:id="637" w:name="_Toc31962"/>
      <w:bookmarkStart w:id="638" w:name="_Toc29475"/>
      <w:bookmarkStart w:id="639" w:name="_Toc1093402361"/>
      <w:bookmarkStart w:id="640" w:name="_Toc865"/>
      <w:bookmarkStart w:id="641" w:name="_Toc86954698"/>
      <w:bookmarkStart w:id="642" w:name="_Toc1096061594"/>
      <w:bookmarkStart w:id="643" w:name="_Toc303758277"/>
      <w:bookmarkStart w:id="644" w:name="_Toc28873"/>
      <w:bookmarkStart w:id="645" w:name="_Toc5476"/>
      <w:bookmarkStart w:id="646" w:name="_Toc81425786"/>
      <w:r>
        <w:rPr>
          <w:rFonts w:ascii="Times New Roman" w:hAnsi="Times New Roman" w:eastAsia="黑体" w:cs="Times New Roman"/>
          <w:color w:val="000000"/>
          <w:kern w:val="0"/>
          <w:sz w:val="32"/>
          <w:szCs w:val="30"/>
          <w:lang w:val="zh-CN"/>
        </w:rPr>
        <w:t>一、推动公共数据高质量汇聚</w:t>
      </w:r>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p>
    <w:p>
      <w:pPr>
        <w:spacing w:line="580" w:lineRule="exact"/>
        <w:ind w:firstLine="640" w:firstLineChars="200"/>
        <w:rPr>
          <w:rFonts w:ascii="Times New Roman" w:hAnsi="Times New Roman" w:eastAsia="仿宋_GB2312" w:cs="Times New Roman"/>
          <w:color w:val="000000"/>
          <w:sz w:val="32"/>
          <w:szCs w:val="28"/>
        </w:rPr>
      </w:pPr>
      <w:r>
        <w:rPr>
          <w:rFonts w:ascii="Times New Roman" w:hAnsi="Times New Roman" w:eastAsia="仿宋_GB2312" w:cs="Times New Roman"/>
          <w:color w:val="000000"/>
          <w:sz w:val="32"/>
          <w:szCs w:val="28"/>
        </w:rPr>
        <w:t>按照“先易后难、应登尽登、应汇尽汇、完整准确”的原则，全量汇聚全市非涉密政务数据。加大学校、医院、邮政、电信、供水、供电、供气、公共交通等公益事业单位和公用企业数据汇聚力度，确保数据实时全量汇聚和数据质量。继续推进与省“一照一码”审批信息共享平台、相关省直垂管自建系统的深入对接和数据回流，并推动数据向基层服务部门回流，形成数据上下流通的循环体系。</w:t>
      </w:r>
    </w:p>
    <w:p>
      <w:pPr>
        <w:spacing w:line="580" w:lineRule="exact"/>
        <w:ind w:firstLine="640" w:firstLineChars="200"/>
        <w:rPr>
          <w:rFonts w:ascii="Times New Roman" w:hAnsi="Times New Roman" w:eastAsia="黑体" w:cs="Times New Roman"/>
          <w:color w:val="000000"/>
          <w:kern w:val="0"/>
          <w:sz w:val="32"/>
          <w:szCs w:val="30"/>
          <w:lang w:val="zh-CN"/>
        </w:rPr>
      </w:pPr>
      <w:bookmarkStart w:id="647" w:name="_Toc2229"/>
      <w:bookmarkStart w:id="648" w:name="_Toc18770"/>
      <w:bookmarkStart w:id="649" w:name="_Toc586"/>
      <w:bookmarkStart w:id="650" w:name="_Toc17868"/>
      <w:bookmarkStart w:id="651" w:name="_Toc348263573"/>
      <w:bookmarkStart w:id="652" w:name="_Toc18390"/>
      <w:bookmarkStart w:id="653" w:name="_Toc18009"/>
      <w:bookmarkStart w:id="654" w:name="_Toc15264"/>
      <w:bookmarkStart w:id="655" w:name="_Toc26692"/>
      <w:bookmarkStart w:id="656" w:name="_Toc12801"/>
      <w:bookmarkStart w:id="657" w:name="_Toc28182"/>
      <w:bookmarkStart w:id="658" w:name="_Toc549411676"/>
      <w:bookmarkStart w:id="659" w:name="_Toc1934517605"/>
      <w:bookmarkStart w:id="660" w:name="_Toc87003428"/>
      <w:bookmarkStart w:id="661" w:name="_Toc1933188476"/>
      <w:bookmarkStart w:id="662" w:name="_Toc11863"/>
      <w:bookmarkStart w:id="663" w:name="_Toc86954699"/>
      <w:r>
        <w:rPr>
          <w:rFonts w:ascii="Times New Roman" w:hAnsi="Times New Roman" w:eastAsia="黑体" w:cs="Times New Roman"/>
          <w:color w:val="000000"/>
          <w:kern w:val="0"/>
          <w:sz w:val="32"/>
          <w:szCs w:val="30"/>
          <w:lang w:val="zh-CN"/>
        </w:rPr>
        <w:t>二、完善政务数据治理体系</w:t>
      </w:r>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p>
    <w:p>
      <w:pPr>
        <w:spacing w:line="580" w:lineRule="exact"/>
        <w:ind w:firstLine="640" w:firstLineChars="200"/>
        <w:rPr>
          <w:rFonts w:ascii="Times New Roman" w:hAnsi="Times New Roman" w:eastAsia="仿宋_GB2312" w:cs="Times New Roman"/>
          <w:color w:val="000000"/>
          <w:sz w:val="32"/>
          <w:szCs w:val="28"/>
        </w:rPr>
      </w:pPr>
      <w:r>
        <w:rPr>
          <w:rFonts w:ascii="Times New Roman" w:hAnsi="Times New Roman" w:eastAsia="仿宋_GB2312" w:cs="Times New Roman"/>
          <w:color w:val="000000"/>
          <w:sz w:val="32"/>
          <w:szCs w:val="28"/>
        </w:rPr>
        <w:t>加强政务数据治理，构建包括机构与制度、标准与流程、平台与系统等方面的政务大数据治理体系。加强数据质量管控，健全问题数据全流程网上处理纠错机制，规范数据治理工作流程，确保政务数据标准一致、准确、完整和可追溯，有效提升数据供给质量、可用性和易用性。加快形成权威高效的市、县两级政务数据共享协调机制，构建深度应用、上下联动的协同治理机制。</w:t>
      </w:r>
    </w:p>
    <w:p>
      <w:pPr>
        <w:spacing w:line="580" w:lineRule="exact"/>
        <w:ind w:firstLine="640" w:firstLineChars="200"/>
        <w:rPr>
          <w:rFonts w:ascii="Times New Roman" w:hAnsi="Times New Roman" w:eastAsia="黑体" w:cs="Times New Roman"/>
          <w:color w:val="000000"/>
          <w:kern w:val="0"/>
          <w:sz w:val="32"/>
          <w:szCs w:val="30"/>
          <w:lang w:val="zh-CN"/>
        </w:rPr>
      </w:pPr>
      <w:bookmarkStart w:id="664" w:name="_Toc87003429"/>
      <w:bookmarkStart w:id="665" w:name="_Toc21186"/>
      <w:bookmarkStart w:id="666" w:name="_Toc24798"/>
      <w:bookmarkStart w:id="667" w:name="_Toc11594"/>
      <w:bookmarkStart w:id="668" w:name="_Toc20941"/>
      <w:bookmarkStart w:id="669" w:name="_Toc21681"/>
      <w:bookmarkStart w:id="670" w:name="_Toc1397"/>
      <w:bookmarkStart w:id="671" w:name="_Toc31635"/>
      <w:bookmarkStart w:id="672" w:name="_Toc9206"/>
      <w:bookmarkStart w:id="673" w:name="_Toc7061"/>
      <w:bookmarkStart w:id="674" w:name="_Toc1239429329"/>
      <w:bookmarkStart w:id="675" w:name="_Toc1439372749"/>
      <w:bookmarkStart w:id="676" w:name="_Toc11132"/>
      <w:bookmarkStart w:id="677" w:name="_Toc7593"/>
      <w:bookmarkStart w:id="678" w:name="_Toc1362963387"/>
      <w:bookmarkStart w:id="679" w:name="_Toc1200034979"/>
      <w:r>
        <w:rPr>
          <w:rFonts w:ascii="Times New Roman" w:hAnsi="Times New Roman" w:eastAsia="黑体" w:cs="Times New Roman"/>
          <w:color w:val="000000"/>
          <w:kern w:val="0"/>
          <w:sz w:val="32"/>
          <w:szCs w:val="30"/>
          <w:lang w:val="zh-CN"/>
        </w:rPr>
        <w:t>三、开展数据要素标准化建设</w:t>
      </w:r>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p>
    <w:p>
      <w:pPr>
        <w:spacing w:line="580" w:lineRule="exact"/>
        <w:ind w:firstLine="640" w:firstLineChars="200"/>
        <w:rPr>
          <w:rFonts w:ascii="Times New Roman" w:hAnsi="Times New Roman" w:eastAsia="仿宋_GB2312" w:cs="Times New Roman"/>
          <w:color w:val="000000"/>
          <w:sz w:val="32"/>
          <w:szCs w:val="28"/>
        </w:rPr>
      </w:pPr>
      <w:r>
        <w:rPr>
          <w:rFonts w:ascii="Times New Roman" w:hAnsi="Times New Roman" w:eastAsia="仿宋_GB2312" w:cs="Times New Roman"/>
          <w:color w:val="000000"/>
          <w:sz w:val="32"/>
          <w:szCs w:val="28"/>
        </w:rPr>
        <w:t>积极开展数据要素领域标准化专项研究工作，建立包括数据基础术语标准、数据交换共享标准、数据安全隐私标准、数据行业应用标准等在内的标准化体系。分阶段、分领域推进数据要素标准化试点，提高数据质量和规范性，丰富数据产品。支持行业协会、商会、企业和高校院所研究制定数据采集、处理、应用、质量管理等标准规范。鼓励行业协会、产业联盟等组织充分发挥自身优势，结合各个行业的发展特性，加快建立垂直行业的数据资产标准体系，指导协助行业内的相关企业开展数据资产化工作，助力数据资产化高效有序推进。</w:t>
      </w:r>
    </w:p>
    <w:tbl>
      <w:tblPr>
        <w:tblStyle w:val="24"/>
        <w:tblpPr w:leftFromText="180" w:rightFromText="180" w:vertAnchor="text" w:horzAnchor="page" w:tblpX="1916" w:tblpY="217"/>
        <w:tblOverlap w:val="never"/>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642" w:type="dxa"/>
          </w:tcPr>
          <w:p>
            <w:pPr>
              <w:widowControl/>
              <w:numPr>
                <w:ilvl w:val="0"/>
                <w:numId w:val="1"/>
              </w:numPr>
              <w:spacing w:line="600" w:lineRule="exact"/>
              <w:jc w:val="center"/>
              <w:rPr>
                <w:rFonts w:ascii="Times New Roman" w:hAnsi="Times New Roman" w:eastAsia="仿宋_GB2312" w:cs="Times New Roman"/>
                <w:color w:val="000000"/>
                <w:kern w:val="0"/>
                <w:sz w:val="30"/>
                <w:szCs w:val="30"/>
              </w:rPr>
            </w:pPr>
            <w:bookmarkStart w:id="680" w:name="_Toc54798256"/>
            <w:r>
              <w:rPr>
                <w:rFonts w:hint="eastAsia" w:ascii="Times New Roman" w:hAnsi="Times New Roman" w:eastAsia="楷体_GB2312" w:cs="Times New Roman"/>
                <w:b/>
                <w:color w:val="000000"/>
                <w:sz w:val="28"/>
                <w:szCs w:val="28"/>
              </w:rPr>
              <w:t>公共数据资源汇聚工程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2" w:type="dxa"/>
          </w:tcPr>
          <w:p>
            <w:pPr>
              <w:spacing w:line="600" w:lineRule="exact"/>
              <w:ind w:firstLine="560" w:firstLineChars="200"/>
              <w:contextualSpacing/>
              <w:rPr>
                <w:rFonts w:ascii="Times New Roman" w:hAnsi="Times New Roman" w:eastAsia="华文仿宋" w:cs="Times New Roman"/>
                <w:color w:val="000000"/>
                <w:sz w:val="28"/>
                <w:szCs w:val="28"/>
              </w:rPr>
            </w:pPr>
            <w:r>
              <w:rPr>
                <w:rFonts w:ascii="Times New Roman" w:hAnsi="Times New Roman" w:eastAsia="仿宋_GB2312" w:cs="Times New Roman"/>
                <w:color w:val="000000"/>
                <w:sz w:val="28"/>
                <w:szCs w:val="28"/>
              </w:rPr>
              <w:t>加速市政务数据汇聚与共享应用平台（二期）建设，推动市直部门、县（市、区）数据应汇尽汇，积极接入公益事业单位数据、公共企业数据和社会数据，整合一照一码，丰富电子证照库，集成省级平台相关服务资源。推进市级与省级数据共享交换平台级联工作，打通与省级平台和各部门业务系统接口，打造跨层级、跨部门“用户通、系统通、目录通、数据通、证照通、接口通、业务通”大通道，争取国家级、省级系统的泉州属地办件信息及业务数据及时回流共享。构建政务数据汇聚共享平台、开发平台、开放平台及大数据交易中心，形成市级“三平台一中心”体系。</w:t>
            </w:r>
          </w:p>
        </w:tc>
      </w:tr>
      <w:bookmarkEnd w:id="645"/>
      <w:bookmarkEnd w:id="646"/>
      <w:bookmarkEnd w:id="663"/>
      <w:bookmarkEnd w:id="680"/>
    </w:tbl>
    <w:p>
      <w:pPr>
        <w:keepNext/>
        <w:keepLines/>
        <w:spacing w:before="260" w:after="260" w:line="596" w:lineRule="exact"/>
        <w:jc w:val="center"/>
        <w:outlineLvl w:val="1"/>
        <w:rPr>
          <w:rFonts w:ascii="Times New Roman" w:hAnsi="Times New Roman" w:eastAsia="方正黑体简体" w:cs="Times New Roman"/>
          <w:bCs/>
          <w:color w:val="000000"/>
          <w:sz w:val="32"/>
          <w:szCs w:val="32"/>
        </w:rPr>
      </w:pPr>
      <w:bookmarkStart w:id="681" w:name="_Toc1818"/>
      <w:bookmarkStart w:id="682" w:name="_Toc86954707"/>
      <w:bookmarkStart w:id="683" w:name="_Toc81425789"/>
      <w:bookmarkStart w:id="684" w:name="_Toc31367"/>
      <w:bookmarkStart w:id="685" w:name="_Toc5255"/>
      <w:bookmarkStart w:id="686" w:name="_Toc3897"/>
      <w:bookmarkStart w:id="687" w:name="_Toc5538"/>
      <w:bookmarkStart w:id="688" w:name="_Toc10964"/>
      <w:bookmarkStart w:id="689" w:name="_Toc17763"/>
      <w:bookmarkStart w:id="690" w:name="_Toc22332"/>
      <w:bookmarkStart w:id="691" w:name="_Toc1281363293"/>
      <w:bookmarkStart w:id="692" w:name="_Toc608783501"/>
      <w:bookmarkStart w:id="693" w:name="_Toc94308421"/>
      <w:bookmarkStart w:id="694" w:name="_Toc25087"/>
      <w:bookmarkStart w:id="695" w:name="_Toc1874504168"/>
      <w:bookmarkStart w:id="696" w:name="_Toc1193"/>
      <w:bookmarkStart w:id="697" w:name="_Toc19167"/>
      <w:bookmarkStart w:id="698" w:name="_Toc1623748189"/>
      <w:bookmarkStart w:id="699" w:name="_Toc31240"/>
      <w:r>
        <w:rPr>
          <w:rFonts w:ascii="Times New Roman" w:hAnsi="Times New Roman" w:eastAsia="方正黑体简体" w:cs="Times New Roman"/>
          <w:bCs/>
          <w:color w:val="000000"/>
          <w:sz w:val="32"/>
          <w:szCs w:val="32"/>
        </w:rPr>
        <w:t>第二节 加速数据资源</w:t>
      </w:r>
      <w:bookmarkEnd w:id="681"/>
      <w:bookmarkEnd w:id="682"/>
      <w:bookmarkEnd w:id="683"/>
      <w:r>
        <w:rPr>
          <w:rFonts w:ascii="Times New Roman" w:hAnsi="Times New Roman" w:eastAsia="方正黑体简体" w:cs="Times New Roman"/>
          <w:bCs/>
          <w:color w:val="000000"/>
          <w:sz w:val="32"/>
          <w:szCs w:val="32"/>
        </w:rPr>
        <w:t>开发利用</w:t>
      </w:r>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p>
    <w:p>
      <w:pPr>
        <w:spacing w:line="580" w:lineRule="exact"/>
        <w:ind w:firstLine="640" w:firstLineChars="200"/>
        <w:rPr>
          <w:rFonts w:ascii="Times New Roman" w:hAnsi="Times New Roman" w:eastAsia="黑体" w:cs="Times New Roman"/>
          <w:color w:val="000000"/>
          <w:kern w:val="0"/>
          <w:sz w:val="32"/>
          <w:szCs w:val="30"/>
          <w:lang w:val="zh-CN"/>
        </w:rPr>
      </w:pPr>
      <w:bookmarkStart w:id="700" w:name="_Toc81425790"/>
      <w:bookmarkStart w:id="701" w:name="_Toc1189"/>
      <w:bookmarkStart w:id="702" w:name="_Toc86954708"/>
      <w:bookmarkStart w:id="703" w:name="_Toc803225285"/>
      <w:bookmarkStart w:id="704" w:name="_Toc787080860"/>
      <w:bookmarkStart w:id="705" w:name="_Toc1529252074"/>
      <w:bookmarkStart w:id="706" w:name="_Toc1615076531"/>
      <w:bookmarkStart w:id="707" w:name="_Toc22859"/>
      <w:bookmarkStart w:id="708" w:name="_Toc29096"/>
      <w:bookmarkStart w:id="709" w:name="_Toc29388"/>
      <w:bookmarkStart w:id="710" w:name="_Toc16959"/>
      <w:bookmarkStart w:id="711" w:name="_Toc7912"/>
      <w:bookmarkStart w:id="712" w:name="_Toc10374"/>
      <w:bookmarkStart w:id="713" w:name="_Toc13592"/>
      <w:bookmarkStart w:id="714" w:name="_Toc30376"/>
      <w:bookmarkStart w:id="715" w:name="_Toc11990"/>
      <w:bookmarkStart w:id="716" w:name="_Toc28234"/>
      <w:bookmarkStart w:id="717" w:name="_Toc6564"/>
      <w:r>
        <w:rPr>
          <w:rFonts w:ascii="Times New Roman" w:hAnsi="Times New Roman" w:eastAsia="黑体" w:cs="Times New Roman"/>
          <w:color w:val="000000"/>
          <w:kern w:val="0"/>
          <w:sz w:val="32"/>
          <w:szCs w:val="30"/>
          <w:lang w:val="zh-CN"/>
        </w:rPr>
        <w:t>一、深入推进公共数据资源</w:t>
      </w:r>
      <w:bookmarkEnd w:id="700"/>
      <w:bookmarkEnd w:id="701"/>
      <w:r>
        <w:rPr>
          <w:rFonts w:ascii="Times New Roman" w:hAnsi="Times New Roman" w:eastAsia="黑体" w:cs="Times New Roman"/>
          <w:color w:val="000000"/>
          <w:kern w:val="0"/>
          <w:sz w:val="32"/>
          <w:szCs w:val="30"/>
          <w:lang w:val="zh-CN"/>
        </w:rPr>
        <w:t>共享</w:t>
      </w:r>
      <w:bookmarkEnd w:id="702"/>
      <w:bookmarkEnd w:id="703"/>
      <w:bookmarkEnd w:id="704"/>
      <w:bookmarkEnd w:id="705"/>
      <w:bookmarkEnd w:id="706"/>
      <w:r>
        <w:rPr>
          <w:rFonts w:ascii="Times New Roman" w:hAnsi="Times New Roman" w:eastAsia="黑体" w:cs="Times New Roman"/>
          <w:color w:val="000000"/>
          <w:kern w:val="0"/>
          <w:sz w:val="32"/>
          <w:szCs w:val="30"/>
          <w:lang w:val="zh-CN"/>
        </w:rPr>
        <w:t>开放</w:t>
      </w:r>
      <w:bookmarkEnd w:id="707"/>
      <w:bookmarkEnd w:id="708"/>
      <w:bookmarkEnd w:id="709"/>
      <w:bookmarkEnd w:id="710"/>
      <w:bookmarkEnd w:id="711"/>
      <w:bookmarkEnd w:id="712"/>
      <w:bookmarkEnd w:id="713"/>
      <w:bookmarkEnd w:id="714"/>
      <w:bookmarkEnd w:id="715"/>
      <w:bookmarkEnd w:id="716"/>
      <w:bookmarkEnd w:id="717"/>
    </w:p>
    <w:p>
      <w:pPr>
        <w:spacing w:line="580" w:lineRule="exact"/>
        <w:ind w:firstLine="640" w:firstLineChars="200"/>
        <w:rPr>
          <w:rFonts w:ascii="Times New Roman" w:hAnsi="Times New Roman" w:eastAsia="仿宋_GB2312" w:cs="Times New Roman"/>
          <w:color w:val="000000"/>
          <w:sz w:val="32"/>
          <w:szCs w:val="28"/>
        </w:rPr>
      </w:pPr>
      <w:r>
        <w:rPr>
          <w:rFonts w:ascii="Times New Roman" w:hAnsi="Times New Roman" w:eastAsia="仿宋_GB2312" w:cs="Times New Roman"/>
          <w:color w:val="000000"/>
          <w:sz w:val="32"/>
          <w:szCs w:val="28"/>
        </w:rPr>
        <w:t>突出解决信息孤岛、数据壁垒等问题，聚焦教育、就业、医保社保、卫生健康、便民服务等民生领域的堵点难点问题，拓展数据便民利企服务，推进普惠金融、疫情防控等主题库建设，建成一批场景化大数据应用，开发更多的业务系统查询接口，为企业、群众办理“一件事”典型应用场景提供实时数据共享服务。</w:t>
      </w:r>
    </w:p>
    <w:p>
      <w:pPr>
        <w:spacing w:line="580" w:lineRule="exact"/>
        <w:ind w:firstLine="640" w:firstLineChars="200"/>
        <w:rPr>
          <w:rFonts w:ascii="Times New Roman" w:hAnsi="Times New Roman" w:eastAsia="仿宋_GB2312" w:cs="Times New Roman"/>
          <w:color w:val="000000"/>
          <w:sz w:val="32"/>
          <w:szCs w:val="28"/>
        </w:rPr>
      </w:pPr>
      <w:r>
        <w:rPr>
          <w:rFonts w:ascii="Times New Roman" w:hAnsi="Times New Roman" w:eastAsia="仿宋_GB2312" w:cs="Times New Roman"/>
          <w:color w:val="000000"/>
          <w:sz w:val="32"/>
          <w:szCs w:val="28"/>
        </w:rPr>
        <w:t>进一步完善数据开放标准规范，构建公共数据资源开放评估机制，建立政务数据开放目录和数据共享责任清单，构建公共数据分类分级开放和动态更新机制，健全公共数据定向开放、授权开放管理制度，推动公共数据依法有序开放。</w:t>
      </w:r>
    </w:p>
    <w:p>
      <w:pPr>
        <w:spacing w:line="580" w:lineRule="exact"/>
        <w:ind w:firstLine="640" w:firstLineChars="200"/>
        <w:rPr>
          <w:rFonts w:ascii="Times New Roman" w:hAnsi="Times New Roman" w:eastAsia="黑体" w:cs="Times New Roman"/>
          <w:color w:val="000000"/>
          <w:kern w:val="0"/>
          <w:sz w:val="32"/>
          <w:szCs w:val="30"/>
          <w:lang w:val="zh-CN"/>
        </w:rPr>
      </w:pPr>
      <w:bookmarkStart w:id="718" w:name="_Toc81425791"/>
      <w:bookmarkStart w:id="719" w:name="_Toc22193"/>
      <w:bookmarkStart w:id="720" w:name="_Toc86954709"/>
      <w:bookmarkStart w:id="721" w:name="_Toc28708"/>
      <w:bookmarkStart w:id="722" w:name="_Toc17224"/>
      <w:bookmarkStart w:id="723" w:name="_Toc19579"/>
      <w:bookmarkStart w:id="724" w:name="_Toc31501"/>
      <w:bookmarkStart w:id="725" w:name="_Toc18637"/>
      <w:bookmarkStart w:id="726" w:name="_Toc4033"/>
      <w:bookmarkStart w:id="727" w:name="_Toc1390113999"/>
      <w:bookmarkStart w:id="728" w:name="_Toc24958"/>
      <w:bookmarkStart w:id="729" w:name="_Toc1580"/>
      <w:bookmarkStart w:id="730" w:name="_Toc15893"/>
      <w:bookmarkStart w:id="731" w:name="_Toc1347896381"/>
      <w:bookmarkStart w:id="732" w:name="_Toc3438"/>
      <w:bookmarkStart w:id="733" w:name="_Toc31772"/>
      <w:bookmarkStart w:id="734" w:name="_Toc1615981191"/>
      <w:bookmarkStart w:id="735" w:name="_Toc1010991713"/>
      <w:r>
        <w:rPr>
          <w:rFonts w:ascii="Times New Roman" w:hAnsi="Times New Roman" w:eastAsia="黑体" w:cs="Times New Roman"/>
          <w:color w:val="000000"/>
          <w:kern w:val="0"/>
          <w:sz w:val="32"/>
          <w:szCs w:val="30"/>
          <w:lang w:val="zh-CN"/>
        </w:rPr>
        <w:t>二、积极探索公共数据资源开发</w:t>
      </w:r>
      <w:bookmarkEnd w:id="718"/>
      <w:bookmarkEnd w:id="719"/>
      <w:bookmarkEnd w:id="720"/>
      <w:r>
        <w:rPr>
          <w:rFonts w:ascii="Times New Roman" w:hAnsi="Times New Roman" w:eastAsia="黑体" w:cs="Times New Roman"/>
          <w:color w:val="000000"/>
          <w:kern w:val="0"/>
          <w:sz w:val="32"/>
          <w:szCs w:val="30"/>
          <w:lang w:val="zh-CN"/>
        </w:rPr>
        <w:t>模式</w:t>
      </w:r>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p>
    <w:p>
      <w:pPr>
        <w:spacing w:line="580" w:lineRule="exact"/>
        <w:ind w:firstLine="640" w:firstLineChars="200"/>
        <w:rPr>
          <w:rFonts w:ascii="Times New Roman" w:hAnsi="Times New Roman" w:eastAsia="仿宋_GB2312" w:cs="Times New Roman"/>
          <w:color w:val="000000"/>
          <w:sz w:val="32"/>
          <w:szCs w:val="28"/>
        </w:rPr>
      </w:pPr>
      <w:r>
        <w:rPr>
          <w:rFonts w:ascii="Times New Roman" w:hAnsi="Times New Roman" w:eastAsia="仿宋_GB2312" w:cs="Times New Roman"/>
          <w:color w:val="000000"/>
          <w:sz w:val="32"/>
          <w:szCs w:val="28"/>
        </w:rPr>
        <w:t>引导市场主体探索公共数据资源开发利用，鼓励掌握数据的自然人、法人和非法人组织与政府开展合作，提高社会数据开发利用水平。利用区块链等技术建立可信政务数据应用开发新模式，启动政务数据可信开发服务平台建设。探索依托市属全资国有大数据公司进行数据一级开发和运营。引导高校、科研机构和市场主体开展公共数据分析挖掘、数据可视化、数据安全与隐私保护等技术研究，鼓励第三方深化对公共数据的挖掘利用。</w:t>
      </w:r>
      <w:bookmarkStart w:id="736" w:name="_Toc12201"/>
      <w:bookmarkStart w:id="737" w:name="_Toc28165"/>
      <w:bookmarkStart w:id="738" w:name="_Toc1254"/>
      <w:bookmarkStart w:id="739" w:name="_Toc30416"/>
      <w:bookmarkStart w:id="740" w:name="_Toc32077"/>
      <w:bookmarkStart w:id="741" w:name="_Toc19739"/>
      <w:bookmarkStart w:id="742" w:name="_Toc448404512"/>
      <w:bookmarkStart w:id="743" w:name="_Toc1181404719"/>
      <w:bookmarkStart w:id="744" w:name="_Toc24241"/>
      <w:bookmarkStart w:id="745" w:name="_Toc1421226836"/>
      <w:bookmarkStart w:id="746" w:name="_Toc23799"/>
      <w:bookmarkStart w:id="747" w:name="_Toc21063"/>
      <w:bookmarkStart w:id="748" w:name="_Toc86954710"/>
      <w:bookmarkStart w:id="749" w:name="_Toc20182"/>
      <w:bookmarkStart w:id="750" w:name="_Toc34753882"/>
      <w:bookmarkStart w:id="751" w:name="_Toc16978"/>
      <w:bookmarkStart w:id="752" w:name="_Toc24396"/>
      <w:bookmarkStart w:id="753" w:name="_Toc81425792"/>
    </w:p>
    <w:p>
      <w:pPr>
        <w:spacing w:line="580" w:lineRule="exact"/>
        <w:ind w:firstLine="640" w:firstLineChars="200"/>
        <w:rPr>
          <w:rFonts w:ascii="Times New Roman" w:hAnsi="Times New Roman" w:eastAsia="黑体" w:cs="Times New Roman"/>
          <w:color w:val="000000"/>
          <w:kern w:val="0"/>
          <w:sz w:val="32"/>
          <w:szCs w:val="30"/>
          <w:lang w:val="zh-CN"/>
        </w:rPr>
      </w:pPr>
      <w:r>
        <w:rPr>
          <w:rFonts w:ascii="Times New Roman" w:hAnsi="Times New Roman" w:eastAsia="黑体" w:cs="Times New Roman"/>
          <w:color w:val="000000"/>
          <w:kern w:val="0"/>
          <w:sz w:val="32"/>
          <w:szCs w:val="30"/>
          <w:lang w:val="zh-CN"/>
        </w:rPr>
        <w:t>三、培育丰富数据开放开发应用场景</w:t>
      </w:r>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p>
    <w:p>
      <w:pPr>
        <w:spacing w:line="580" w:lineRule="exact"/>
        <w:ind w:firstLine="640" w:firstLineChars="200"/>
        <w:rPr>
          <w:rFonts w:ascii="Times New Roman" w:hAnsi="Times New Roman" w:eastAsia="仿宋_GB2312" w:cs="Times New Roman"/>
          <w:color w:val="000000"/>
          <w:sz w:val="32"/>
          <w:szCs w:val="28"/>
        </w:rPr>
      </w:pPr>
      <w:r>
        <w:rPr>
          <w:rFonts w:ascii="Times New Roman" w:hAnsi="Times New Roman" w:eastAsia="仿宋_GB2312" w:cs="Times New Roman"/>
          <w:color w:val="000000"/>
          <w:sz w:val="32"/>
          <w:szCs w:val="28"/>
        </w:rPr>
        <w:t>支持构建农业、工业、交通运输、教育、公共安全、城市管理、公共资源交易等领域规范化数据开发利用的场景。深化数据开放开发在社会治理、公共服务、教育医疗等领域的应用，推动公共数据融合应用产业链、资金链和政策链的精准对接。着力推进数据与产业深度融合，建立政产学研用合作机制，吸引一批具有前瞻互联网思维和大数据开发创新能力强的优秀企业参与，打造一批商业模式佳、实战效果好的大数据场景化应用。探索通过数据采购、授权服务、委托课题、合作共建等数据融合可行模式，分阶段、分领域推进数据要素标准化试点，提高数据质量和规范性，丰富数据开放开发应用场景，推动数据要素全面深度应用。</w:t>
      </w:r>
      <w:bookmarkStart w:id="754" w:name="_Toc14449"/>
      <w:bookmarkStart w:id="755" w:name="_Toc163774255"/>
      <w:bookmarkStart w:id="756" w:name="_Toc9553"/>
      <w:bookmarkStart w:id="757" w:name="_Toc16132"/>
      <w:bookmarkStart w:id="758" w:name="_Toc4948"/>
      <w:bookmarkStart w:id="759" w:name="_Toc1890917399"/>
      <w:bookmarkStart w:id="760" w:name="_Toc10019"/>
      <w:bookmarkStart w:id="761" w:name="_Toc86954711"/>
      <w:bookmarkStart w:id="762" w:name="_Toc31040"/>
      <w:bookmarkStart w:id="763" w:name="_Toc29126"/>
      <w:bookmarkStart w:id="764" w:name="_Toc1501593772"/>
      <w:bookmarkStart w:id="765" w:name="_Toc688408075"/>
      <w:bookmarkStart w:id="766" w:name="_Toc27043"/>
      <w:bookmarkStart w:id="767" w:name="_Toc28039"/>
      <w:bookmarkStart w:id="768" w:name="_Toc23071"/>
      <w:bookmarkStart w:id="769" w:name="_Toc2794"/>
    </w:p>
    <w:p>
      <w:pPr>
        <w:spacing w:line="580" w:lineRule="exact"/>
        <w:ind w:firstLine="640" w:firstLineChars="200"/>
        <w:rPr>
          <w:rFonts w:ascii="Times New Roman" w:hAnsi="Times New Roman" w:eastAsia="黑体" w:cs="Times New Roman"/>
          <w:color w:val="000000"/>
          <w:kern w:val="0"/>
          <w:sz w:val="32"/>
          <w:szCs w:val="30"/>
          <w:lang w:val="zh-CN"/>
        </w:rPr>
      </w:pPr>
      <w:r>
        <w:rPr>
          <w:rFonts w:ascii="Times New Roman" w:hAnsi="Times New Roman" w:eastAsia="黑体" w:cs="Times New Roman"/>
          <w:color w:val="000000"/>
          <w:kern w:val="0"/>
          <w:sz w:val="32"/>
          <w:szCs w:val="30"/>
          <w:lang w:val="zh-CN"/>
        </w:rPr>
        <w:t>四、大力推动大数据产业</w:t>
      </w:r>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r>
        <w:rPr>
          <w:rFonts w:ascii="Times New Roman" w:hAnsi="Times New Roman" w:eastAsia="黑体" w:cs="Times New Roman"/>
          <w:color w:val="000000"/>
          <w:kern w:val="0"/>
          <w:sz w:val="32"/>
          <w:szCs w:val="30"/>
          <w:lang w:val="zh-CN"/>
        </w:rPr>
        <w:t>可持续发展</w:t>
      </w:r>
    </w:p>
    <w:p>
      <w:pPr>
        <w:spacing w:line="580" w:lineRule="exact"/>
        <w:ind w:firstLine="640" w:firstLineChars="200"/>
        <w:rPr>
          <w:rFonts w:ascii="Times New Roman" w:hAnsi="Times New Roman" w:eastAsia="仿宋_GB2312" w:cs="Times New Roman"/>
          <w:color w:val="000000"/>
          <w:sz w:val="32"/>
          <w:szCs w:val="28"/>
        </w:rPr>
      </w:pPr>
      <w:r>
        <w:rPr>
          <w:rFonts w:ascii="Times New Roman" w:hAnsi="Times New Roman" w:eastAsia="仿宋_GB2312" w:cs="Times New Roman"/>
          <w:color w:val="000000"/>
          <w:sz w:val="32"/>
          <w:szCs w:val="28"/>
        </w:rPr>
        <w:t>高标准建设大数据存储基地和应用中心，积极引入专业化大数据企业来泉布局，重点支持数据资源型企业将数据资源中心落地泉州。支持发展大数据交易市场，把大数据产品与服务纳入政府购买服务范围，培育大数据咨询、策划机构，建立大数据创新服务平台和大数据创新创业孵化基地，支持开展大数据创业，推动大数据产业可持续发展。加快引进和培育一批大数据技术企业，推动政务、产业、民生等各类大数据的汇聚清洗、分类整理、脱敏脱密等工作，加快数据资源有序开放和增值开发。</w:t>
      </w:r>
    </w:p>
    <w:tbl>
      <w:tblPr>
        <w:tblStyle w:val="24"/>
        <w:tblW w:w="86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642" w:type="dxa"/>
          </w:tcPr>
          <w:p>
            <w:pPr>
              <w:widowControl/>
              <w:numPr>
                <w:ilvl w:val="0"/>
                <w:numId w:val="1"/>
              </w:numPr>
              <w:spacing w:line="600" w:lineRule="exact"/>
              <w:jc w:val="center"/>
              <w:rPr>
                <w:rFonts w:ascii="Times New Roman" w:hAnsi="Times New Roman" w:eastAsia="仿宋_GB2312" w:cs="Times New Roman"/>
                <w:color w:val="000000"/>
                <w:kern w:val="0"/>
                <w:sz w:val="30"/>
                <w:szCs w:val="30"/>
              </w:rPr>
            </w:pPr>
            <w:r>
              <w:rPr>
                <w:rFonts w:ascii="Times New Roman" w:hAnsi="Times New Roman" w:eastAsia="楷体_GB2312" w:cs="Times New Roman"/>
                <w:b/>
                <w:color w:val="000000"/>
                <w:sz w:val="28"/>
                <w:szCs w:val="28"/>
              </w:rPr>
              <w:t>发展</w:t>
            </w:r>
            <w:r>
              <w:rPr>
                <w:rFonts w:hint="eastAsia" w:ascii="Times New Roman" w:hAnsi="Times New Roman" w:eastAsia="楷体_GB2312" w:cs="Times New Roman"/>
                <w:b/>
                <w:color w:val="000000"/>
                <w:sz w:val="28"/>
                <w:szCs w:val="28"/>
              </w:rPr>
              <w:t>大数据</w:t>
            </w:r>
            <w:r>
              <w:rPr>
                <w:rFonts w:ascii="Times New Roman" w:hAnsi="Times New Roman" w:eastAsia="楷体_GB2312" w:cs="Times New Roman"/>
                <w:b/>
                <w:color w:val="000000"/>
                <w:sz w:val="28"/>
                <w:szCs w:val="28"/>
              </w:rPr>
              <w:t>产业工程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42" w:type="dxa"/>
          </w:tcPr>
          <w:p>
            <w:pPr>
              <w:spacing w:line="600" w:lineRule="exact"/>
              <w:ind w:firstLine="560" w:firstLineChars="200"/>
              <w:contextualSpacing/>
              <w:rPr>
                <w:rFonts w:ascii="Times New Roman" w:hAnsi="Times New Roman" w:eastAsia="华文仿宋" w:cs="Times New Roman"/>
                <w:color w:val="000000"/>
                <w:sz w:val="28"/>
                <w:szCs w:val="28"/>
              </w:rPr>
            </w:pPr>
            <w:r>
              <w:rPr>
                <w:rFonts w:ascii="Times New Roman" w:hAnsi="Times New Roman" w:eastAsia="仿宋_GB2312" w:cs="Times New Roman"/>
                <w:color w:val="000000"/>
                <w:sz w:val="28"/>
                <w:szCs w:val="28"/>
              </w:rPr>
              <w:t>以数字福建（安溪）产业园为载体，打造闽西南协同区大数据产业集群区，汇聚空天大数据、影视大数据产业链，大力发展时空大数据产业，加快推进“新华大数据”平台、“大唐海上风电大数据中心”建设。加快推进丰泽“匹克数据中台”、晋江“工业产业大数据平台”建设、南安“石材大数据平台”、石狮“智能制造大数据云平台”等项目建设；推进“无线泉州‘大数据’一期工程”建设，通过对用户线上线下行为深度洞察，构建全面、精准、多维的用户画像；策划泉州市产业大脑综合服务项目，依托大数据画像技术，描绘全市产业景观、产景地图、产业图谱，并对重点产业园区进行画像。</w:t>
            </w:r>
          </w:p>
        </w:tc>
      </w:tr>
    </w:tbl>
    <w:p>
      <w:pPr>
        <w:keepNext/>
        <w:keepLines/>
        <w:spacing w:before="260" w:after="260" w:line="596" w:lineRule="exact"/>
        <w:jc w:val="center"/>
        <w:outlineLvl w:val="1"/>
        <w:rPr>
          <w:rFonts w:ascii="Times New Roman" w:hAnsi="Times New Roman" w:eastAsia="方正黑体简体" w:cs="Times New Roman"/>
          <w:bCs/>
          <w:color w:val="000000"/>
          <w:sz w:val="32"/>
          <w:szCs w:val="32"/>
        </w:rPr>
      </w:pPr>
      <w:bookmarkStart w:id="770" w:name="_Toc86954712"/>
      <w:bookmarkEnd w:id="770"/>
      <w:bookmarkStart w:id="771" w:name="_Toc661576299"/>
      <w:bookmarkStart w:id="772" w:name="_Toc86954713"/>
      <w:bookmarkStart w:id="773" w:name="_Toc16804"/>
      <w:bookmarkStart w:id="774" w:name="_Toc146374212"/>
      <w:bookmarkStart w:id="775" w:name="_Toc81425793"/>
      <w:bookmarkStart w:id="776" w:name="_Toc962910623"/>
      <w:bookmarkStart w:id="777" w:name="_Toc21180"/>
      <w:bookmarkStart w:id="778" w:name="_Toc22975"/>
      <w:bookmarkStart w:id="779" w:name="_Toc94308422"/>
      <w:bookmarkStart w:id="780" w:name="_Toc31600"/>
      <w:bookmarkStart w:id="781" w:name="_Toc24282"/>
      <w:bookmarkStart w:id="782" w:name="_Toc32661"/>
      <w:bookmarkStart w:id="783" w:name="_Toc23262"/>
      <w:bookmarkStart w:id="784" w:name="_Toc26621"/>
      <w:bookmarkStart w:id="785" w:name="_Toc18462"/>
      <w:bookmarkStart w:id="786" w:name="_Toc17798"/>
      <w:bookmarkStart w:id="787" w:name="_Toc17799"/>
      <w:bookmarkStart w:id="788" w:name="_Toc1748020517"/>
      <w:bookmarkStart w:id="789" w:name="_Toc31766"/>
      <w:r>
        <w:rPr>
          <w:rFonts w:ascii="Times New Roman" w:hAnsi="Times New Roman" w:eastAsia="方正黑体简体" w:cs="Times New Roman"/>
          <w:bCs/>
          <w:color w:val="000000"/>
          <w:sz w:val="32"/>
          <w:szCs w:val="32"/>
        </w:rPr>
        <w:t>第三节 营造良好数据要素流通市场环境</w:t>
      </w:r>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p>
    <w:p>
      <w:pPr>
        <w:spacing w:line="580" w:lineRule="exact"/>
        <w:ind w:firstLine="640" w:firstLineChars="200"/>
        <w:rPr>
          <w:rFonts w:ascii="Times New Roman" w:hAnsi="Times New Roman" w:eastAsia="黑体" w:cs="Times New Roman"/>
          <w:color w:val="000000"/>
          <w:kern w:val="0"/>
          <w:sz w:val="32"/>
          <w:szCs w:val="30"/>
          <w:lang w:val="zh-CN"/>
        </w:rPr>
      </w:pPr>
      <w:bookmarkStart w:id="790" w:name="_Toc86954714"/>
      <w:bookmarkStart w:id="791" w:name="_Toc2383"/>
      <w:bookmarkStart w:id="792" w:name="_Toc19600"/>
      <w:bookmarkStart w:id="793" w:name="_Toc287531071"/>
      <w:bookmarkStart w:id="794" w:name="_Toc18660"/>
      <w:bookmarkStart w:id="795" w:name="_Toc29585"/>
      <w:bookmarkStart w:id="796" w:name="_Toc834957166"/>
      <w:bookmarkStart w:id="797" w:name="_Toc5154"/>
      <w:bookmarkStart w:id="798" w:name="_Toc1403893690"/>
      <w:bookmarkStart w:id="799" w:name="_Toc2462"/>
      <w:bookmarkStart w:id="800" w:name="_Toc81425794"/>
      <w:bookmarkStart w:id="801" w:name="_Toc2878"/>
      <w:bookmarkStart w:id="802" w:name="_Toc23346"/>
      <w:bookmarkStart w:id="803" w:name="_Toc10403"/>
      <w:bookmarkStart w:id="804" w:name="_Toc14173"/>
      <w:bookmarkStart w:id="805" w:name="_Toc638"/>
      <w:bookmarkStart w:id="806" w:name="_Toc1603938795"/>
      <w:bookmarkStart w:id="807" w:name="_Toc4454"/>
      <w:r>
        <w:rPr>
          <w:rFonts w:ascii="Times New Roman" w:hAnsi="Times New Roman" w:eastAsia="黑体" w:cs="Times New Roman"/>
          <w:color w:val="000000"/>
          <w:kern w:val="0"/>
          <w:sz w:val="32"/>
          <w:szCs w:val="30"/>
          <w:lang w:val="zh-CN"/>
        </w:rPr>
        <w:t>一、完善数据要素交易流通体系</w:t>
      </w:r>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p>
    <w:p>
      <w:pPr>
        <w:spacing w:line="580" w:lineRule="exact"/>
        <w:ind w:firstLine="640" w:firstLineChars="200"/>
        <w:rPr>
          <w:rFonts w:ascii="Times New Roman" w:hAnsi="Times New Roman" w:eastAsia="仿宋_GB2312" w:cs="Times New Roman"/>
          <w:color w:val="000000"/>
          <w:sz w:val="32"/>
          <w:szCs w:val="28"/>
        </w:rPr>
      </w:pPr>
      <w:r>
        <w:rPr>
          <w:rFonts w:ascii="Times New Roman" w:hAnsi="Times New Roman" w:eastAsia="仿宋_GB2312" w:cs="Times New Roman"/>
          <w:color w:val="000000"/>
          <w:sz w:val="32"/>
          <w:szCs w:val="28"/>
        </w:rPr>
        <w:t>构建数据确权基本框架，完善数据权益、交易流通、跨境传输和安全保护等基础性制度规范。建立全市数据统一登记确权体系，分级分类对原始数据、脱敏化数据、模型化数据和标准化数据的权属界定和流转进行动态管理。研究开发数据资产价值评估模型，健全市场化的数据定价机制，为数据交易提供价值评估和价格依据。构建形成涵盖数据资源全产业链的安全监管体系，加强数据安全监测、加密传输、访问控制、数据脱敏等，加强跨境数据流动监测和业务协同监管。</w:t>
      </w:r>
    </w:p>
    <w:p>
      <w:pPr>
        <w:spacing w:line="580" w:lineRule="exact"/>
        <w:ind w:firstLine="640" w:firstLineChars="200"/>
        <w:rPr>
          <w:rFonts w:ascii="Times New Roman" w:hAnsi="Times New Roman" w:eastAsia="黑体" w:cs="Times New Roman"/>
          <w:color w:val="000000"/>
          <w:kern w:val="0"/>
          <w:sz w:val="32"/>
          <w:szCs w:val="30"/>
          <w:lang w:val="zh-CN"/>
        </w:rPr>
      </w:pPr>
      <w:bookmarkStart w:id="808" w:name="_Toc1396"/>
      <w:bookmarkStart w:id="809" w:name="_Toc86954715"/>
      <w:bookmarkStart w:id="810" w:name="_Toc25663"/>
      <w:bookmarkStart w:id="811" w:name="_Toc1190039880"/>
      <w:bookmarkStart w:id="812" w:name="_Toc20539"/>
      <w:bookmarkStart w:id="813" w:name="_Toc21498"/>
      <w:bookmarkStart w:id="814" w:name="_Toc1400131980"/>
      <w:bookmarkStart w:id="815" w:name="_Toc30785"/>
      <w:bookmarkStart w:id="816" w:name="_Toc29489"/>
      <w:bookmarkStart w:id="817" w:name="_Toc1186296050"/>
      <w:bookmarkStart w:id="818" w:name="_Toc5683"/>
      <w:bookmarkStart w:id="819" w:name="_Toc81425795"/>
      <w:bookmarkStart w:id="820" w:name="_Toc143"/>
      <w:bookmarkStart w:id="821" w:name="_Toc15454"/>
      <w:bookmarkStart w:id="822" w:name="_Toc1408256284"/>
      <w:bookmarkStart w:id="823" w:name="_Toc30468"/>
      <w:bookmarkStart w:id="824" w:name="_Toc5044"/>
      <w:bookmarkStart w:id="825" w:name="_Toc12622"/>
      <w:r>
        <w:rPr>
          <w:rFonts w:ascii="Times New Roman" w:hAnsi="Times New Roman" w:eastAsia="黑体" w:cs="Times New Roman"/>
          <w:color w:val="000000"/>
          <w:kern w:val="0"/>
          <w:sz w:val="32"/>
          <w:szCs w:val="30"/>
          <w:lang w:val="zh-CN"/>
        </w:rPr>
        <w:t>二、营造良好数据流通市场环境</w:t>
      </w:r>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p>
    <w:p>
      <w:pPr>
        <w:spacing w:line="580" w:lineRule="exact"/>
        <w:ind w:firstLine="640" w:firstLineChars="200"/>
        <w:rPr>
          <w:rFonts w:ascii="Times New Roman" w:hAnsi="Times New Roman" w:eastAsia="仿宋_GB2312" w:cs="Times New Roman"/>
          <w:color w:val="000000"/>
          <w:sz w:val="32"/>
          <w:szCs w:val="28"/>
        </w:rPr>
      </w:pPr>
      <w:r>
        <w:rPr>
          <w:rFonts w:ascii="Times New Roman" w:hAnsi="Times New Roman" w:eastAsia="仿宋_GB2312" w:cs="Times New Roman"/>
          <w:color w:val="000000"/>
          <w:sz w:val="32"/>
          <w:szCs w:val="28"/>
        </w:rPr>
        <w:t>加快推进大数据交易中心建设，规范数据交易行为，建立安全可信、管理可控、可追溯的数据交易环境。推动建设包括数据交易撮合、交易监管、资产定价、争议仲裁在内的全流程数据要素流动平台，支持开展数据资产管理、数据交易、结算交付等业务。营造包容、审慎、容错的环境，在产业发展、社会治理、民生服务等领域形成一批数据交易试点示范典型案例。以实际数据需求为导向，完善数据市场流通环境，精准对接市场需求，充分发挥市场配置资源的决定性作用，破除制约数字生产力释放的体制机制障碍，营造健康可持续的数据市场环境。</w:t>
      </w:r>
    </w:p>
    <w:p>
      <w:pPr>
        <w:spacing w:line="580" w:lineRule="exact"/>
        <w:ind w:firstLine="640" w:firstLineChars="200"/>
        <w:rPr>
          <w:rFonts w:ascii="Times New Roman" w:hAnsi="Times New Roman" w:eastAsia="黑体" w:cs="Times New Roman"/>
          <w:color w:val="000000"/>
          <w:kern w:val="0"/>
          <w:sz w:val="32"/>
          <w:szCs w:val="30"/>
          <w:lang w:val="zh-CN"/>
        </w:rPr>
      </w:pPr>
      <w:bookmarkStart w:id="826" w:name="_Toc3463"/>
      <w:r>
        <w:rPr>
          <w:rFonts w:ascii="Times New Roman" w:hAnsi="Times New Roman" w:eastAsia="黑体" w:cs="Times New Roman"/>
          <w:color w:val="000000"/>
          <w:kern w:val="0"/>
          <w:sz w:val="32"/>
          <w:szCs w:val="30"/>
          <w:lang w:val="zh-CN"/>
        </w:rPr>
        <w:t>三、健全数据要素市场监管体系</w:t>
      </w:r>
      <w:bookmarkEnd w:id="826"/>
    </w:p>
    <w:p>
      <w:pPr>
        <w:spacing w:line="580" w:lineRule="exact"/>
        <w:ind w:firstLine="640" w:firstLineChars="200"/>
        <w:rPr>
          <w:rFonts w:ascii="Times New Roman" w:hAnsi="Times New Roman" w:eastAsia="仿宋_GB2312" w:cs="Times New Roman"/>
          <w:color w:val="000000"/>
          <w:sz w:val="32"/>
          <w:szCs w:val="28"/>
        </w:rPr>
      </w:pPr>
      <w:r>
        <w:rPr>
          <w:rFonts w:ascii="Times New Roman" w:hAnsi="Times New Roman" w:eastAsia="仿宋_GB2312" w:cs="Times New Roman"/>
          <w:color w:val="000000"/>
          <w:sz w:val="32"/>
          <w:szCs w:val="28"/>
        </w:rPr>
        <w:t>探索制定在数据交易流通、数据安全保护等方面的地方性法规和标准规范。引导培育大数据交易市场，依法合规开展数据交易，建立健全数据产权交易和行业自律机制。健全数据交易监管机制，明确数据交易监管主体，研究制定数据交易各环节的监管制度、互通规则和违规惩罚措施。建立数据交易跨部门协同监管机制，开展数据要素市场监管执法，打击数据垄断、数据欺诈和数据不正当竞争行为，规范各类市场主体行为。整合区块链等新一代信息技术，搭建全社会数据授权存证、数据</w:t>
      </w:r>
      <w:r>
        <w:rPr>
          <w:rFonts w:hint="eastAsia" w:ascii="Times New Roman" w:hAnsi="Times New Roman" w:eastAsia="仿宋_GB2312" w:cs="Times New Roman"/>
          <w:color w:val="000000"/>
          <w:sz w:val="32"/>
          <w:szCs w:val="28"/>
        </w:rPr>
        <w:t>溯源</w:t>
      </w:r>
      <w:r>
        <w:rPr>
          <w:rFonts w:ascii="Times New Roman" w:hAnsi="Times New Roman" w:eastAsia="仿宋_GB2312" w:cs="Times New Roman"/>
          <w:color w:val="000000"/>
          <w:sz w:val="32"/>
          <w:szCs w:val="28"/>
        </w:rPr>
        <w:t>和数据完整性检测平台。</w:t>
      </w:r>
    </w:p>
    <w:p>
      <w:pPr>
        <w:keepNext/>
        <w:keepLines/>
        <w:pageBreakBefore/>
        <w:spacing w:before="340" w:after="240" w:line="596" w:lineRule="exact"/>
        <w:jc w:val="center"/>
        <w:outlineLvl w:val="0"/>
        <w:rPr>
          <w:rFonts w:ascii="Times New Roman" w:hAnsi="Times New Roman" w:eastAsia="方正小标宋简体" w:cs="Times New Roman"/>
          <w:color w:val="000000"/>
          <w:kern w:val="44"/>
          <w:sz w:val="36"/>
          <w:szCs w:val="36"/>
        </w:rPr>
      </w:pPr>
      <w:bookmarkStart w:id="827" w:name="_Toc94308423"/>
      <w:bookmarkStart w:id="828" w:name="_Toc24055"/>
      <w:r>
        <w:rPr>
          <w:rFonts w:ascii="Times New Roman" w:hAnsi="Times New Roman" w:eastAsia="方正小标宋简体" w:cs="Times New Roman"/>
          <w:color w:val="000000"/>
          <w:kern w:val="44"/>
          <w:sz w:val="36"/>
          <w:szCs w:val="36"/>
        </w:rPr>
        <w:t>第七章 加速基础设施新型化，牢筑网络信息安全线</w:t>
      </w:r>
      <w:bookmarkEnd w:id="827"/>
      <w:bookmarkEnd w:id="828"/>
    </w:p>
    <w:p>
      <w:pPr>
        <w:spacing w:line="580" w:lineRule="exact"/>
        <w:ind w:firstLine="640" w:firstLineChars="200"/>
        <w:rPr>
          <w:rFonts w:ascii="Times New Roman" w:hAnsi="Times New Roman" w:eastAsia="仿宋_GB2312" w:cs="Times New Roman"/>
          <w:color w:val="000000"/>
          <w:sz w:val="32"/>
          <w:szCs w:val="28"/>
        </w:rPr>
      </w:pPr>
      <w:r>
        <w:rPr>
          <w:rFonts w:ascii="Times New Roman" w:hAnsi="Times New Roman" w:eastAsia="仿宋_GB2312" w:cs="Times New Roman"/>
          <w:color w:val="000000"/>
          <w:sz w:val="32"/>
          <w:szCs w:val="28"/>
        </w:rPr>
        <w:t>建设高速泛在、天地一体、智能敏捷、绿色低碳、安全可控的智能化综合性数字信息基础设施，加快构建“双千兆城市”。高质量建设数据中心，构建先进智能新算力基础设施。积极推动传统基础设施升级，超前部署新型融合基础设施。聚焦工业互联网安全，提升网络安全态势感知能力。</w:t>
      </w:r>
      <w:bookmarkStart w:id="829" w:name="_Toc22552"/>
      <w:bookmarkStart w:id="830" w:name="_Toc21880"/>
      <w:bookmarkStart w:id="831" w:name="_Toc2138"/>
      <w:bookmarkStart w:id="832" w:name="_Toc1545119229"/>
      <w:bookmarkStart w:id="833" w:name="_Toc86954719"/>
      <w:bookmarkStart w:id="834" w:name="_Toc2002646010"/>
      <w:bookmarkStart w:id="835" w:name="_Toc13"/>
      <w:bookmarkStart w:id="836" w:name="_Toc486636958"/>
      <w:bookmarkStart w:id="837" w:name="_Toc29751"/>
      <w:bookmarkStart w:id="838" w:name="_Toc21658"/>
      <w:bookmarkStart w:id="839" w:name="_Toc22844"/>
      <w:bookmarkStart w:id="840" w:name="_Toc7557"/>
      <w:bookmarkStart w:id="841" w:name="_Toc27532"/>
      <w:bookmarkStart w:id="842" w:name="_Toc31187"/>
      <w:bookmarkStart w:id="843" w:name="_Toc2067144812"/>
      <w:bookmarkStart w:id="844" w:name="_Toc5866"/>
    </w:p>
    <w:p>
      <w:pPr>
        <w:keepNext/>
        <w:keepLines/>
        <w:spacing w:before="260" w:after="260" w:line="596" w:lineRule="exact"/>
        <w:jc w:val="center"/>
        <w:outlineLvl w:val="1"/>
        <w:rPr>
          <w:rFonts w:ascii="Times New Roman" w:hAnsi="Times New Roman" w:eastAsia="方正黑体简体" w:cs="Times New Roman"/>
          <w:bCs/>
          <w:color w:val="000000"/>
          <w:sz w:val="32"/>
          <w:szCs w:val="32"/>
        </w:rPr>
      </w:pPr>
      <w:bookmarkStart w:id="845" w:name="_Toc94308424"/>
      <w:r>
        <w:rPr>
          <w:rFonts w:ascii="Times New Roman" w:hAnsi="Times New Roman" w:eastAsia="方正黑体简体" w:cs="Times New Roman"/>
          <w:bCs/>
          <w:color w:val="000000"/>
          <w:sz w:val="32"/>
          <w:szCs w:val="32"/>
        </w:rPr>
        <w:t>第一节 超前布局新型基础设施</w:t>
      </w:r>
      <w:bookmarkEnd w:id="829"/>
      <w:bookmarkEnd w:id="845"/>
    </w:p>
    <w:p>
      <w:pPr>
        <w:spacing w:line="580" w:lineRule="exact"/>
        <w:ind w:firstLine="640" w:firstLineChars="200"/>
        <w:rPr>
          <w:rFonts w:ascii="Times New Roman" w:hAnsi="Times New Roman" w:eastAsia="黑体" w:cs="Times New Roman"/>
          <w:color w:val="000000"/>
          <w:kern w:val="0"/>
          <w:sz w:val="32"/>
          <w:szCs w:val="30"/>
          <w:lang w:val="zh-CN"/>
        </w:rPr>
      </w:pPr>
      <w:bookmarkStart w:id="846" w:name="_Toc30486"/>
      <w:r>
        <w:rPr>
          <w:rFonts w:ascii="Times New Roman" w:hAnsi="Times New Roman" w:eastAsia="黑体" w:cs="Times New Roman"/>
          <w:color w:val="000000"/>
          <w:kern w:val="0"/>
          <w:sz w:val="32"/>
          <w:szCs w:val="30"/>
          <w:lang w:val="zh-CN"/>
        </w:rPr>
        <w:t>一、统筹推进信息基础设施建设</w:t>
      </w:r>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6"/>
    </w:p>
    <w:p>
      <w:pPr>
        <w:spacing w:line="580" w:lineRule="exact"/>
        <w:ind w:firstLine="640" w:firstLineChars="200"/>
        <w:rPr>
          <w:rFonts w:ascii="Times New Roman" w:hAnsi="Times New Roman" w:eastAsia="仿宋_GB2312" w:cs="Times New Roman"/>
          <w:color w:val="000000"/>
          <w:sz w:val="32"/>
          <w:szCs w:val="28"/>
        </w:rPr>
      </w:pPr>
      <w:r>
        <w:rPr>
          <w:rFonts w:ascii="Times New Roman" w:hAnsi="Times New Roman" w:eastAsia="仿宋_GB2312" w:cs="Times New Roman"/>
          <w:b/>
          <w:color w:val="000000"/>
          <w:sz w:val="32"/>
          <w:szCs w:val="28"/>
        </w:rPr>
        <w:t>高标准建设5G+宽带“双千兆”网络。</w:t>
      </w:r>
      <w:r>
        <w:rPr>
          <w:rFonts w:ascii="Times New Roman" w:hAnsi="Times New Roman" w:eastAsia="仿宋_GB2312" w:cs="Times New Roman"/>
          <w:color w:val="000000"/>
          <w:sz w:val="32"/>
          <w:szCs w:val="28"/>
        </w:rPr>
        <w:t>加速实施新时代“数字泉州·宽带工程”行动计划，积极推进高水平全光网络建设，使泉州成为首批“双千兆城市”，到2025年累计建设5G基站超4万个，5G用户普及率达到70%，年均提高11个百分点，基本实现5G网络全市范围普遍覆盖。实施“千兆入户、万兆入楼”的光纤覆盖计划，千兆宽带家庭普及率年均提高4个百分点，到2025年达20%，互联网出口带宽达到24T，年均增长24.5%以上。</w:t>
      </w:r>
    </w:p>
    <w:p>
      <w:pPr>
        <w:spacing w:line="580" w:lineRule="exact"/>
        <w:ind w:firstLine="640" w:firstLineChars="200"/>
        <w:rPr>
          <w:rFonts w:ascii="Times New Roman" w:hAnsi="Times New Roman" w:eastAsia="仿宋_GB2312" w:cs="Times New Roman"/>
          <w:color w:val="000000"/>
          <w:sz w:val="32"/>
          <w:szCs w:val="28"/>
        </w:rPr>
      </w:pPr>
      <w:r>
        <w:rPr>
          <w:rFonts w:ascii="Times New Roman" w:hAnsi="Times New Roman" w:eastAsia="仿宋_GB2312" w:cs="Times New Roman"/>
          <w:b/>
          <w:color w:val="000000"/>
          <w:sz w:val="32"/>
          <w:szCs w:val="28"/>
        </w:rPr>
        <w:t>加快布局工业互联网集群。</w:t>
      </w:r>
      <w:r>
        <w:rPr>
          <w:rFonts w:ascii="Times New Roman" w:hAnsi="Times New Roman" w:eastAsia="仿宋_GB2312" w:cs="Times New Roman"/>
          <w:color w:val="000000"/>
          <w:sz w:val="32"/>
          <w:szCs w:val="28"/>
        </w:rPr>
        <w:t>着力推进工业互联网网络建设IP化、扁平化、柔性化技术改造与优化，推进工业企业内外网改造，加快面向重点产业、重点环节的工业互联网平台建设，建成适用于工业互联网的高可靠、广覆盖、大带宽、可定制的具备IPv6支持能力企业外网基础设施。加快推进工业互联网标识解析综合型二级节点建设，推动工业企业依托现有互联网域名系统及物联网标识系统进行升级改造，推动工业互联网提供商积极探索构建工业互联网标识解析体系，建设公共标识解析服务平台及产品信息数据库。到2025年IPv6活跃用户数达2000万户，二级节点标识注册数一期建设达2000万个，工业互联网领域进入全国领先行列。</w:t>
      </w:r>
    </w:p>
    <w:p>
      <w:pPr>
        <w:spacing w:line="580" w:lineRule="exact"/>
        <w:ind w:firstLine="640" w:firstLineChars="200"/>
        <w:rPr>
          <w:rFonts w:ascii="Times New Roman" w:hAnsi="Times New Roman" w:eastAsia="仿宋_GB2312" w:cs="Times New Roman"/>
          <w:color w:val="000000"/>
          <w:sz w:val="32"/>
          <w:szCs w:val="28"/>
        </w:rPr>
      </w:pPr>
      <w:r>
        <w:rPr>
          <w:rFonts w:ascii="Times New Roman" w:hAnsi="Times New Roman" w:eastAsia="仿宋_GB2312" w:cs="Times New Roman"/>
          <w:b/>
          <w:color w:val="000000"/>
          <w:sz w:val="32"/>
          <w:szCs w:val="28"/>
        </w:rPr>
        <w:t>加快打造空天地一体、泛在感知网络。</w:t>
      </w:r>
      <w:r>
        <w:rPr>
          <w:rFonts w:ascii="Times New Roman" w:hAnsi="Times New Roman" w:eastAsia="仿宋_GB2312" w:cs="Times New Roman"/>
          <w:color w:val="000000"/>
          <w:sz w:val="32"/>
          <w:szCs w:val="28"/>
        </w:rPr>
        <w:t>加快推进“感知泉州”建设，优化升级广电网络，大力推动“三网”融合。构建无线城域网，提升城市无线宽带接入能力和覆盖范围。加快NB-IoT/eMTC移动物联网部署，推进物联网络深度全域覆盖，加快推进城市物联网感知平台建设，到2025年底，建成NB-IoT基站数2万个，物联网终端用户数达1750万个，打造千亿级物联网产业集聚区。继续推进“151”卫星应用创新示范工程建设，加速数字福建（安溪）产业园全球商业遥感卫星地面接收站网建设，推动卫星互联网基础设施建设，推进太空云节点及北斗网格时空框架基础设施建设，加速打造一套融合遥感卫星、高低空无人机以及地面系统空天地一体化、泛在感知的新型网络。</w:t>
      </w:r>
    </w:p>
    <w:p>
      <w:pPr>
        <w:spacing w:line="580" w:lineRule="exact"/>
        <w:ind w:firstLine="640" w:firstLineChars="200"/>
        <w:rPr>
          <w:rFonts w:ascii="Times New Roman" w:hAnsi="Times New Roman" w:eastAsia="黑体" w:cs="Times New Roman"/>
          <w:color w:val="000000"/>
          <w:kern w:val="0"/>
          <w:sz w:val="32"/>
          <w:szCs w:val="30"/>
          <w:lang w:val="zh-CN"/>
        </w:rPr>
      </w:pPr>
      <w:bookmarkStart w:id="847" w:name="_Toc12554"/>
      <w:bookmarkStart w:id="848" w:name="_Toc19657"/>
      <w:bookmarkStart w:id="849" w:name="_Toc1874196776"/>
      <w:bookmarkStart w:id="850" w:name="_Toc31638"/>
      <w:bookmarkStart w:id="851" w:name="_Toc514244343"/>
      <w:bookmarkStart w:id="852" w:name="_Toc17133"/>
      <w:bookmarkStart w:id="853" w:name="_Toc184"/>
      <w:bookmarkStart w:id="854" w:name="_Toc2228"/>
      <w:bookmarkStart w:id="855" w:name="_Toc86954720"/>
      <w:bookmarkStart w:id="856" w:name="_Toc26175"/>
      <w:bookmarkStart w:id="857" w:name="_Toc15903"/>
      <w:bookmarkStart w:id="858" w:name="_Toc197591747"/>
      <w:bookmarkStart w:id="859" w:name="_Toc1285696299"/>
      <w:bookmarkStart w:id="860" w:name="_Toc9395"/>
      <w:bookmarkStart w:id="861" w:name="_Toc22013"/>
      <w:bookmarkStart w:id="862" w:name="_Toc933"/>
      <w:r>
        <w:rPr>
          <w:rFonts w:ascii="Times New Roman" w:hAnsi="Times New Roman" w:eastAsia="黑体" w:cs="Times New Roman"/>
          <w:color w:val="000000"/>
          <w:kern w:val="0"/>
          <w:sz w:val="32"/>
          <w:szCs w:val="30"/>
          <w:lang w:val="zh-CN"/>
        </w:rPr>
        <w:t>二、加快推进融合基础设施建设</w:t>
      </w:r>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p>
    <w:p>
      <w:pPr>
        <w:spacing w:line="580" w:lineRule="exact"/>
        <w:ind w:firstLine="640" w:firstLineChars="200"/>
        <w:rPr>
          <w:rFonts w:ascii="Times New Roman" w:hAnsi="Times New Roman" w:eastAsia="仿宋_GB2312" w:cs="Times New Roman"/>
          <w:color w:val="000000"/>
          <w:sz w:val="32"/>
          <w:szCs w:val="28"/>
        </w:rPr>
      </w:pPr>
      <w:r>
        <w:rPr>
          <w:rFonts w:ascii="Times New Roman" w:hAnsi="Times New Roman" w:eastAsia="仿宋_GB2312" w:cs="Times New Roman"/>
          <w:b/>
          <w:color w:val="000000"/>
          <w:sz w:val="32"/>
          <w:szCs w:val="28"/>
        </w:rPr>
        <w:t>积极推动传统基础设施升级。</w:t>
      </w:r>
      <w:r>
        <w:rPr>
          <w:rFonts w:ascii="Times New Roman" w:hAnsi="Times New Roman" w:eastAsia="仿宋_GB2312" w:cs="Times New Roman"/>
          <w:color w:val="000000"/>
          <w:sz w:val="32"/>
          <w:szCs w:val="28"/>
        </w:rPr>
        <w:t>深度应用互联网、人工智能等技术，加快推进传统基础设施数字化、智能化改造。深入开展市政基础设施普查，实施在城市交通、道路、桥梁、灯杆、井盖、地下管线、供排水、供电、燃气等基础设施互联化、智能化改造；推动“多杆合一、一杆多用”建设标准落地，全面推进铁塔、路灯、监控杆、交通指示等各类资源的共享。推动“城市天眼”项目建设，通过“基站杆塔+高空监控+智能分析+自动预警”模式，集约高效支撑城市管理工作智能化、自动化。</w:t>
      </w:r>
    </w:p>
    <w:p>
      <w:pPr>
        <w:spacing w:line="580" w:lineRule="exact"/>
        <w:ind w:firstLine="640" w:firstLineChars="200"/>
        <w:rPr>
          <w:rFonts w:ascii="Times New Roman" w:hAnsi="Times New Roman" w:eastAsia="仿宋_GB2312" w:cs="Times New Roman"/>
          <w:color w:val="000000"/>
          <w:sz w:val="32"/>
          <w:szCs w:val="28"/>
        </w:rPr>
      </w:pPr>
      <w:r>
        <w:rPr>
          <w:rFonts w:ascii="Times New Roman" w:hAnsi="Times New Roman" w:eastAsia="仿宋_GB2312" w:cs="Times New Roman"/>
          <w:b/>
          <w:color w:val="000000"/>
          <w:sz w:val="32"/>
          <w:szCs w:val="28"/>
        </w:rPr>
        <w:t>超前部署新型融合基础设施。</w:t>
      </w:r>
      <w:r>
        <w:rPr>
          <w:rFonts w:ascii="Times New Roman" w:hAnsi="Times New Roman" w:eastAsia="仿宋_GB2312" w:cs="Times New Roman"/>
          <w:color w:val="000000"/>
          <w:sz w:val="32"/>
          <w:szCs w:val="28"/>
        </w:rPr>
        <w:t>提前谋划智慧能源基础设施建设，超前部署5G+特高压变电站等新型能源基础设施建设。提升市级充电基础设施数字化水平，统筹规划县（市、区）智慧充电桩及充电桩运行平台建设，实现与市级智慧充电桩运行平台分区对接，建设覆盖全市主城区的一体化“互联网+”智能充电设施。加快推进智能交通基础设施建设，加快建设可以支持高级别自动驾驶运行（L4级别以上）的高可靠、低时延网络及路侧智能感知设备等智能交通基础设施。推进数字福建（安溪）产业园等优势地区“5G+车联网”建设。</w:t>
      </w:r>
    </w:p>
    <w:p>
      <w:pPr>
        <w:spacing w:line="580" w:lineRule="exact"/>
        <w:ind w:firstLine="640" w:firstLineChars="200"/>
        <w:rPr>
          <w:rFonts w:ascii="Times New Roman" w:hAnsi="Times New Roman" w:eastAsia="黑体" w:cs="Times New Roman"/>
          <w:color w:val="000000"/>
          <w:kern w:val="0"/>
          <w:sz w:val="32"/>
          <w:szCs w:val="30"/>
          <w:lang w:val="zh-CN"/>
        </w:rPr>
      </w:pPr>
      <w:bookmarkStart w:id="863" w:name="_Toc6098"/>
      <w:bookmarkStart w:id="864" w:name="_Toc19058"/>
      <w:bookmarkStart w:id="865" w:name="_Toc17210"/>
      <w:bookmarkStart w:id="866" w:name="_Toc5103"/>
      <w:bookmarkStart w:id="867" w:name="_Toc1268"/>
      <w:bookmarkStart w:id="868" w:name="_Toc32652"/>
      <w:bookmarkStart w:id="869" w:name="_Toc23043"/>
      <w:bookmarkStart w:id="870" w:name="_Toc11065"/>
      <w:bookmarkStart w:id="871" w:name="_Toc24676"/>
      <w:bookmarkStart w:id="872" w:name="_Toc24835"/>
      <w:bookmarkStart w:id="873" w:name="_Toc12835"/>
      <w:bookmarkStart w:id="874" w:name="_Toc1453319421"/>
      <w:bookmarkStart w:id="875" w:name="_Toc238087962"/>
      <w:bookmarkStart w:id="876" w:name="_Toc138748158"/>
      <w:bookmarkStart w:id="877" w:name="_Toc1750981623"/>
      <w:bookmarkStart w:id="878" w:name="_Toc81425802"/>
      <w:bookmarkStart w:id="879" w:name="_Toc210"/>
      <w:bookmarkStart w:id="880" w:name="_Toc86954722"/>
      <w:r>
        <w:rPr>
          <w:rFonts w:ascii="Times New Roman" w:hAnsi="Times New Roman" w:eastAsia="黑体" w:cs="Times New Roman"/>
          <w:color w:val="000000"/>
          <w:kern w:val="0"/>
          <w:sz w:val="32"/>
          <w:szCs w:val="30"/>
          <w:lang w:val="zh-CN"/>
        </w:rPr>
        <w:t>三、加快布局创新基础设施建设</w:t>
      </w:r>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p>
    <w:p>
      <w:pPr>
        <w:spacing w:line="580" w:lineRule="exact"/>
        <w:ind w:firstLine="640" w:firstLineChars="200"/>
        <w:rPr>
          <w:rFonts w:ascii="Times New Roman" w:hAnsi="Times New Roman" w:eastAsia="仿宋_GB2312" w:cs="Times New Roman"/>
          <w:color w:val="000000"/>
          <w:sz w:val="32"/>
          <w:szCs w:val="28"/>
        </w:rPr>
      </w:pPr>
      <w:r>
        <w:rPr>
          <w:rFonts w:ascii="Times New Roman" w:hAnsi="Times New Roman" w:eastAsia="仿宋_GB2312" w:cs="Times New Roman"/>
          <w:b/>
          <w:color w:val="000000"/>
          <w:sz w:val="32"/>
          <w:szCs w:val="28"/>
        </w:rPr>
        <w:t>培育壮大一批科创平台、创新中心。</w:t>
      </w:r>
      <w:r>
        <w:rPr>
          <w:rFonts w:ascii="Times New Roman" w:hAnsi="Times New Roman" w:eastAsia="仿宋_GB2312" w:cs="Times New Roman"/>
          <w:color w:val="000000"/>
          <w:sz w:val="32"/>
          <w:szCs w:val="28"/>
        </w:rPr>
        <w:t>支持中科院海西研究院泉州装备所、国科大智能制造学院、福大科教园、天津大学泉州集成电路及人工智能研究院、华中科大智能制造研究院、哈工大工程技术研究院等重大创新平台发挥协同创新引领作用。高标准建设清源创新实验室争创国家级创新平台。推进重大科技基础设施建设，以引进中科院国家授时中心为支撑，高标准建设高精度地基授时系统泉州站（大科学装置）。推动北京大学智能计算（泉州）研究院与北京大学北斗数码（泉州）创新实验室建设。加快中国（泉州）知识产权保护中心落地建设，建成全省首个“国家级知识产权保护中心”。全市每年新增高新技术企业近500家，到2025年达3500家；提高每万人口发明专利拥有量，到2025年达20件以上。</w:t>
      </w:r>
    </w:p>
    <w:p>
      <w:pPr>
        <w:spacing w:line="580" w:lineRule="exact"/>
        <w:ind w:firstLine="640" w:firstLineChars="200"/>
        <w:rPr>
          <w:rFonts w:ascii="Times New Roman" w:hAnsi="Times New Roman" w:eastAsia="仿宋_GB2312" w:cs="Times New Roman"/>
          <w:color w:val="000000"/>
          <w:sz w:val="32"/>
          <w:szCs w:val="28"/>
        </w:rPr>
      </w:pPr>
      <w:r>
        <w:rPr>
          <w:rFonts w:ascii="Times New Roman" w:hAnsi="Times New Roman" w:eastAsia="仿宋_GB2312" w:cs="Times New Roman"/>
          <w:b/>
          <w:color w:val="000000"/>
          <w:sz w:val="32"/>
          <w:szCs w:val="28"/>
        </w:rPr>
        <w:t>构建先进智能算力基础设施。</w:t>
      </w:r>
      <w:r>
        <w:rPr>
          <w:rFonts w:ascii="Times New Roman" w:hAnsi="Times New Roman" w:eastAsia="仿宋_GB2312" w:cs="Times New Roman"/>
          <w:color w:val="000000"/>
          <w:sz w:val="32"/>
          <w:szCs w:val="28"/>
        </w:rPr>
        <w:t>高起点、高标准、高质量建设数据中心，持续推动数字福建（安溪）产业园、电信天翼云平台、移动云平台、联通云计算产业园等一批商用云平台建设，积极参与闽西南协同区数据中心和存算资源协同布局，建设成为闽西南协同发展区最主要数据中心和数字福建大数据中心的核心骨干节点。统筹推进边缘计算资源池节点规划布局，加快泉州本地先进计算中心和公用密码池等具备共享算力服务功能的数字基础设施建设。进一步增强泉州市政务云、医疗云、工业云等行业专属云、5GMEC边缘计算云、CDN边缘加速云等边缘云节点服务能力。争取数据中心总算力年均增长30.5%以上，到2025年达到1.8EFLOPS（百亿亿次级计算），全市形成布局合理、技术先进、智能敏捷、绿色低碳、算力规模与数字经济增长相适应的新型数据中心发展格局。</w:t>
      </w:r>
    </w:p>
    <w:tbl>
      <w:tblPr>
        <w:tblStyle w:val="24"/>
        <w:tblpPr w:leftFromText="180" w:rightFromText="180" w:vertAnchor="text" w:horzAnchor="page" w:tblpX="1984" w:tblpY="16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642" w:type="dxa"/>
          </w:tcPr>
          <w:p>
            <w:pPr>
              <w:widowControl/>
              <w:numPr>
                <w:ilvl w:val="0"/>
                <w:numId w:val="1"/>
              </w:numPr>
              <w:spacing w:line="600" w:lineRule="exact"/>
              <w:jc w:val="center"/>
              <w:rPr>
                <w:rFonts w:ascii="Times New Roman" w:hAnsi="Times New Roman" w:eastAsia="仿宋_GB2312" w:cs="Times New Roman"/>
                <w:color w:val="000000"/>
                <w:kern w:val="0"/>
                <w:sz w:val="30"/>
                <w:szCs w:val="30"/>
              </w:rPr>
            </w:pPr>
            <w:r>
              <w:rPr>
                <w:rFonts w:hint="eastAsia" w:ascii="Times New Roman" w:hAnsi="Times New Roman" w:eastAsia="楷体_GB2312" w:cs="Times New Roman"/>
                <w:b/>
                <w:color w:val="000000"/>
                <w:sz w:val="28"/>
                <w:szCs w:val="28"/>
              </w:rPr>
              <w:t>算力基础设施建设工程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42" w:type="dxa"/>
          </w:tcPr>
          <w:p>
            <w:pPr>
              <w:spacing w:line="600" w:lineRule="exact"/>
              <w:ind w:firstLine="560" w:firstLineChars="200"/>
              <w:contextualSpacing/>
              <w:rPr>
                <w:rFonts w:ascii="Times New Roman" w:hAnsi="Times New Roman" w:eastAsia="华文仿宋" w:cs="Times New Roman"/>
                <w:color w:val="000000"/>
                <w:sz w:val="28"/>
                <w:szCs w:val="28"/>
              </w:rPr>
            </w:pPr>
            <w:r>
              <w:rPr>
                <w:rFonts w:ascii="Times New Roman" w:hAnsi="Times New Roman" w:eastAsia="仿宋_GB2312" w:cs="Times New Roman"/>
                <w:color w:val="000000"/>
                <w:sz w:val="28"/>
                <w:szCs w:val="28"/>
              </w:rPr>
              <w:t>积极推动“中国电信泉州分公司数据中心”建设，扩容中国电信集团云战略全国“2+31+X”的重要云计算节点，建成后将能提供5万核vCPU算力资源及5000T存储资源；积极推动安溪“中国移动数据中心”建设，丰泽“中国移动泉州分公司城东数据中心”建设，扩容计算能力3000vCPU。积极推动安溪“中国联通数据中心”建设，布局新“沃云”骨干云池+MEC边缘云，提升云网一体能力，至2025年算力达到14万核vCPU。至2025年，三大运营商计划投资超3.6亿元开展边缘计算资源池节点建设，建设市、县、端三级边缘计算节点，建设市县城区、重点乡镇、重点园区等重点区域5G+边缘计算分节点，边缘节点达到100+。积极推动数字福建（安溪）产业园与中信科、大唐、汉唐智华等合作建设、运营产业园，开展数据中心扩容建设，力争2025年数据中心达到2万个机柜规模。构建“光谷云（安溪）渲染牧场”；积极推动泉州先进计算中心项目建设，建设超10万台服务器的大规模超算中心。</w:t>
            </w:r>
          </w:p>
        </w:tc>
      </w:tr>
    </w:tbl>
    <w:p>
      <w:pPr>
        <w:keepNext/>
        <w:keepLines/>
        <w:spacing w:before="260" w:after="260" w:line="596" w:lineRule="exact"/>
        <w:jc w:val="center"/>
        <w:outlineLvl w:val="1"/>
        <w:rPr>
          <w:rFonts w:ascii="Times New Roman" w:hAnsi="Times New Roman" w:eastAsia="方正黑体简体" w:cs="Times New Roman"/>
          <w:bCs/>
          <w:color w:val="000000"/>
          <w:sz w:val="32"/>
          <w:szCs w:val="32"/>
        </w:rPr>
      </w:pPr>
      <w:bookmarkStart w:id="881" w:name="_Toc1650020677"/>
      <w:bookmarkStart w:id="882" w:name="_Toc13080"/>
      <w:bookmarkStart w:id="883" w:name="_Toc11331"/>
      <w:bookmarkStart w:id="884" w:name="_Toc94308425"/>
      <w:bookmarkStart w:id="885" w:name="_Toc22487"/>
      <w:bookmarkStart w:id="886" w:name="_Toc22314"/>
      <w:bookmarkStart w:id="887" w:name="_Toc28061"/>
      <w:bookmarkStart w:id="888" w:name="_Toc1250126375"/>
      <w:bookmarkStart w:id="889" w:name="_Toc28028"/>
      <w:bookmarkStart w:id="890" w:name="_Toc814154022"/>
      <w:bookmarkStart w:id="891" w:name="_Toc27488"/>
      <w:bookmarkStart w:id="892" w:name="_Toc17601"/>
      <w:bookmarkStart w:id="893" w:name="_Toc871233344"/>
      <w:bookmarkStart w:id="894" w:name="_Toc9002"/>
      <w:bookmarkStart w:id="895" w:name="_Toc3544"/>
      <w:bookmarkStart w:id="896" w:name="_Toc13357"/>
      <w:r>
        <w:rPr>
          <w:rFonts w:ascii="Times New Roman" w:hAnsi="Times New Roman" w:eastAsia="方正黑体简体" w:cs="Times New Roman"/>
          <w:bCs/>
          <w:color w:val="000000"/>
          <w:sz w:val="32"/>
          <w:szCs w:val="32"/>
        </w:rPr>
        <w:t>第二节 完善信息安全基础设施</w:t>
      </w:r>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p>
    <w:p>
      <w:pPr>
        <w:spacing w:line="580" w:lineRule="exact"/>
        <w:ind w:firstLine="640" w:firstLineChars="200"/>
        <w:rPr>
          <w:rFonts w:ascii="Times New Roman" w:hAnsi="Times New Roman" w:eastAsia="黑体" w:cs="Times New Roman"/>
          <w:color w:val="000000"/>
          <w:kern w:val="0"/>
          <w:sz w:val="32"/>
          <w:szCs w:val="30"/>
          <w:lang w:val="zh-CN"/>
        </w:rPr>
      </w:pPr>
      <w:bookmarkStart w:id="897" w:name="_Toc15293"/>
      <w:bookmarkStart w:id="898" w:name="_Toc20659"/>
      <w:bookmarkStart w:id="899" w:name="_Toc16946"/>
      <w:bookmarkStart w:id="900" w:name="_Toc86954723"/>
      <w:bookmarkStart w:id="901" w:name="_Toc456028360"/>
      <w:bookmarkStart w:id="902" w:name="_Toc4285"/>
      <w:bookmarkStart w:id="903" w:name="_Toc8924"/>
      <w:bookmarkStart w:id="904" w:name="_Toc1203684013"/>
      <w:bookmarkStart w:id="905" w:name="_Toc27798"/>
      <w:bookmarkStart w:id="906" w:name="_Toc27425"/>
      <w:bookmarkStart w:id="907" w:name="_Toc16967"/>
      <w:bookmarkStart w:id="908" w:name="_Toc663605460"/>
      <w:bookmarkStart w:id="909" w:name="_Toc26974"/>
      <w:bookmarkStart w:id="910" w:name="_Toc343"/>
      <w:bookmarkStart w:id="911" w:name="_Toc17857"/>
      <w:bookmarkStart w:id="912" w:name="_Toc13809"/>
      <w:bookmarkStart w:id="913" w:name="_Toc81425803"/>
      <w:bookmarkStart w:id="914" w:name="_Toc1244553431"/>
      <w:r>
        <w:rPr>
          <w:rFonts w:ascii="Times New Roman" w:hAnsi="Times New Roman" w:eastAsia="黑体" w:cs="Times New Roman"/>
          <w:color w:val="000000"/>
          <w:kern w:val="0"/>
          <w:sz w:val="32"/>
          <w:szCs w:val="30"/>
          <w:lang w:val="zh-CN"/>
        </w:rPr>
        <w:t>一、构建自主可控信息安全防线</w:t>
      </w:r>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p>
    <w:p>
      <w:pPr>
        <w:spacing w:line="580" w:lineRule="exact"/>
        <w:ind w:firstLine="640" w:firstLineChars="200"/>
        <w:rPr>
          <w:rFonts w:ascii="Times New Roman" w:hAnsi="Times New Roman" w:eastAsia="仿宋_GB2312" w:cs="Times New Roman"/>
          <w:color w:val="000000"/>
          <w:sz w:val="32"/>
          <w:szCs w:val="28"/>
        </w:rPr>
      </w:pPr>
      <w:r>
        <w:rPr>
          <w:rFonts w:ascii="Times New Roman" w:hAnsi="Times New Roman" w:eastAsia="仿宋_GB2312" w:cs="Times New Roman"/>
          <w:color w:val="000000"/>
          <w:sz w:val="32"/>
          <w:szCs w:val="28"/>
        </w:rPr>
        <w:t>全面实施安全可信、自主可控的网络信息安全战略举措，加快推进信创工程，推进重要政务信息系统国密改造，实现数字政府建设中的国产化替换。加快信创政务云建设，落实市级政务数据中心、市汇聚共享平台的安全等级保护及风险评估工作，加强对迁移、接入的信息系统、政务数据的安全保障。基于自主可控核心技术，不断完善政务云平台密码应用、大数据安全、中间件、云灾备等能力，确保上云信息系统安全稳定运行。执行网络安全审查制度，及早发现、并避免采购产品和服务给关键信息基础设施运行带来风险和危害，保障关键信息基础设施供应链安全，维护国家安全。围绕发展可信计算技术、筑牢网络安全防线，保障信息系统安全的重要阵地和最后一道防线。</w:t>
      </w:r>
    </w:p>
    <w:p>
      <w:pPr>
        <w:spacing w:line="580" w:lineRule="exact"/>
        <w:ind w:firstLine="640" w:firstLineChars="200"/>
        <w:rPr>
          <w:rFonts w:ascii="Times New Roman" w:hAnsi="Times New Roman" w:eastAsia="黑体" w:cs="Times New Roman"/>
          <w:color w:val="000000"/>
          <w:kern w:val="0"/>
          <w:sz w:val="32"/>
          <w:szCs w:val="30"/>
          <w:lang w:val="zh-CN"/>
        </w:rPr>
      </w:pPr>
      <w:bookmarkStart w:id="915" w:name="_Toc5196"/>
      <w:bookmarkStart w:id="916" w:name="_Toc843534508"/>
      <w:bookmarkStart w:id="917" w:name="_Toc25239"/>
      <w:bookmarkStart w:id="918" w:name="_Toc12566"/>
      <w:bookmarkStart w:id="919" w:name="_Toc725873195"/>
      <w:bookmarkStart w:id="920" w:name="_Toc30187"/>
      <w:bookmarkStart w:id="921" w:name="_Toc21536"/>
      <w:bookmarkStart w:id="922" w:name="_Toc81425804"/>
      <w:bookmarkStart w:id="923" w:name="_Toc20683"/>
      <w:bookmarkStart w:id="924" w:name="_Toc30786"/>
      <w:bookmarkStart w:id="925" w:name="_Toc9565"/>
      <w:bookmarkStart w:id="926" w:name="_Toc16319"/>
      <w:bookmarkStart w:id="927" w:name="_Toc8829"/>
      <w:bookmarkStart w:id="928" w:name="_Toc135692206"/>
      <w:bookmarkStart w:id="929" w:name="_Toc86954724"/>
      <w:bookmarkStart w:id="930" w:name="_Toc6415"/>
      <w:bookmarkStart w:id="931" w:name="_Toc1239335793"/>
      <w:bookmarkStart w:id="932" w:name="_Toc54798279"/>
      <w:bookmarkStart w:id="933" w:name="_Toc16874"/>
      <w:r>
        <w:rPr>
          <w:rFonts w:ascii="Times New Roman" w:hAnsi="Times New Roman" w:eastAsia="黑体" w:cs="Times New Roman"/>
          <w:color w:val="000000"/>
          <w:kern w:val="0"/>
          <w:sz w:val="32"/>
          <w:szCs w:val="30"/>
          <w:lang w:val="zh-CN"/>
        </w:rPr>
        <w:t>二、强化网络数据资源安全保护</w:t>
      </w:r>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p>
    <w:p>
      <w:pPr>
        <w:spacing w:line="580" w:lineRule="exact"/>
        <w:ind w:firstLine="640" w:firstLineChars="200"/>
        <w:rPr>
          <w:rFonts w:ascii="Times New Roman" w:hAnsi="Times New Roman" w:eastAsia="仿宋_GB2312" w:cs="Times New Roman"/>
          <w:color w:val="000000"/>
          <w:sz w:val="32"/>
          <w:szCs w:val="28"/>
        </w:rPr>
      </w:pPr>
      <w:r>
        <w:rPr>
          <w:rFonts w:ascii="Times New Roman" w:hAnsi="Times New Roman" w:eastAsia="仿宋_GB2312" w:cs="Times New Roman"/>
          <w:color w:val="000000"/>
          <w:sz w:val="32"/>
          <w:szCs w:val="28"/>
        </w:rPr>
        <w:t>推动数据安全监管体系建设，完善适用于政务大数据环境下的数据分类分级安全保护制度，加强对政务数据、企业商业秘密和个人数据的保护。强化数据防窃密、防篡改、防泄露、数据脱敏、数据审计、数据备份、加密认证、流动追溯等方面安全部署，实施工业互联网和政务云平台等重要业务系统国密改造工作。严格执行网站备案审核，加大对工业互联网、数据中心等关键信息基础设施等级保护定级备案，强化平台和工业应用程序（APP）安全，到2025年，基本建立起较为完备可靠、安全可信的工业互联网安全保障体系。</w:t>
      </w:r>
    </w:p>
    <w:p>
      <w:pPr>
        <w:spacing w:line="580" w:lineRule="exact"/>
        <w:ind w:firstLine="640" w:firstLineChars="200"/>
        <w:rPr>
          <w:rFonts w:ascii="Times New Roman" w:hAnsi="Times New Roman" w:eastAsia="黑体" w:cs="Times New Roman"/>
          <w:color w:val="000000"/>
          <w:kern w:val="0"/>
          <w:sz w:val="32"/>
          <w:szCs w:val="30"/>
          <w:lang w:val="zh-CN"/>
        </w:rPr>
      </w:pPr>
      <w:bookmarkStart w:id="934" w:name="_Toc28370"/>
      <w:bookmarkStart w:id="935" w:name="_Toc25432"/>
      <w:bookmarkStart w:id="936" w:name="_Toc32389"/>
      <w:bookmarkStart w:id="937" w:name="_Toc18343"/>
      <w:bookmarkStart w:id="938" w:name="_Toc5014"/>
      <w:bookmarkStart w:id="939" w:name="_Toc29894"/>
      <w:bookmarkStart w:id="940" w:name="_Toc1730370276"/>
      <w:bookmarkStart w:id="941" w:name="_Toc54798281"/>
      <w:bookmarkStart w:id="942" w:name="_Toc81425805"/>
      <w:bookmarkStart w:id="943" w:name="_Toc6289"/>
      <w:bookmarkStart w:id="944" w:name="_Toc14098"/>
      <w:bookmarkStart w:id="945" w:name="_Toc86954725"/>
      <w:bookmarkStart w:id="946" w:name="_Toc10057"/>
      <w:bookmarkStart w:id="947" w:name="_Toc921491826"/>
      <w:bookmarkStart w:id="948" w:name="_Toc368"/>
      <w:bookmarkStart w:id="949" w:name="_Toc18958"/>
      <w:bookmarkStart w:id="950" w:name="_Toc1098351927"/>
      <w:bookmarkStart w:id="951" w:name="_Toc229415352"/>
      <w:bookmarkStart w:id="952" w:name="_Toc8667"/>
      <w:r>
        <w:rPr>
          <w:rFonts w:ascii="Times New Roman" w:hAnsi="Times New Roman" w:eastAsia="黑体" w:cs="Times New Roman"/>
          <w:color w:val="000000"/>
          <w:kern w:val="0"/>
          <w:sz w:val="32"/>
          <w:szCs w:val="30"/>
          <w:lang w:val="zh-CN"/>
        </w:rPr>
        <w:t>三、提升网络安全态势感知能力</w:t>
      </w:r>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p>
    <w:p>
      <w:pPr>
        <w:spacing w:line="580" w:lineRule="exact"/>
        <w:ind w:firstLine="640" w:firstLineChars="200"/>
        <w:rPr>
          <w:rFonts w:ascii="Times New Roman" w:hAnsi="Times New Roman" w:eastAsia="仿宋_GB2312" w:cs="Times New Roman"/>
          <w:color w:val="000000"/>
          <w:sz w:val="32"/>
          <w:szCs w:val="28"/>
        </w:rPr>
      </w:pPr>
      <w:r>
        <w:rPr>
          <w:rFonts w:ascii="Times New Roman" w:hAnsi="Times New Roman" w:eastAsia="仿宋_GB2312" w:cs="Times New Roman"/>
          <w:color w:val="000000"/>
          <w:sz w:val="32"/>
          <w:szCs w:val="28"/>
        </w:rPr>
        <w:t>加快建设覆盖全市的网络安全监测预警平台，提高网络信息重大风险识别能力，建立健全网络信息安全事件的预警、研判和应急处置机制。增强网络安全态势分析与预测能力，对硬件设施、服务应用等进行全面感知。建设集风险报告、情报共享、研判处置为一体的市级网络安全管理中心，加快建设情报信息多级协同处置系统、网络信息风险预警感知系统、网络综合治理联动巡查系统等，准确掌握网络安全风险发生的规律、动向、趋势，及时发现和修补技术漏洞等安全隐患。建立网络安全信息共享机制，依托互联网、大数据等技术，实现网络安全信息数据动态采集和有效存储，探索构建省市、县联动的网络安全信息共享机制。</w:t>
      </w:r>
    </w:p>
    <w:p>
      <w:pPr>
        <w:keepNext/>
        <w:keepLines/>
        <w:pageBreakBefore/>
        <w:spacing w:before="340" w:after="240" w:line="596" w:lineRule="exact"/>
        <w:jc w:val="center"/>
        <w:outlineLvl w:val="0"/>
        <w:rPr>
          <w:rFonts w:ascii="Times New Roman" w:hAnsi="Times New Roman" w:eastAsia="方正小标宋简体" w:cs="Times New Roman"/>
          <w:color w:val="000000"/>
          <w:kern w:val="44"/>
          <w:sz w:val="36"/>
          <w:szCs w:val="36"/>
        </w:rPr>
      </w:pPr>
      <w:bookmarkStart w:id="953" w:name="_Toc1129"/>
      <w:bookmarkStart w:id="954" w:name="_Toc13650"/>
      <w:bookmarkStart w:id="955" w:name="_Toc11356"/>
      <w:bookmarkStart w:id="956" w:name="_Toc29231"/>
      <w:bookmarkStart w:id="957" w:name="_Toc17801"/>
      <w:bookmarkStart w:id="958" w:name="_Toc81425806"/>
      <w:bookmarkStart w:id="959" w:name="_Toc94308426"/>
      <w:bookmarkStart w:id="960" w:name="_Toc843419056"/>
      <w:bookmarkStart w:id="961" w:name="_Toc1596"/>
      <w:bookmarkStart w:id="962" w:name="_Toc1821394901"/>
      <w:bookmarkStart w:id="963" w:name="_Toc23432"/>
      <w:bookmarkStart w:id="964" w:name="_Toc860"/>
      <w:bookmarkStart w:id="965" w:name="_Toc5279"/>
      <w:bookmarkStart w:id="966" w:name="_Toc25287"/>
      <w:bookmarkStart w:id="967" w:name="_Toc1085405226"/>
      <w:bookmarkStart w:id="968" w:name="_Toc159845490"/>
      <w:bookmarkStart w:id="969" w:name="_Toc6964"/>
      <w:bookmarkStart w:id="970" w:name="_Toc8743"/>
      <w:bookmarkStart w:id="971" w:name="_Toc86954726"/>
      <w:r>
        <w:rPr>
          <w:rFonts w:ascii="Times New Roman" w:hAnsi="Times New Roman" w:eastAsia="方正小标宋简体" w:cs="Times New Roman"/>
          <w:color w:val="000000"/>
          <w:kern w:val="44"/>
          <w:sz w:val="36"/>
          <w:szCs w:val="36"/>
        </w:rPr>
        <w:t>第八章 保障措施</w:t>
      </w:r>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p>
    <w:p>
      <w:pPr>
        <w:keepNext/>
        <w:keepLines/>
        <w:spacing w:before="260" w:after="260" w:line="596" w:lineRule="exact"/>
        <w:jc w:val="center"/>
        <w:outlineLvl w:val="1"/>
        <w:rPr>
          <w:rFonts w:ascii="Times New Roman" w:hAnsi="Times New Roman" w:eastAsia="方正黑体简体" w:cs="Times New Roman"/>
          <w:bCs/>
          <w:color w:val="000000"/>
          <w:sz w:val="32"/>
          <w:szCs w:val="32"/>
        </w:rPr>
      </w:pPr>
      <w:bookmarkStart w:id="972" w:name="_Toc7485"/>
      <w:bookmarkStart w:id="973" w:name="_Toc1152"/>
      <w:bookmarkStart w:id="974" w:name="_Toc14275"/>
      <w:bookmarkStart w:id="975" w:name="_Toc94308427"/>
      <w:bookmarkStart w:id="976" w:name="_Toc1770"/>
      <w:bookmarkStart w:id="977" w:name="_Toc18289"/>
      <w:bookmarkStart w:id="978" w:name="_Toc32685"/>
      <w:bookmarkStart w:id="979" w:name="_Toc10992"/>
      <w:bookmarkStart w:id="980" w:name="_Toc172180412"/>
      <w:bookmarkStart w:id="981" w:name="_Toc17054"/>
      <w:bookmarkStart w:id="982" w:name="_Toc22673"/>
      <w:bookmarkStart w:id="983" w:name="_Toc14544"/>
      <w:bookmarkStart w:id="984" w:name="_Toc73548502"/>
      <w:bookmarkStart w:id="985" w:name="_Toc1835966691"/>
      <w:bookmarkStart w:id="986" w:name="_Toc8577"/>
      <w:bookmarkStart w:id="987" w:name="_Toc26675"/>
      <w:bookmarkStart w:id="988" w:name="_Toc281717624"/>
      <w:bookmarkStart w:id="989" w:name="_Toc81425807"/>
      <w:bookmarkStart w:id="990" w:name="_Toc930472715"/>
      <w:bookmarkStart w:id="991" w:name="_Toc86954727"/>
      <w:r>
        <w:rPr>
          <w:rFonts w:ascii="Times New Roman" w:hAnsi="Times New Roman" w:eastAsia="方正黑体简体" w:cs="Times New Roman"/>
          <w:bCs/>
          <w:color w:val="000000"/>
          <w:sz w:val="32"/>
          <w:szCs w:val="32"/>
        </w:rPr>
        <w:t>第一节 加强组织领导，健全统筹协调机制</w:t>
      </w:r>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p>
    <w:p>
      <w:pPr>
        <w:spacing w:line="580" w:lineRule="exact"/>
        <w:ind w:firstLine="640" w:firstLineChars="200"/>
        <w:rPr>
          <w:rFonts w:ascii="Times New Roman" w:hAnsi="Times New Roman" w:eastAsia="仿宋_GB2312" w:cs="Times New Roman"/>
          <w:color w:val="000000"/>
          <w:sz w:val="32"/>
          <w:szCs w:val="28"/>
        </w:rPr>
      </w:pPr>
      <w:r>
        <w:rPr>
          <w:rFonts w:ascii="Times New Roman" w:hAnsi="Times New Roman" w:eastAsia="仿宋_GB2312" w:cs="Times New Roman"/>
          <w:color w:val="000000"/>
          <w:sz w:val="32"/>
          <w:szCs w:val="28"/>
        </w:rPr>
        <w:t>在市委、市政府的统一领导下，建立健全适应新时代、新发展、新方位的信息化体制机制。加强市数字泉州建设领导小组统一领导，全面统筹推进数字泉州建设。信息化建设项目由数字泉州建设领导小组统一规划、统筹管理、统一审批、整合共享，相关部门分工负责，形成信息化建设统筹协调、相互配合、相互支持、合力推进的新局面。各级各部门要加强领导，将信息化建设列入重要议事日程和考核内容，确定分管领导和责任人员，明确目标任务，精心组织实施，确保认识到位、责任到位、措施到位、投入到位。形成县（市、区）信息化统一规划、统一标准、统一运维和数据、资金、人员、技术集中管理的新局面。市数字办要发挥统筹作用，协调各地各部门建立纵向衔接、横向协同、共建共享机制；指导各地各部门落实数字泉州各项建设任务和政策措施，并组织对任务落实情况进行督导检查。充分发挥数字泉州专家委员会等智库作用，完善决策咨询制度，强化规划编制、政策研究、项目评估等智力支持。</w:t>
      </w:r>
    </w:p>
    <w:p>
      <w:pPr>
        <w:keepNext/>
        <w:keepLines/>
        <w:spacing w:before="260" w:after="260" w:line="596" w:lineRule="exact"/>
        <w:jc w:val="center"/>
        <w:outlineLvl w:val="1"/>
        <w:rPr>
          <w:rFonts w:ascii="Times New Roman" w:hAnsi="Times New Roman" w:eastAsia="方正黑体简体" w:cs="Times New Roman"/>
          <w:bCs/>
          <w:color w:val="000000"/>
          <w:sz w:val="32"/>
          <w:szCs w:val="32"/>
        </w:rPr>
      </w:pPr>
      <w:bookmarkStart w:id="992" w:name="_Toc3081"/>
      <w:bookmarkStart w:id="993" w:name="_Toc10663"/>
      <w:bookmarkStart w:id="994" w:name="_Toc16088"/>
      <w:bookmarkStart w:id="995" w:name="_Toc94308428"/>
      <w:bookmarkStart w:id="996" w:name="_Toc86954728"/>
      <w:bookmarkStart w:id="997" w:name="_Toc15086"/>
      <w:bookmarkStart w:id="998" w:name="_Toc73548503"/>
      <w:bookmarkStart w:id="999" w:name="_Toc13445"/>
      <w:bookmarkStart w:id="1000" w:name="_Toc7161"/>
      <w:bookmarkStart w:id="1001" w:name="_Toc866738262"/>
      <w:bookmarkStart w:id="1002" w:name="_Toc54798284"/>
      <w:bookmarkStart w:id="1003" w:name="_Toc7214"/>
      <w:bookmarkStart w:id="1004" w:name="_Toc6713"/>
      <w:bookmarkStart w:id="1005" w:name="_Toc8239"/>
      <w:bookmarkStart w:id="1006" w:name="_Toc1903021935"/>
      <w:bookmarkStart w:id="1007" w:name="_Toc7636"/>
      <w:bookmarkStart w:id="1008" w:name="_Toc81425808"/>
      <w:bookmarkStart w:id="1009" w:name="_Toc14795"/>
      <w:bookmarkStart w:id="1010" w:name="_Toc478788043"/>
      <w:bookmarkStart w:id="1011" w:name="_Toc185629920"/>
      <w:bookmarkStart w:id="1012" w:name="_Toc16960"/>
      <w:r>
        <w:rPr>
          <w:rFonts w:ascii="Times New Roman" w:hAnsi="Times New Roman" w:eastAsia="方正黑体简体" w:cs="Times New Roman"/>
          <w:bCs/>
          <w:color w:val="000000"/>
          <w:sz w:val="32"/>
          <w:szCs w:val="32"/>
        </w:rPr>
        <w:t>第二节 注重培养培训，加强人才队伍建设</w:t>
      </w:r>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p>
    <w:p>
      <w:pPr>
        <w:spacing w:line="580" w:lineRule="exact"/>
        <w:ind w:firstLine="640" w:firstLineChars="200"/>
        <w:rPr>
          <w:rFonts w:ascii="Times New Roman" w:hAnsi="Times New Roman" w:eastAsia="仿宋_GB2312" w:cs="Times New Roman"/>
          <w:color w:val="000000"/>
          <w:sz w:val="32"/>
          <w:szCs w:val="28"/>
        </w:rPr>
      </w:pPr>
      <w:r>
        <w:rPr>
          <w:rFonts w:ascii="Times New Roman" w:hAnsi="Times New Roman" w:eastAsia="仿宋_GB2312" w:cs="Times New Roman"/>
          <w:color w:val="000000"/>
          <w:sz w:val="32"/>
          <w:szCs w:val="28"/>
        </w:rPr>
        <w:t>深化人才发展体制机制改革，全面落实人才“港湾计划”，拓宽引进海内外信息化领域人才的“绿色通道”。加快推进泉州数字研究院建设，重点培养数字经济等数字技术人才；提高各级领导干部数字经济思维能力和专业素质，提高全民全社会数字素养和技能，夯实我市数字经济发展社会基础。整合高校、科研院所等人才资源，组建数字化专家咨询团队，提升数字经济核心竞争力。引进、培养、集聚一批数字经济顶尖人才，数字战略管理人才，物联网、集成电路、大数据、人工智能、区块链等数字研发设计人才，数字营销和运营人才。将数字经济人才列入泉州紧缺急需人才引进指导目录，创新人才建设与引进机制，构建人才柔性流动机制，打造人才聚集新高地。</w:t>
      </w:r>
    </w:p>
    <w:p>
      <w:pPr>
        <w:keepNext/>
        <w:keepLines/>
        <w:spacing w:before="260" w:after="260" w:line="596" w:lineRule="exact"/>
        <w:jc w:val="center"/>
        <w:outlineLvl w:val="1"/>
        <w:rPr>
          <w:rFonts w:ascii="Times New Roman" w:hAnsi="Times New Roman" w:eastAsia="方正黑体简体" w:cs="Times New Roman"/>
          <w:bCs/>
          <w:color w:val="000000"/>
          <w:sz w:val="32"/>
          <w:szCs w:val="32"/>
        </w:rPr>
      </w:pPr>
      <w:bookmarkStart w:id="1013" w:name="_Toc81425809"/>
      <w:bookmarkStart w:id="1014" w:name="_Toc54798285"/>
      <w:bookmarkStart w:id="1015" w:name="_Toc121888741"/>
      <w:bookmarkStart w:id="1016" w:name="_Toc29962"/>
      <w:bookmarkStart w:id="1017" w:name="_Toc985"/>
      <w:bookmarkStart w:id="1018" w:name="_Toc73548504"/>
      <w:bookmarkStart w:id="1019" w:name="_Toc16006"/>
      <w:bookmarkStart w:id="1020" w:name="_Toc20435"/>
      <w:bookmarkStart w:id="1021" w:name="_Toc1672726213"/>
      <w:bookmarkStart w:id="1022" w:name="_Toc94308429"/>
      <w:bookmarkStart w:id="1023" w:name="_Toc23879"/>
      <w:bookmarkStart w:id="1024" w:name="_Toc12771"/>
      <w:bookmarkStart w:id="1025" w:name="_Toc2359"/>
      <w:bookmarkStart w:id="1026" w:name="_Toc26916"/>
      <w:bookmarkStart w:id="1027" w:name="_Toc1997"/>
      <w:bookmarkStart w:id="1028" w:name="_Toc1183154987"/>
      <w:bookmarkStart w:id="1029" w:name="_Toc25809"/>
      <w:bookmarkStart w:id="1030" w:name="_Toc838739123"/>
      <w:bookmarkStart w:id="1031" w:name="_Toc86954729"/>
      <w:bookmarkStart w:id="1032" w:name="_Toc272"/>
      <w:bookmarkStart w:id="1033" w:name="_Toc12949"/>
      <w:r>
        <w:rPr>
          <w:rFonts w:ascii="Times New Roman" w:hAnsi="Times New Roman" w:eastAsia="方正黑体简体" w:cs="Times New Roman"/>
          <w:bCs/>
          <w:color w:val="000000"/>
          <w:sz w:val="32"/>
          <w:szCs w:val="32"/>
        </w:rPr>
        <w:t>第三节 强化监督管理，建立考核评估制度</w:t>
      </w:r>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p>
    <w:p>
      <w:pPr>
        <w:spacing w:line="580" w:lineRule="exact"/>
        <w:ind w:firstLine="640" w:firstLineChars="200"/>
        <w:rPr>
          <w:rFonts w:ascii="Times New Roman" w:hAnsi="Times New Roman" w:eastAsia="仿宋_GB2312" w:cs="Times New Roman"/>
          <w:color w:val="000000"/>
          <w:sz w:val="32"/>
          <w:szCs w:val="28"/>
        </w:rPr>
      </w:pPr>
      <w:r>
        <w:rPr>
          <w:rFonts w:ascii="Times New Roman" w:hAnsi="Times New Roman" w:eastAsia="仿宋_GB2312" w:cs="Times New Roman"/>
          <w:color w:val="000000"/>
          <w:sz w:val="32"/>
          <w:szCs w:val="28"/>
        </w:rPr>
        <w:t>建立健全考核机制，将各级各部门数字泉州建设相关工作推进情况纳入市政府目标管理绩效考核范畴，以应用效果和人民满意度为评价主线，坚持客观、公正、科学、规范原则，对数字泉州建设、应用、运维、管理等方面进行综合、全面考察与评价，并建立有效激励机制。强化监督管理，推行“智慧监督”，将纪检监察监督、效能检查监督、审批服务监督、行业部门监督、社会公众监督与“大数据”监督深度融合，明确任务分工，对市、县两级有关部门的落实情况进行跟踪分析和督促检查，为进一步深化“互联网+政务服务”和“放管服”改革提供有力支撑和保障。</w:t>
      </w:r>
    </w:p>
    <w:p>
      <w:pPr>
        <w:keepNext/>
        <w:keepLines/>
        <w:spacing w:before="260" w:after="260" w:line="596" w:lineRule="exact"/>
        <w:jc w:val="center"/>
        <w:outlineLvl w:val="1"/>
        <w:rPr>
          <w:rFonts w:ascii="Times New Roman" w:hAnsi="Times New Roman" w:eastAsia="方正黑体简体" w:cs="Times New Roman"/>
          <w:bCs/>
          <w:color w:val="000000"/>
          <w:sz w:val="32"/>
          <w:szCs w:val="32"/>
        </w:rPr>
      </w:pPr>
      <w:bookmarkStart w:id="1034" w:name="_Toc25573"/>
      <w:bookmarkStart w:id="1035" w:name="_Toc94308430"/>
      <w:bookmarkStart w:id="1036" w:name="_Toc1639"/>
      <w:bookmarkStart w:id="1037" w:name="_Toc28968"/>
      <w:bookmarkStart w:id="1038" w:name="_Toc86954730"/>
      <w:bookmarkStart w:id="1039" w:name="_Toc1619838571"/>
      <w:bookmarkStart w:id="1040" w:name="_Toc30802745"/>
      <w:bookmarkStart w:id="1041" w:name="_Toc17849"/>
      <w:bookmarkStart w:id="1042" w:name="_Toc22907"/>
      <w:bookmarkStart w:id="1043" w:name="_Toc28916"/>
      <w:bookmarkStart w:id="1044" w:name="_Toc54798286"/>
      <w:bookmarkStart w:id="1045" w:name="_Toc12430"/>
      <w:bookmarkStart w:id="1046" w:name="_Toc1298121749"/>
      <w:bookmarkStart w:id="1047" w:name="_Toc11687"/>
      <w:bookmarkStart w:id="1048" w:name="_Toc8363"/>
      <w:bookmarkStart w:id="1049" w:name="_Toc81425810"/>
      <w:bookmarkStart w:id="1050" w:name="_Toc755"/>
      <w:bookmarkStart w:id="1051" w:name="_Toc30636"/>
      <w:bookmarkStart w:id="1052" w:name="_Toc166839862"/>
      <w:bookmarkStart w:id="1053" w:name="_Toc73548505"/>
      <w:bookmarkStart w:id="1054" w:name="_Toc27832"/>
      <w:r>
        <w:rPr>
          <w:rFonts w:ascii="Times New Roman" w:hAnsi="Times New Roman" w:eastAsia="方正黑体简体" w:cs="Times New Roman"/>
          <w:bCs/>
          <w:color w:val="000000"/>
          <w:sz w:val="32"/>
          <w:szCs w:val="32"/>
        </w:rPr>
        <w:t>第四节 拓宽投入渠道，统筹资金使用管理</w:t>
      </w:r>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p>
    <w:p>
      <w:pPr>
        <w:spacing w:line="580" w:lineRule="exact"/>
        <w:ind w:firstLine="640" w:firstLineChars="200"/>
        <w:rPr>
          <w:rFonts w:ascii="Times New Roman" w:hAnsi="Times New Roman" w:eastAsia="仿宋_GB2312" w:cs="Times New Roman"/>
          <w:color w:val="000000"/>
          <w:sz w:val="32"/>
          <w:szCs w:val="28"/>
        </w:rPr>
      </w:pPr>
      <w:r>
        <w:rPr>
          <w:rFonts w:ascii="Times New Roman" w:hAnsi="Times New Roman" w:eastAsia="仿宋_GB2312" w:cs="Times New Roman"/>
          <w:color w:val="000000"/>
          <w:sz w:val="32"/>
          <w:szCs w:val="28"/>
        </w:rPr>
        <w:t>加强财政资金支持，统筹整合全市信息化建设、电子政务等财政资金，建立健全信息化资金使用管理制度，集中支持新基建、数字政府、数字经济等领域重点项目建设。积极争取国家和福建省战略性新兴产业、网络安全、信息化设施建设等方面的专项资金支持，引导相关资金向数字泉州建设倾斜。拓宽多渠道资金投入，逐步建立以政府资金为引导、社会资金为主体、其他投入为补充的多元化投资机制。发挥政府产业引导基金作用，深化与大型央企、龙头企业和头部基金管理机构等合作，鼓励和撬动社会资本参与数字产业项目引进、公共数据服务平台建设、数字信息专业人才引育等领域投资，同时发挥市、县两级政府性融资担保公司增信分险作用，建立健全政银企风险共担机制，鼓励和引导金融机构加大对数字产业项目的信贷支持，助力数字泉州建设。推进信息资产作为生产要素投资入股，质押融资。鼓励金融机构开发信息科技融资担保、知识产权质押融资、信用保险保单融资增信等产品和服务，引导社会资本参与泉州优势产业数字化投资建设。</w:t>
      </w:r>
    </w:p>
    <w:p>
      <w:pPr>
        <w:keepNext/>
        <w:keepLines/>
        <w:spacing w:before="260" w:after="260" w:line="596" w:lineRule="exact"/>
        <w:jc w:val="center"/>
        <w:outlineLvl w:val="1"/>
        <w:rPr>
          <w:rFonts w:ascii="Times New Roman" w:hAnsi="Times New Roman" w:eastAsia="方正黑体简体" w:cs="Times New Roman"/>
          <w:bCs/>
          <w:color w:val="000000"/>
          <w:sz w:val="32"/>
          <w:szCs w:val="32"/>
        </w:rPr>
      </w:pPr>
      <w:bookmarkStart w:id="1055" w:name="_Toc13179"/>
      <w:bookmarkStart w:id="1056" w:name="_Toc1187271360"/>
      <w:bookmarkStart w:id="1057" w:name="_Toc12861"/>
      <w:bookmarkStart w:id="1058" w:name="_Toc86954731"/>
      <w:bookmarkStart w:id="1059" w:name="_Toc12542"/>
      <w:bookmarkStart w:id="1060" w:name="_Toc21730"/>
      <w:bookmarkStart w:id="1061" w:name="_Toc866167354"/>
      <w:bookmarkStart w:id="1062" w:name="_Toc73548506"/>
      <w:bookmarkStart w:id="1063" w:name="_Toc30413"/>
      <w:bookmarkStart w:id="1064" w:name="_Toc12283"/>
      <w:bookmarkStart w:id="1065" w:name="_Toc170316265"/>
      <w:bookmarkStart w:id="1066" w:name="_Toc767187931"/>
      <w:bookmarkStart w:id="1067" w:name="_Toc81425811"/>
      <w:bookmarkStart w:id="1068" w:name="_Toc2771"/>
      <w:bookmarkStart w:id="1069" w:name="_Toc7246"/>
      <w:bookmarkStart w:id="1070" w:name="_Toc27092"/>
      <w:bookmarkStart w:id="1071" w:name="_Toc5151"/>
      <w:bookmarkStart w:id="1072" w:name="_Toc16357"/>
      <w:bookmarkStart w:id="1073" w:name="_Toc1313"/>
      <w:bookmarkStart w:id="1074" w:name="_Toc94308431"/>
      <w:r>
        <w:rPr>
          <w:rFonts w:ascii="Times New Roman" w:hAnsi="Times New Roman" w:eastAsia="方正黑体简体" w:cs="Times New Roman"/>
          <w:bCs/>
          <w:color w:val="000000"/>
          <w:sz w:val="32"/>
          <w:szCs w:val="32"/>
        </w:rPr>
        <w:t>第五节 构建标准体系，开展运营团队建设</w:t>
      </w:r>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p>
    <w:p>
      <w:pPr>
        <w:spacing w:line="580" w:lineRule="exact"/>
        <w:ind w:firstLine="640" w:firstLineChars="200"/>
        <w:rPr>
          <w:rFonts w:ascii="Times New Roman" w:hAnsi="Times New Roman" w:eastAsia="仿宋_GB2312" w:cs="Times New Roman"/>
          <w:color w:val="000000"/>
          <w:sz w:val="32"/>
          <w:szCs w:val="28"/>
        </w:rPr>
      </w:pPr>
      <w:r>
        <w:rPr>
          <w:rFonts w:ascii="Times New Roman" w:hAnsi="Times New Roman" w:eastAsia="仿宋_GB2312" w:cs="Times New Roman"/>
          <w:color w:val="000000"/>
          <w:sz w:val="32"/>
          <w:szCs w:val="28"/>
        </w:rPr>
        <w:t>加快构建数字泉州标准体系，重点推进数据、平台、安全、应用等领域标准建设。加强对已发布的标准规范及时进行宣传、解读，并定期开展标准实施情况监督和实施效果评估，推动标准规范全面贯彻落实。充分发挥国有信息技术企业在全市信息化建设中的作用，做大做强市属国有大数据企业，建立市级政务数据一级开发团队和数字研究院，促进形成政府、高校、企业协作共赢的产学研深度融合的政务数据开发利用新模式，推动数据成为关键要素，支撑实体经济高质量发展。</w:t>
      </w:r>
    </w:p>
    <w:bookmarkEnd w:id="2"/>
    <w:p>
      <w:pPr>
        <w:spacing w:line="580" w:lineRule="exact"/>
        <w:ind w:left="1918" w:leftChars="304" w:hanging="1280" w:hangingChars="400"/>
        <w:rPr>
          <w:rFonts w:ascii="Times New Roman" w:hAnsi="Times New Roman" w:eastAsia="仿宋_GB2312" w:cs="Times New Roman"/>
          <w:bCs/>
          <w:color w:val="000000"/>
          <w:sz w:val="32"/>
          <w:szCs w:val="28"/>
        </w:rPr>
      </w:pPr>
    </w:p>
    <w:p>
      <w:pPr>
        <w:spacing w:line="580" w:lineRule="exact"/>
        <w:ind w:left="1918" w:leftChars="304" w:hanging="1280" w:hangingChars="400"/>
        <w:rPr>
          <w:rFonts w:ascii="Times New Roman" w:hAnsi="Times New Roman" w:eastAsia="仿宋_GB2312" w:cs="Times New Roman"/>
          <w:bCs/>
          <w:color w:val="000000"/>
          <w:sz w:val="32"/>
          <w:szCs w:val="28"/>
        </w:rPr>
      </w:pPr>
      <w:r>
        <w:rPr>
          <w:rFonts w:ascii="Times New Roman" w:hAnsi="Times New Roman" w:eastAsia="仿宋_GB2312" w:cs="Times New Roman"/>
          <w:bCs/>
          <w:color w:val="000000"/>
          <w:sz w:val="32"/>
          <w:szCs w:val="28"/>
        </w:rPr>
        <w:t>附件：“十四五”数字泉州建设重点项目表</w:t>
      </w:r>
    </w:p>
    <w:p>
      <w:pPr>
        <w:spacing w:line="580" w:lineRule="exact"/>
        <w:ind w:left="1918" w:leftChars="304" w:hanging="1280" w:hangingChars="400"/>
        <w:rPr>
          <w:rFonts w:ascii="Times New Roman" w:hAnsi="Times New Roman" w:eastAsia="仿宋_GB2312" w:cs="Times New Roman"/>
          <w:bCs/>
          <w:color w:val="000000"/>
          <w:sz w:val="32"/>
          <w:szCs w:val="28"/>
        </w:rPr>
      </w:pPr>
    </w:p>
    <w:p>
      <w:pPr>
        <w:pageBreakBefore/>
        <w:spacing w:line="580" w:lineRule="exact"/>
        <w:ind w:left="1918" w:leftChars="304" w:hanging="1280" w:hangingChars="400"/>
        <w:rPr>
          <w:rFonts w:ascii="Times New Roman" w:hAnsi="Times New Roman" w:eastAsia="仿宋_GB2312" w:cs="Times New Roman"/>
          <w:bCs/>
          <w:color w:val="000000"/>
          <w:sz w:val="32"/>
          <w:szCs w:val="28"/>
        </w:rPr>
        <w:sectPr>
          <w:headerReference r:id="rId11" w:type="default"/>
          <w:footerReference r:id="rId12" w:type="even"/>
          <w:pgSz w:w="11906" w:h="16838"/>
          <w:pgMar w:top="1418" w:right="1474" w:bottom="1418" w:left="1588" w:header="851" w:footer="992" w:gutter="0"/>
          <w:cols w:space="720" w:num="1"/>
          <w:docGrid w:type="linesAndChars" w:linePitch="312" w:charSpace="0"/>
        </w:sectPr>
      </w:pPr>
    </w:p>
    <w:p>
      <w:pPr>
        <w:keepNext/>
        <w:keepLines/>
        <w:spacing w:line="576" w:lineRule="auto"/>
        <w:jc w:val="left"/>
        <w:outlineLvl w:val="0"/>
        <w:rPr>
          <w:rFonts w:ascii="Times New Roman" w:hAnsi="Times New Roman" w:eastAsia="黑体" w:cs="Times New Roman"/>
          <w:color w:val="000000"/>
          <w:kern w:val="44"/>
          <w:sz w:val="32"/>
          <w:szCs w:val="32"/>
        </w:rPr>
      </w:pPr>
      <w:bookmarkStart w:id="1075" w:name="_Toc94308432"/>
      <w:r>
        <w:rPr>
          <w:rFonts w:ascii="Times New Roman" w:hAnsi="Times New Roman" w:eastAsia="黑体" w:cs="Times New Roman"/>
          <w:color w:val="000000"/>
          <w:kern w:val="44"/>
          <w:sz w:val="32"/>
          <w:szCs w:val="32"/>
        </w:rPr>
        <w:t>附件</w:t>
      </w:r>
      <w:bookmarkEnd w:id="1075"/>
    </w:p>
    <w:p>
      <w:pPr>
        <w:keepNext/>
        <w:keepLines/>
        <w:spacing w:line="576" w:lineRule="auto"/>
        <w:jc w:val="center"/>
        <w:outlineLvl w:val="0"/>
        <w:rPr>
          <w:rFonts w:ascii="Times New Roman" w:hAnsi="Times New Roman" w:eastAsia="方正小标宋简体" w:cs="Times New Roman"/>
          <w:color w:val="000000"/>
          <w:kern w:val="44"/>
          <w:sz w:val="36"/>
          <w:szCs w:val="36"/>
        </w:rPr>
      </w:pPr>
      <w:bookmarkStart w:id="1076" w:name="_Toc94308433"/>
      <w:r>
        <w:rPr>
          <w:rFonts w:ascii="Times New Roman" w:hAnsi="Times New Roman" w:eastAsia="方正小标宋简体" w:cs="Times New Roman"/>
          <w:color w:val="000000"/>
          <w:kern w:val="44"/>
          <w:sz w:val="36"/>
          <w:szCs w:val="36"/>
        </w:rPr>
        <w:t>“十四五”数字泉州建设重点项目表</w:t>
      </w:r>
      <w:bookmarkEnd w:id="1076"/>
    </w:p>
    <w:tbl>
      <w:tblPr>
        <w:tblStyle w:val="24"/>
        <w:tblW w:w="14314" w:type="dxa"/>
        <w:tblInd w:w="221" w:type="dxa"/>
        <w:tblLayout w:type="autofit"/>
        <w:tblCellMar>
          <w:top w:w="0" w:type="dxa"/>
          <w:left w:w="108" w:type="dxa"/>
          <w:bottom w:w="0" w:type="dxa"/>
          <w:right w:w="108" w:type="dxa"/>
        </w:tblCellMar>
      </w:tblPr>
      <w:tblGrid>
        <w:gridCol w:w="566"/>
        <w:gridCol w:w="1981"/>
        <w:gridCol w:w="945"/>
        <w:gridCol w:w="6233"/>
        <w:gridCol w:w="1342"/>
        <w:gridCol w:w="1866"/>
        <w:gridCol w:w="1145"/>
        <w:gridCol w:w="236"/>
      </w:tblGrid>
      <w:tr>
        <w:tblPrEx>
          <w:tblCellMar>
            <w:top w:w="0" w:type="dxa"/>
            <w:left w:w="108" w:type="dxa"/>
            <w:bottom w:w="0" w:type="dxa"/>
            <w:right w:w="108" w:type="dxa"/>
          </w:tblCellMar>
        </w:tblPrEx>
        <w:trPr>
          <w:gridAfter w:val="1"/>
          <w:wAfter w:w="236" w:type="dxa"/>
          <w:trHeight w:val="312" w:hRule="atLeast"/>
          <w:tblHeader/>
        </w:trPr>
        <w:tc>
          <w:tcPr>
            <w:tcW w:w="56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
                <w:bCs/>
                <w:color w:val="000000"/>
                <w:kern w:val="0"/>
                <w:sz w:val="24"/>
                <w:szCs w:val="24"/>
              </w:rPr>
            </w:pPr>
            <w:r>
              <w:rPr>
                <w:rFonts w:ascii="Times New Roman" w:hAnsi="Times New Roman" w:eastAsia="仿宋_GB2312" w:cs="Times New Roman"/>
                <w:b/>
                <w:bCs/>
                <w:color w:val="000000"/>
                <w:kern w:val="0"/>
                <w:sz w:val="24"/>
                <w:szCs w:val="24"/>
              </w:rPr>
              <w:t>序</w:t>
            </w:r>
            <w:r>
              <w:rPr>
                <w:rFonts w:ascii="Times New Roman" w:hAnsi="Times New Roman" w:eastAsia="仿宋_GB2312" w:cs="Times New Roman"/>
                <w:b/>
                <w:bCs/>
                <w:color w:val="000000"/>
                <w:kern w:val="0"/>
                <w:sz w:val="24"/>
                <w:szCs w:val="24"/>
              </w:rPr>
              <w:br w:type="textWrapping"/>
            </w:r>
            <w:r>
              <w:rPr>
                <w:rFonts w:ascii="Times New Roman" w:hAnsi="Times New Roman" w:eastAsia="仿宋_GB2312" w:cs="Times New Roman"/>
                <w:b/>
                <w:bCs/>
                <w:color w:val="000000"/>
                <w:kern w:val="0"/>
                <w:sz w:val="24"/>
                <w:szCs w:val="24"/>
              </w:rPr>
              <w:t>号</w:t>
            </w:r>
          </w:p>
        </w:tc>
        <w:tc>
          <w:tcPr>
            <w:tcW w:w="1981"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
                <w:bCs/>
                <w:color w:val="000000"/>
                <w:kern w:val="0"/>
                <w:sz w:val="24"/>
                <w:szCs w:val="24"/>
              </w:rPr>
            </w:pPr>
            <w:r>
              <w:rPr>
                <w:rFonts w:ascii="Times New Roman" w:hAnsi="Times New Roman" w:eastAsia="仿宋_GB2312" w:cs="Times New Roman"/>
                <w:b/>
                <w:bCs/>
                <w:color w:val="000000"/>
                <w:kern w:val="0"/>
                <w:sz w:val="24"/>
                <w:szCs w:val="24"/>
              </w:rPr>
              <w:t>项目名称</w:t>
            </w:r>
          </w:p>
        </w:tc>
        <w:tc>
          <w:tcPr>
            <w:tcW w:w="94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
                <w:bCs/>
                <w:color w:val="000000"/>
                <w:kern w:val="0"/>
                <w:sz w:val="24"/>
                <w:szCs w:val="24"/>
              </w:rPr>
            </w:pPr>
            <w:r>
              <w:rPr>
                <w:rFonts w:ascii="Times New Roman" w:hAnsi="Times New Roman" w:eastAsia="仿宋_GB2312" w:cs="Times New Roman"/>
                <w:b/>
                <w:bCs/>
                <w:color w:val="000000"/>
                <w:kern w:val="0"/>
                <w:sz w:val="24"/>
                <w:szCs w:val="24"/>
              </w:rPr>
              <w:t>建设</w:t>
            </w:r>
            <w:r>
              <w:rPr>
                <w:rFonts w:ascii="Times New Roman" w:hAnsi="Times New Roman" w:eastAsia="仿宋_GB2312" w:cs="Times New Roman"/>
                <w:b/>
                <w:bCs/>
                <w:color w:val="000000"/>
                <w:kern w:val="0"/>
                <w:sz w:val="24"/>
                <w:szCs w:val="24"/>
              </w:rPr>
              <w:br w:type="textWrapping"/>
            </w:r>
            <w:r>
              <w:rPr>
                <w:rFonts w:ascii="Times New Roman" w:hAnsi="Times New Roman" w:eastAsia="仿宋_GB2312" w:cs="Times New Roman"/>
                <w:b/>
                <w:bCs/>
                <w:color w:val="000000"/>
                <w:kern w:val="0"/>
                <w:sz w:val="24"/>
                <w:szCs w:val="24"/>
              </w:rPr>
              <w:t>地点</w:t>
            </w:r>
          </w:p>
        </w:tc>
        <w:tc>
          <w:tcPr>
            <w:tcW w:w="623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
                <w:bCs/>
                <w:color w:val="000000"/>
                <w:kern w:val="0"/>
                <w:sz w:val="24"/>
                <w:szCs w:val="24"/>
              </w:rPr>
            </w:pPr>
            <w:r>
              <w:rPr>
                <w:rFonts w:ascii="Times New Roman" w:hAnsi="Times New Roman" w:eastAsia="仿宋_GB2312" w:cs="Times New Roman"/>
                <w:b/>
                <w:bCs/>
                <w:color w:val="000000"/>
                <w:kern w:val="0"/>
                <w:sz w:val="24"/>
                <w:szCs w:val="24"/>
              </w:rPr>
              <w:t>主要建设内容</w:t>
            </w:r>
          </w:p>
        </w:tc>
        <w:tc>
          <w:tcPr>
            <w:tcW w:w="134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
                <w:bCs/>
                <w:color w:val="000000"/>
                <w:kern w:val="0"/>
                <w:sz w:val="24"/>
                <w:szCs w:val="24"/>
              </w:rPr>
            </w:pPr>
            <w:r>
              <w:rPr>
                <w:rFonts w:ascii="Times New Roman" w:hAnsi="Times New Roman" w:eastAsia="仿宋_GB2312" w:cs="Times New Roman"/>
                <w:b/>
                <w:bCs/>
                <w:color w:val="000000"/>
                <w:kern w:val="0"/>
                <w:sz w:val="24"/>
                <w:szCs w:val="24"/>
              </w:rPr>
              <w:t>总投资</w:t>
            </w:r>
            <w:r>
              <w:rPr>
                <w:rFonts w:ascii="Times New Roman" w:hAnsi="Times New Roman" w:eastAsia="仿宋_GB2312" w:cs="Times New Roman"/>
                <w:b/>
                <w:bCs/>
                <w:color w:val="000000"/>
                <w:kern w:val="0"/>
                <w:sz w:val="24"/>
                <w:szCs w:val="24"/>
              </w:rPr>
              <w:br w:type="textWrapping"/>
            </w:r>
            <w:r>
              <w:rPr>
                <w:rFonts w:ascii="Times New Roman" w:hAnsi="Times New Roman" w:eastAsia="仿宋_GB2312" w:cs="Times New Roman"/>
                <w:b/>
                <w:bCs/>
                <w:color w:val="000000"/>
                <w:kern w:val="0"/>
                <w:sz w:val="20"/>
                <w:szCs w:val="20"/>
              </w:rPr>
              <w:t>（亿元）</w:t>
            </w:r>
          </w:p>
        </w:tc>
        <w:tc>
          <w:tcPr>
            <w:tcW w:w="186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
                <w:bCs/>
                <w:color w:val="000000"/>
                <w:kern w:val="0"/>
                <w:sz w:val="24"/>
                <w:szCs w:val="24"/>
              </w:rPr>
            </w:pPr>
            <w:r>
              <w:rPr>
                <w:rFonts w:ascii="Times New Roman" w:hAnsi="Times New Roman" w:eastAsia="仿宋_GB2312" w:cs="Times New Roman"/>
                <w:b/>
                <w:bCs/>
                <w:color w:val="000000"/>
                <w:kern w:val="0"/>
                <w:sz w:val="24"/>
                <w:szCs w:val="24"/>
              </w:rPr>
              <w:t>项目建设</w:t>
            </w:r>
            <w:r>
              <w:rPr>
                <w:rFonts w:ascii="Times New Roman" w:hAnsi="Times New Roman" w:eastAsia="仿宋_GB2312" w:cs="Times New Roman"/>
                <w:b/>
                <w:bCs/>
                <w:color w:val="000000"/>
                <w:kern w:val="0"/>
                <w:sz w:val="24"/>
                <w:szCs w:val="24"/>
              </w:rPr>
              <w:br w:type="textWrapping"/>
            </w:r>
            <w:r>
              <w:rPr>
                <w:rFonts w:ascii="Times New Roman" w:hAnsi="Times New Roman" w:eastAsia="仿宋_GB2312" w:cs="Times New Roman"/>
                <w:b/>
                <w:bCs/>
                <w:color w:val="000000"/>
                <w:kern w:val="0"/>
                <w:sz w:val="24"/>
                <w:szCs w:val="24"/>
              </w:rPr>
              <w:t>年限</w:t>
            </w:r>
          </w:p>
        </w:tc>
        <w:tc>
          <w:tcPr>
            <w:tcW w:w="1145"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b/>
                <w:bCs/>
                <w:color w:val="000000"/>
                <w:kern w:val="0"/>
                <w:sz w:val="24"/>
                <w:szCs w:val="24"/>
              </w:rPr>
            </w:pPr>
            <w:r>
              <w:rPr>
                <w:rFonts w:ascii="Times New Roman" w:hAnsi="Times New Roman" w:eastAsia="仿宋_GB2312" w:cs="Times New Roman"/>
                <w:b/>
                <w:bCs/>
                <w:color w:val="000000"/>
                <w:kern w:val="0"/>
                <w:sz w:val="24"/>
                <w:szCs w:val="24"/>
              </w:rPr>
              <w:t>牵头负责部门</w:t>
            </w:r>
          </w:p>
        </w:tc>
      </w:tr>
      <w:tr>
        <w:tblPrEx>
          <w:tblCellMar>
            <w:top w:w="0" w:type="dxa"/>
            <w:left w:w="108" w:type="dxa"/>
            <w:bottom w:w="0" w:type="dxa"/>
            <w:right w:w="108" w:type="dxa"/>
          </w:tblCellMar>
        </w:tblPrEx>
        <w:trPr>
          <w:trHeight w:val="288" w:hRule="atLeast"/>
          <w:tblHeader/>
        </w:trPr>
        <w:tc>
          <w:tcPr>
            <w:tcW w:w="5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color w:val="000000"/>
                <w:kern w:val="0"/>
                <w:sz w:val="24"/>
                <w:szCs w:val="24"/>
              </w:rPr>
            </w:pPr>
          </w:p>
        </w:tc>
        <w:tc>
          <w:tcPr>
            <w:tcW w:w="198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color w:val="000000"/>
                <w:kern w:val="0"/>
                <w:sz w:val="24"/>
                <w:szCs w:val="24"/>
              </w:rPr>
            </w:pPr>
          </w:p>
        </w:tc>
        <w:tc>
          <w:tcPr>
            <w:tcW w:w="9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color w:val="000000"/>
                <w:kern w:val="0"/>
                <w:sz w:val="24"/>
                <w:szCs w:val="24"/>
              </w:rPr>
            </w:pPr>
          </w:p>
        </w:tc>
        <w:tc>
          <w:tcPr>
            <w:tcW w:w="623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color w:val="000000"/>
                <w:kern w:val="0"/>
                <w:sz w:val="24"/>
                <w:szCs w:val="24"/>
              </w:rPr>
            </w:pPr>
          </w:p>
        </w:tc>
        <w:tc>
          <w:tcPr>
            <w:tcW w:w="134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color w:val="000000"/>
                <w:kern w:val="0"/>
                <w:sz w:val="24"/>
                <w:szCs w:val="24"/>
              </w:rPr>
            </w:pPr>
          </w:p>
        </w:tc>
        <w:tc>
          <w:tcPr>
            <w:tcW w:w="18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color w:val="000000"/>
                <w:kern w:val="0"/>
                <w:sz w:val="24"/>
                <w:szCs w:val="24"/>
              </w:rPr>
            </w:pPr>
          </w:p>
        </w:tc>
        <w:tc>
          <w:tcPr>
            <w:tcW w:w="114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b/>
                <w:bCs/>
                <w:color w:val="000000"/>
                <w:kern w:val="0"/>
                <w:sz w:val="24"/>
                <w:szCs w:val="24"/>
              </w:rPr>
            </w:pPr>
          </w:p>
        </w:tc>
        <w:tc>
          <w:tcPr>
            <w:tcW w:w="236" w:type="dxa"/>
            <w:tcBorders>
              <w:top w:val="nil"/>
              <w:left w:val="nil"/>
              <w:bottom w:val="nil"/>
              <w:right w:val="nil"/>
            </w:tcBorders>
            <w:noWrap/>
            <w:vAlign w:val="center"/>
          </w:tcPr>
          <w:p>
            <w:pPr>
              <w:widowControl/>
              <w:jc w:val="center"/>
              <w:rPr>
                <w:rFonts w:ascii="Times New Roman" w:hAnsi="Times New Roman" w:eastAsia="仿宋_GB2312" w:cs="Times New Roman"/>
                <w:b/>
                <w:bCs/>
                <w:color w:val="000000"/>
                <w:kern w:val="0"/>
                <w:sz w:val="24"/>
                <w:szCs w:val="24"/>
              </w:rPr>
            </w:pPr>
          </w:p>
        </w:tc>
      </w:tr>
      <w:tr>
        <w:tblPrEx>
          <w:tblCellMar>
            <w:top w:w="0" w:type="dxa"/>
            <w:left w:w="108" w:type="dxa"/>
            <w:bottom w:w="0" w:type="dxa"/>
            <w:right w:w="108" w:type="dxa"/>
          </w:tblCellMar>
        </w:tblPrEx>
        <w:trPr>
          <w:trHeight w:val="1152"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1</w:t>
            </w:r>
          </w:p>
        </w:tc>
        <w:tc>
          <w:tcPr>
            <w:tcW w:w="1981"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2"/>
              </w:rPr>
            </w:pPr>
            <w:r>
              <w:rPr>
                <w:rFonts w:ascii="Times New Roman" w:hAnsi="Times New Roman" w:eastAsia="仿宋_GB2312" w:cs="Times New Roman"/>
                <w:color w:val="000000"/>
                <w:sz w:val="22"/>
              </w:rPr>
              <w:t>边缘计算资源池节点建设</w:t>
            </w:r>
          </w:p>
        </w:tc>
        <w:tc>
          <w:tcPr>
            <w:tcW w:w="945"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sz w:val="22"/>
              </w:rPr>
              <w:t>泉州市</w:t>
            </w:r>
          </w:p>
        </w:tc>
        <w:tc>
          <w:tcPr>
            <w:tcW w:w="6233" w:type="dxa"/>
            <w:tcBorders>
              <w:top w:val="nil"/>
              <w:left w:val="nil"/>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2"/>
              </w:rPr>
            </w:pPr>
            <w:r>
              <w:rPr>
                <w:rFonts w:ascii="Times New Roman" w:hAnsi="Times New Roman" w:eastAsia="仿宋_GB2312" w:cs="Times New Roman"/>
                <w:color w:val="000000"/>
                <w:sz w:val="22"/>
              </w:rPr>
              <w:t>三大运营商计划建设市、县、端三级边缘计算节点，包含共享资源池节点和本地化部署节点，服务工业企业5G应用，提升泉州工业企业制造能力，助力泉州工业制造产业转型，规划建设县城区、重点乡镇、重点园区等重点区域5G+边缘计算分节点。</w:t>
            </w:r>
          </w:p>
        </w:tc>
        <w:tc>
          <w:tcPr>
            <w:tcW w:w="134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rPr>
            </w:pPr>
            <w:r>
              <w:rPr>
                <w:rFonts w:ascii="Times New Roman" w:hAnsi="Times New Roman" w:eastAsia="仿宋_GB2312" w:cs="Times New Roman"/>
                <w:color w:val="000000"/>
                <w:sz w:val="22"/>
              </w:rPr>
              <w:t>3.64</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2021-2025</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市数字办</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864"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2</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泉州先进计算中心</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安溪县</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建设先进计算中心、工业云、信创云和工业互联网标识解析二级节点，参与数据中心新设立的公司混改，建设人力资源产业园。</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5</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2021-2025</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市数字办、安溪县人民政府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864"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3</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数字福建（安溪）产业园（二期）及数据中心扩容项目</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安溪县</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园区重点发展大数据、云计算、人工智能、服务外包、数字媒体、电子商务、区块链等产业，引进航天十二院中国影视资料馆，力争2025年数据中心达到2万个机柜规模。</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11</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2020-2025</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安溪县人民政府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864"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4</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中国电影资料馆（安溪）数字资源中心</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安溪县</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主要建设中国电影资料馆数字备份库、国家影像修复基地、融媒体制作基地、艺术影院（安溪店）、军体电影博物馆、影像记忆训练营、电影剧本孵化园、博士后科研工作站实践站点等。</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5</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2021-2023</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安溪县人民政府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76"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5</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全球商业遥感卫星地面接收站网</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安溪县</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建设卫星接收基地和国际空天大数据产业园。</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18</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2021-2025</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安溪县人民政府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76"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6</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海丝时间中心数据中心</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安溪县</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在产业园建设海丝授时数据中心，服务国家、省、市时间管理工作，为相关科研和产业应用提供数据服务。</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5</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2021-2025</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安溪县人民政府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864" w:hRule="atLeast"/>
        </w:trPr>
        <w:tc>
          <w:tcPr>
            <w:tcW w:w="5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7</w:t>
            </w:r>
          </w:p>
        </w:tc>
        <w:tc>
          <w:tcPr>
            <w:tcW w:w="1981" w:type="dxa"/>
            <w:tcBorders>
              <w:top w:val="single" w:color="auto" w:sz="4" w:space="0"/>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中国移动数据中心</w:t>
            </w:r>
          </w:p>
        </w:tc>
        <w:tc>
          <w:tcPr>
            <w:tcW w:w="945"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安溪县</w:t>
            </w:r>
          </w:p>
        </w:tc>
        <w:tc>
          <w:tcPr>
            <w:tcW w:w="6233" w:type="dxa"/>
            <w:tcBorders>
              <w:top w:val="single" w:color="auto" w:sz="4" w:space="0"/>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数据中心1#建设移动IDC机房，提升IDC带宽服务质量，建设政务和行业云平台，服务于全省政务、金融、卫生医疗、城市应急管理、教育、工业等产业，探索5G相关应用场景。</w:t>
            </w:r>
          </w:p>
        </w:tc>
        <w:tc>
          <w:tcPr>
            <w:tcW w:w="1342"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1</w:t>
            </w:r>
          </w:p>
        </w:tc>
        <w:tc>
          <w:tcPr>
            <w:tcW w:w="1866"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2021-2022</w:t>
            </w:r>
          </w:p>
        </w:tc>
        <w:tc>
          <w:tcPr>
            <w:tcW w:w="1145"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安溪县人民政府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864"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8</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中国联通数据中心</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安溪县</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建设联通数据中心及IDC网络资源，打造“中心+边界云”服务平台，为政企及工业企业客户提供更优质到数据存储和传输服务，进一步提高产业园与泉州联通自有机房资源共享水平。</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1</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2021-2022</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安溪县人民政府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76"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9</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中信科数据中心</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安溪县</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投资建设3500个机柜数据中心，主要服务于省内外物联网产业。</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5</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2021-2025</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安溪县人民政府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76"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10</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汉唐智华数据中心</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安溪县</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合作建设大唐中国云数据中心，部署中国云节点，服务智慧城市建设；建设5G应用试点，推动地区5G业务发展。</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5</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2022-2023</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安溪县人民政府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864"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11</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泉州5G网络建设</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泉州市</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力争到2025年，建成5G基站4万个，实现中心城区、县城区、重点乡镇村居连片覆盖。</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37.865</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2021-2023</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市数字办、通信发展管理办</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76"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12</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中国电信泉州数据中心（扩容）项目</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丰泽区</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电信泉州分公司院前数据中心计划再投资1亿元进行节点扩容，建成后将能提供5万核vCPU算力资源及5000T存储资源。</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1</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2021-2025</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电信泉州分公司</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1152"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13</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海上丝绸之路时间中心</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丰泽区</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以中科院国家授时中心为依托，以大科学装置建设为抓手，按照“一心四核”（一心：时间中心总部，四核：大科学装置、时空大数据中心、时空产业园、文化教育等四大核心板块）的战略部署，一期规划用地约35亩，力争打造成世界一流的时空科创基地。</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7.8</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2021-2025</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市科技局</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76"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14</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新“沃云”骨干云池+MEC边缘云布局</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泉州市</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提升云网一体能力，规划期算力达到 14万核vCPU，分布式存储27PB，边缘节点,达到100+的边缘节点。</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1.3</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2021-2025</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联通泉州分公司</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864"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15</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新型智能城域网布局</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泉州市</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构建智能城域网汇聚层，以汇聚带动接入，推进网络架构逐步向智能城域网演进，规划期内实现汇聚节点全覆盖，新设备全面支持SRv6、Flex新技术。</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1.2</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2021-2025</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联通泉州分公司</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1152" w:hRule="atLeast"/>
        </w:trPr>
        <w:tc>
          <w:tcPr>
            <w:tcW w:w="5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16</w:t>
            </w:r>
          </w:p>
        </w:tc>
        <w:tc>
          <w:tcPr>
            <w:tcW w:w="1981" w:type="dxa"/>
            <w:tcBorders>
              <w:top w:val="single" w:color="auto" w:sz="4" w:space="0"/>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大唐海上风电大数据中心</w:t>
            </w:r>
          </w:p>
        </w:tc>
        <w:tc>
          <w:tcPr>
            <w:tcW w:w="945"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安溪县</w:t>
            </w:r>
          </w:p>
        </w:tc>
        <w:tc>
          <w:tcPr>
            <w:tcW w:w="6233" w:type="dxa"/>
            <w:tcBorders>
              <w:top w:val="single" w:color="auto" w:sz="4" w:space="0"/>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海上风电大数据平台，围绕着“一平台，两服务”的设计宗旨，通过一个大数据平台将海上风电涉及的规划数据、建设数据、工程信息、风机、升压站、气象数据、海事船舶数据、海缆、塔基、雷达、海洋监测等各种数据采集并实现集中存储。</w:t>
            </w:r>
          </w:p>
        </w:tc>
        <w:tc>
          <w:tcPr>
            <w:tcW w:w="1342"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10</w:t>
            </w:r>
          </w:p>
        </w:tc>
        <w:tc>
          <w:tcPr>
            <w:tcW w:w="1866"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2020-2021</w:t>
            </w:r>
          </w:p>
        </w:tc>
        <w:tc>
          <w:tcPr>
            <w:tcW w:w="1145"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安溪县人民政府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864"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17</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泉州市工业互联网标识解析综合型二级节点</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丰泽区</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在工业互联网标识解析体系国家顶级节点之下部署一套二级节点系统，一期规划接入200家企业节点，标识接入数量2000万条。</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0.336</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2021-2025</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市工信局、通信发展管理办</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016"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18</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5G新消息平台</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丰泽区</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移动泉州分公司5G新消息平台，是汇聚了多种媒体和消息格式的底层服务平台。可为富媒体消息、视频短信、微信、短信等多渠道的消息服务提供平台及解决方案，是5G消息业务重要的运营与支撑服务手段。一期实现泉州本地“泉服务”应用接入，争取实现全国第一个地市主导的5G RCS应用；二期随着应用的普及推广将建成5G富媒体大数据平台，引入国内领先传统通信服务商来泉进行业务对接，落地泉州形成整个5G消息产业生态。</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0.1</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2020-2021</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市数字办</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316"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19</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区块链服务网络（BSN）城市节点</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泉州市</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由移动泉州分公司建设BSN区块链服务网络“泉州城市节点”（主干递归节点），由联通泉州分公司建设“联通城市节点”（排序存储节点），为本地区块链产业生态构建专用基础设施，推动引入BSN产业联盟生态，构建孵化本地区块链应用及服务产业生态，加强本地产学研融合。在未来1-3年，根据应用水平及规模增加，将对基础设施进行相应的软硬件提升。</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0.1</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2020-2023</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市数字办</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66" w:hRule="atLeast"/>
        </w:trPr>
        <w:tc>
          <w:tcPr>
            <w:tcW w:w="5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20</w:t>
            </w:r>
          </w:p>
        </w:tc>
        <w:tc>
          <w:tcPr>
            <w:tcW w:w="1981" w:type="dxa"/>
            <w:tcBorders>
              <w:top w:val="single" w:color="auto" w:sz="4" w:space="0"/>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数字福建（安溪）产业园区块链建设项目</w:t>
            </w:r>
          </w:p>
        </w:tc>
        <w:tc>
          <w:tcPr>
            <w:tcW w:w="945"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安溪县</w:t>
            </w:r>
          </w:p>
        </w:tc>
        <w:tc>
          <w:tcPr>
            <w:tcW w:w="6233" w:type="dxa"/>
            <w:tcBorders>
              <w:top w:val="single" w:color="auto" w:sz="4" w:space="0"/>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依托数字福建（安溪）产业园高等级数据中心基础设施，布局建设适合区块链技术的高等级物理机房环境，拟建设区块链分布式存储技术配套机柜50个，未来架设全球化区块链分布式存储业务架构体系节点及区块链公链云服务平台，同时完成配套企业孵化器场所装修工程，规划建筑面积9600平方米，第一期1600平方米，第二期3200平方米，第三期4800平方米。一站式服务区块链企业，从企业入驻到业务快速部署上线，提供全程配套引导服务。合作研发基于区块链技术的分布式社交媒体应用、分布式存储云盘、溯源平台、供应链金融等应用场景落地。</w:t>
            </w:r>
          </w:p>
        </w:tc>
        <w:tc>
          <w:tcPr>
            <w:tcW w:w="1342"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0.27</w:t>
            </w:r>
          </w:p>
        </w:tc>
        <w:tc>
          <w:tcPr>
            <w:tcW w:w="1866"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2021-2023</w:t>
            </w:r>
          </w:p>
        </w:tc>
        <w:tc>
          <w:tcPr>
            <w:tcW w:w="1145"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市数字办、安溪县人民政府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76"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21</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捷云科创园</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鲤城区</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在义全街原中石化办公楼建设以互联网商业应用技术教育咨询及技术人才孵化、直播、跨境电商等商业服务综合体科创园。</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0.95</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2020-2025</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鲤城区人民政府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1440"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22</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5G应用技术提升项目</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丰泽区</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1.5G大数据的新一代资源融合显示云平台；</w:t>
            </w:r>
          </w:p>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2.5G智慧充电场站/站台建设；</w:t>
            </w:r>
          </w:p>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3.5G的医疗服务机器人项目；</w:t>
            </w:r>
          </w:p>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4.丰泽区学生校园安全电子校徽产品项目；</w:t>
            </w:r>
          </w:p>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5.红点云盒AI视频汇聚终端项目；</w:t>
            </w:r>
          </w:p>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6.蜻蜓云盒智能接入终端项目；</w:t>
            </w:r>
          </w:p>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7.红点社区智慧营盘5G应用；</w:t>
            </w:r>
          </w:p>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8.5G庭审远程示证智能化。</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0.95</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2020-2026</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丰泽区人民政府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864"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23</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鸿杰伟业科技项目</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丰泽区</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该项目选址于华大街道伯勒文创园，拟运用大数据、物联网技术，引入专业的研发、运营团队，建设智慧商圈、景区、校园停车系统、医院及日常出行等一系列问题解决方案的智能系统化产业项目。</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1</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2019-2024</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丰泽区人民政府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76"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24</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人工智能四级联动安防监控平台</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丰泽区</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以互联网思维导入，建立指挥联动的应急机制；建立应急联动长效管理机制；构建行业网格化保卫模式，构建智能化安全防范措施。</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0.45</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2018-2023</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丰泽区人民政府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76"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25</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footwork lab Saas平台</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丰泽区</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基于AI知识图谱及织物传感物联网技术的足部健康检测定制鞋（垫）解决方案与智能鞋产品方案的数字开放平台。</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1</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2020-2021</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丰泽区人民政府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864"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26</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智谷（泉州）万洋高新技术产业园（一期）</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洛江区</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项目选址河市西片区，规划用地约180亩，建筑面积约24万平方米，包括园区招商办公大楼、高标准工业厂房、定制式厂房。</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8</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2020-2023</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洛江区人民政府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864"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27</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智创机械生产制造项目</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洛江区</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项目用地面积约33亩，拟建设厂房、办公楼及生活配套设施，总建筑面积约1.8万平方米，购置智能化生产设备，安装及运营现代化生产线。</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1</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2020-2022</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洛江区人民政府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76" w:hRule="atLeast"/>
        </w:trPr>
        <w:tc>
          <w:tcPr>
            <w:tcW w:w="5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28</w:t>
            </w:r>
          </w:p>
        </w:tc>
        <w:tc>
          <w:tcPr>
            <w:tcW w:w="1981" w:type="dxa"/>
            <w:tcBorders>
              <w:top w:val="single" w:color="auto" w:sz="4" w:space="0"/>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欣佳成机械装备制造项目</w:t>
            </w:r>
          </w:p>
        </w:tc>
        <w:tc>
          <w:tcPr>
            <w:tcW w:w="945"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洛江区</w:t>
            </w:r>
          </w:p>
        </w:tc>
        <w:tc>
          <w:tcPr>
            <w:tcW w:w="6233" w:type="dxa"/>
            <w:tcBorders>
              <w:top w:val="single" w:color="auto" w:sz="4" w:space="0"/>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项目选址河市西片区，规划用地面积约25亩，拟建设机械装备制造厂房、办公楼及其它配套设施等。预计总投资2亿元。</w:t>
            </w:r>
          </w:p>
        </w:tc>
        <w:tc>
          <w:tcPr>
            <w:tcW w:w="1342"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w:t>
            </w:r>
          </w:p>
        </w:tc>
        <w:tc>
          <w:tcPr>
            <w:tcW w:w="1866"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2020-2022</w:t>
            </w:r>
          </w:p>
        </w:tc>
        <w:tc>
          <w:tcPr>
            <w:tcW w:w="1145"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洛江区人民政府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76"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29</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4GL-1整杆式甘蔗联合收获机项目</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洛江区</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占地约50亩，总建筑面积约3万平方米，建设4GL-1整杆式甘蔗联合收获机生产厂房及配套办公场所等。</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1.5</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2020-2022</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洛江区人民政府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864"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30</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电脑提花窄幅织机项目</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洛江区</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占地约25亩，总建筑面积约2万平方米，建设电脑提花窄幅织机及其他纺织机械生产基地，包含生产车间、仓储中心、设备装配车间、研发中心、生活配套等建筑。</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1.1</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2020-2021</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洛江区人民政府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864"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31</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泉港陆地港项目</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泉港区</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打造石化智慧物流平台、危化车辆管理备案中心、专业危化车辆安全停泊集中区、危化车辆配套服务设施、行政办公设施、一体化后勤设施等六大功能的线上线下平台。</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5</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2021-2025</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泉港区人民政府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76"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32</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金维他智能化生产项目</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泉港区</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项目用地27亩，主要建筑面积2.6万</w:t>
            </w:r>
            <w:r>
              <w:rPr>
                <w:rFonts w:ascii="Times New Roman" w:hAnsi="Times New Roman" w:eastAsia="宋体" w:cs="Times New Roman"/>
                <w:color w:val="000000"/>
                <w:sz w:val="22"/>
              </w:rPr>
              <w:t>平方米</w:t>
            </w:r>
            <w:r>
              <w:rPr>
                <w:rFonts w:ascii="Times New Roman" w:hAnsi="Times New Roman" w:eastAsia="仿宋_GB2312" w:cs="Times New Roman"/>
                <w:color w:val="000000"/>
                <w:sz w:val="22"/>
              </w:rPr>
              <w:t>，主要规划扩建标准化厂房及仓库3栋，综合办公楼1栋；新增扩建自动化燕麦片生产车间等。</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1.2</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2020-2022</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泉港区人民政府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76"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33</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恒昌盛智慧物流仓储产业园</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泉港区</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总用地面积93亩，计划建设用地面32826平方米，总建筑面积约9万平方米。</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2.3</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2020-2022</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泉港区人民政府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76"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34</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青创城服装网批云市场公共服务平台</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石狮市</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石狮市青创城采用线上“青创网”+线下“青创城”的模式，其中平台提供金融服务、人才服务、孵化服务以及公共服务。</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10</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2017-2021</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石狮市人民政府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1152"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35</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SAP海丝工业互联网（泉州）创新中心”</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晋江市</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为当地企业和政府搭建工业互联网共享公共服务平台，拉动中小企业上云上平台，促进产业链上下游互联互通，实现本地化服务，降低企业使用SAP的总体成本，整体提升本地企业两化水平。</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3</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2020-2022</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晋江市人民政府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864"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36</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华为（晋江）工业互联网云孵化中心</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晋江市</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双方合作成立华为（晋江）工业互联网云孵化中心，实现人工智能及工业互联网应用产业孵化、产业对接、生态打造、人才培养及品牌宣传等。</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0.5</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2021-2023</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晋江市人民政府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864"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37</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Lazada泉州综合保税区发展跨境电商合作项目</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晋江市</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共同在泉州产业带集群推进孵化跨境新商家主体、跨境代运营、直播孵化、人才培训等合作成立LAZADA跨境生态创新服务中心并推进官方跨境物流中心仓。</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1</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2020-2022</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晋江市人民政府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864" w:hRule="atLeast"/>
        </w:trPr>
        <w:tc>
          <w:tcPr>
            <w:tcW w:w="5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38</w:t>
            </w:r>
          </w:p>
        </w:tc>
        <w:tc>
          <w:tcPr>
            <w:tcW w:w="1981" w:type="dxa"/>
            <w:tcBorders>
              <w:top w:val="single" w:color="auto" w:sz="4" w:space="0"/>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康芯科技电子雷管模组项目</w:t>
            </w:r>
          </w:p>
        </w:tc>
        <w:tc>
          <w:tcPr>
            <w:tcW w:w="945"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晋江市</w:t>
            </w:r>
          </w:p>
        </w:tc>
        <w:tc>
          <w:tcPr>
            <w:tcW w:w="6233" w:type="dxa"/>
            <w:tcBorders>
              <w:top w:val="single" w:color="auto" w:sz="4" w:space="0"/>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主要从事专用数码电子雷管芯片的设计与研发，并建立电子雷管芯片模组生产线，计划年产电子雷管集约化专用芯片3亿颗，预计产值20亿元。</w:t>
            </w:r>
          </w:p>
        </w:tc>
        <w:tc>
          <w:tcPr>
            <w:tcW w:w="1342"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6</w:t>
            </w:r>
          </w:p>
        </w:tc>
        <w:tc>
          <w:tcPr>
            <w:tcW w:w="1866"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2020-2023</w:t>
            </w:r>
          </w:p>
        </w:tc>
        <w:tc>
          <w:tcPr>
            <w:tcW w:w="1145"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晋江市人民政府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864"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39</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货同运网络货运平台项目</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晋江市</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平台定位为B2B的物流服务移动互联平台，专做公路整车运输，运用“物流+互联网”理念打造车货需求智能匹配的电商平台，为不同货主、车主提供相应的找车、拉货、交易等服务。</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0.5</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2020-2021</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晋江市人民政府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76"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40</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牧月科技自动驾驶项目</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晋江市</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主要从事自动驾驶技术和智慧物流、车路协同、智能网联研发及运营。</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9</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2020-2024</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晋江市人民政府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886"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41</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盛达石材</w:t>
            </w:r>
            <w:r>
              <w:rPr>
                <w:rFonts w:ascii="Times New Roman" w:hAnsi="Times New Roman" w:eastAsia="仿宋_GB2312" w:cs="Times New Roman"/>
                <w:color w:val="000000"/>
                <w:sz w:val="22"/>
              </w:rPr>
              <w:br w:type="textWrapping"/>
            </w:r>
            <w:r>
              <w:rPr>
                <w:rFonts w:ascii="Times New Roman" w:hAnsi="Times New Roman" w:eastAsia="仿宋_GB2312" w:cs="Times New Roman"/>
                <w:color w:val="000000"/>
                <w:sz w:val="22"/>
              </w:rPr>
              <w:t>数控加工设备生产项目</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晋江市</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拟用地面积75亩，总建筑面积6万平方米，年产高端石材数控加工机械设备5000台（套）。</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3</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2021-2022</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晋江市人民政府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76"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42</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和盛智能机械制造项目</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晋江市</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拟用地面积40亩，总建筑面积2.5万平方米，年产400台智能石材机械。</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2021-2022</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晋江市人民政府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864"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43</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安芯半导体装备及耗材研发制造生产线项目</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南安市</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总投资1亿元，分两期建设，占地约40亩，建设半导体装备及耗材研发制造生产线（含光刻机、涂胶显影机、高端湿法设备等）。</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1</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2021-2022</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南安市人民政府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864"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44</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顺天塑胶智能制造项目</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惠安县</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建设自动化生产车间、研发中心、办公楼及相关配套设施89415</w:t>
            </w:r>
            <w:r>
              <w:rPr>
                <w:rFonts w:ascii="Times New Roman" w:hAnsi="Times New Roman" w:eastAsia="宋体" w:cs="Times New Roman"/>
                <w:color w:val="000000"/>
                <w:sz w:val="22"/>
              </w:rPr>
              <w:t>平方米</w:t>
            </w:r>
            <w:r>
              <w:rPr>
                <w:rFonts w:ascii="Times New Roman" w:hAnsi="Times New Roman" w:eastAsia="仿宋_GB2312" w:cs="Times New Roman"/>
                <w:color w:val="000000"/>
                <w:sz w:val="22"/>
              </w:rPr>
              <w:t>，预计投产后年产7000万双鞋底、年均产值15亿元、年创税收5000万元。</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2.5</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2020-2022</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惠安县人民政府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864"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45</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灿辉绿色环保功能性面料织造及智能服饰产业项目</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惠安县</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主要建设生态园区、智能研发大楼、绿色环保功能性面料纺织生产车间、智能转用服饰生产车间、员工宿舍楼、绿色环保功能性面料及智能服饰展览馆。</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2020-2022</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惠安县人民政府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864"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46</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音锋智能物流机器人及数字工厂产业基地项目</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惠安县</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主要建设智能物流设备生产制造车间、智能仓储物流。</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25</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2020-2022</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惠安县人民政府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76"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47</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琦峰科技二期扩建项目</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惠安县</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引进三条国际先进透气膜一体化生产线，打造行业领先生产商。</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3</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2019-2021</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惠安县人民政府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864" w:hRule="atLeast"/>
        </w:trPr>
        <w:tc>
          <w:tcPr>
            <w:tcW w:w="5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48</w:t>
            </w:r>
          </w:p>
        </w:tc>
        <w:tc>
          <w:tcPr>
            <w:tcW w:w="1981" w:type="dxa"/>
            <w:tcBorders>
              <w:top w:val="single" w:color="auto" w:sz="4" w:space="0"/>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南王科技研发总部及智能工厂项目</w:t>
            </w:r>
          </w:p>
        </w:tc>
        <w:tc>
          <w:tcPr>
            <w:tcW w:w="945"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惠安县</w:t>
            </w:r>
          </w:p>
        </w:tc>
        <w:tc>
          <w:tcPr>
            <w:tcW w:w="6233" w:type="dxa"/>
            <w:tcBorders>
              <w:top w:val="single" w:color="auto" w:sz="4" w:space="0"/>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规划建设全自动立体仓储及系统、10万级QS食品纸袋智能车间、全自动智能化购物袋车间、南王科技研发总部、南王科技管理及销售总部等。</w:t>
            </w:r>
          </w:p>
        </w:tc>
        <w:tc>
          <w:tcPr>
            <w:tcW w:w="1342"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4.5</w:t>
            </w:r>
          </w:p>
        </w:tc>
        <w:tc>
          <w:tcPr>
            <w:tcW w:w="1866"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2021-2024</w:t>
            </w:r>
          </w:p>
        </w:tc>
        <w:tc>
          <w:tcPr>
            <w:tcW w:w="1145"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惠安县人民政府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76"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49</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永春共享汽车项目</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永春县</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主要从事共享汽车业务，采用以互联网为基础依托，实体加互联网相结合，线上加线下的无缝管理模式。</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3</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2021-2023</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永春县人民政府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1440"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50</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中国陶瓷电商物流园</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德化县</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以“智慧”理念，以“网上交易、业务管理、商务协同、大数据服务”为核心，面向陶瓷电商产业链，通过硬件系统、软件平台集成，整合上游厂商、下游物流公司，配以GPS监控、RFID射频扫描、交叉带分拣等高新技术，将信息化管理覆盖到园区每个角落、每个控制点。</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28</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2020-2024</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德化县人民政府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864"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51</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梓晶微集成电路封装测试工程项目</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泉州台商投资区</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一期引进5条封装测试生产线，年加工、封装测试集成电路约10亿块；二期建成后达产为20亿块，争取投产三年后满额产能，年销售收入约2.4亿元，年创税约800万元。</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2.2</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2017-2022</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泉州台商投资区管委会</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864"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52</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泉州灵通公司总部建设项目</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泉州台商投资区</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总部大楼配备SOHO、商务办公、商务配套、会议、机房及其他配套设施等功能。建设电信业务、互联网业务运营系统，为用户提供完整的综合信息服务和其他多种服务。</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0.8</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2019-2022</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泉州台商投资区管委会</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864"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53</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高清激光显示项目</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石狮市</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围绕激光投影产业建设三基色激光电影放映机、三基色激光工程机、三基色激光电视机以及激光模组等核心零部件等项目引进生产线。</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2021-2022</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石狮市人民政府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1152"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54</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光学镜头及模组芯片研发生产项目</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晋江市</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该公司主要从事大光圈日夜全彩镜头、工业检测镜头、AI识别镜头等光学镜头的研发、生产与销售，产品应用于智能安防、人脸识别、无人驾驶、虚拟现实、传感器、算法平台等领域，主要客户有海康威视、华为、小米等。</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8</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2021-2025</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晋江市人民政府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1440"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55</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自动化焊接流水线研发生产项目</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晋江市</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与大型央企中国航天科工集团下属第二、三研究院、中科院海西研究院泉州装备制造研究所联合开展“智能识别分拣包装关键技术研发及应用”项目研发，在晋江打造一个陶制品、食品、纸制品自动包装生产基地，辐射全国，建设年产130台（套）智能分拣及包装设备。</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1.2</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2020-2022</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晋江市人民政府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1440" w:hRule="atLeast"/>
        </w:trPr>
        <w:tc>
          <w:tcPr>
            <w:tcW w:w="5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56</w:t>
            </w:r>
          </w:p>
        </w:tc>
        <w:tc>
          <w:tcPr>
            <w:tcW w:w="1981" w:type="dxa"/>
            <w:tcBorders>
              <w:top w:val="single" w:color="auto" w:sz="4" w:space="0"/>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晋南新城---云创联航电商数字经济园</w:t>
            </w:r>
          </w:p>
        </w:tc>
        <w:tc>
          <w:tcPr>
            <w:tcW w:w="945"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晋江市</w:t>
            </w:r>
          </w:p>
        </w:tc>
        <w:tc>
          <w:tcPr>
            <w:tcW w:w="6233" w:type="dxa"/>
            <w:tcBorders>
              <w:top w:val="single" w:color="auto" w:sz="4" w:space="0"/>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项目用地约350亩；总建筑面积预计为50万平方米。一期建设国际电商双创园；二期选址集成电路产业园（工业园），建设电商数字经济创业园、品牌电商创业中心、产业电商网批市场、网红直播基地、摄影配套基地、智慧物流园、共享仓配一体中心、人才公寓、平台运营总部大厦。</w:t>
            </w:r>
          </w:p>
        </w:tc>
        <w:tc>
          <w:tcPr>
            <w:tcW w:w="1342"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3</w:t>
            </w:r>
          </w:p>
        </w:tc>
        <w:tc>
          <w:tcPr>
            <w:tcW w:w="1866"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2021-2024</w:t>
            </w:r>
          </w:p>
        </w:tc>
        <w:tc>
          <w:tcPr>
            <w:tcW w:w="1145"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晋江市人民政府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76"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57</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华南智慧冷链产业园</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晋江市</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规划用地300亩，总建筑面积约24万平方米，建设生鲜冷链中心、医药冷链管理中心，智能包装分拣中心、供应链金融服务平台等。</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12</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2021-2025</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晋江市人民政府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76"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58</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美天微生物环保设备研发生产项目</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晋江市</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福建美天环保科技有限公司是一家一家专业从事垃圾分类和餐厨垃圾无害化处理设备制造;工业废气处理设备、微紫外线路灯头;城乡垃圾就地无害化、资源化处理的综合性环境工程服务公司。公司在晋江设立技术研发中心，拥有大批有着丰富基础理论和工程实践经验的专门从事环境工程及微生物技术研究、工程设计、机械设计、施工技术管理等专业技术人才，拥有自主研发的国家发明、实用新型专利50余项。</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10</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2021-2025</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晋江市人民政府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76"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59</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福建应友光电科技项目</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南安市</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解决用工企业平台与自由职业者之间收入结算及成本优化的一站式互联网服务平台。</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1</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2021-2025</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南安市人民政府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76"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60</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智能识别激光打标项目</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南安市</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总投资5000万元，分两期建设，主要产品方向为液晶面板设备配套的生产线配套，提供生产设备改造、配套部件加工及维护服务。</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0.5</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2021-2025</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南安市人民政府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76"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61</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远洋智创空间项目</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惠安县</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建设集建筑现代化产业园、智慧物流产业、城市田园生活社区、自然田园风光与闽南文化旅游、康养旅游于一体的产业综合体。</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25</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2021-2024</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惠安县人民政府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864"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62</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国家增材制造创新中心泉州产业基地</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惠安县</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产业基地将产业化生产高强度碳纤维材料铺丝机等高端专用装备制造项目、高强度碳纤维复合材料型材等新材料项目，以及5G通信纳米陶瓷手机背板等高新技术产品项目。</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7</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2021-2025</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惠安县人民政府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864"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63</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泉州智能装备综合园项目</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惠安县</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拟申请155亩规划建设智能装备产业综合园区，重点围绕智能研发、智能制造、网络协同、规模性定制、高端装备展示、人员培训、物流运营进行招商。</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3</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2020-2023</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惠安县人民政府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76"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64</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家世比工业4.0电商产业园项目</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惠安县</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建设年产5000万套室内家居产品。</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5</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2018-2021</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惠安县人民政府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864" w:hRule="atLeast"/>
        </w:trPr>
        <w:tc>
          <w:tcPr>
            <w:tcW w:w="5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65</w:t>
            </w:r>
          </w:p>
        </w:tc>
        <w:tc>
          <w:tcPr>
            <w:tcW w:w="1981" w:type="dxa"/>
            <w:tcBorders>
              <w:top w:val="single" w:color="auto" w:sz="4" w:space="0"/>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智慧仓储物流中心</w:t>
            </w:r>
          </w:p>
        </w:tc>
        <w:tc>
          <w:tcPr>
            <w:tcW w:w="945"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惠安县</w:t>
            </w:r>
          </w:p>
        </w:tc>
        <w:tc>
          <w:tcPr>
            <w:tcW w:w="6233" w:type="dxa"/>
            <w:tcBorders>
              <w:top w:val="single" w:color="auto" w:sz="4" w:space="0"/>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占地50亩，规划建设现代化物流配送管理中心、冷链仓库、仓储样品区、配送库区及相关附属配套设施共35000平方米，购置运输车辆和高科技物流信息网络系统。</w:t>
            </w:r>
          </w:p>
        </w:tc>
        <w:tc>
          <w:tcPr>
            <w:tcW w:w="1342"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1.5</w:t>
            </w:r>
          </w:p>
        </w:tc>
        <w:tc>
          <w:tcPr>
            <w:tcW w:w="1866"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2020-2022</w:t>
            </w:r>
          </w:p>
        </w:tc>
        <w:tc>
          <w:tcPr>
            <w:tcW w:w="1145"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惠安县人民政府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864"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66</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城南慧臻科技电商双创产业园项目</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惠安县</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涵盖大数据引流统计、精准新零售、公共直播室、仓储、配送、展示、电子商务交易、传媒制作的展示与网上交易、金融服务云计算中心等。</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1.2</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2020-2022</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惠安县人民政府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1152"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67</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光谷云（安溪）渲染牧场</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安溪县</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建设超10万台大规模的超算中心，为影视动画设计工业提供全套云协作和渲染牧场服务，打造成影视动画产业中心、体验中心、研发设计中心、渲染中心、动作捕捉影棚、培训教育中心等产业功能区洼地。</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10</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2021-2025</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安溪县人民政府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76"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68</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弘桥智谷电商园仓储物流扩容升级项目</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安溪县</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占地80亩，主要建设6万</w:t>
            </w:r>
            <w:r>
              <w:rPr>
                <w:rFonts w:hint="eastAsia" w:ascii="Times New Roman" w:hAnsi="Times New Roman" w:eastAsia="仿宋_GB2312" w:cs="Times New Roman"/>
                <w:color w:val="000000"/>
                <w:sz w:val="22"/>
              </w:rPr>
              <w:t>平方米</w:t>
            </w:r>
            <w:r>
              <w:rPr>
                <w:rFonts w:ascii="Times New Roman" w:hAnsi="Times New Roman" w:eastAsia="仿宋_GB2312" w:cs="Times New Roman"/>
                <w:color w:val="000000"/>
                <w:sz w:val="22"/>
              </w:rPr>
              <w:t>仓储物流集散中心，提升仓储管理智能化和物流吞吐量水平，日均发货可达10万件。</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2.5</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2021-2023</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安溪县人民政府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76"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69</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农副产品冻库冷链项目</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安溪县</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规划用地500亩，建设国际现代冷链物流创新基地，首期启动30万吨农副产品冻库冷链生产、加工及营销总部项目建设。</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30</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2021-2025</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安溪县人民政府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864"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70</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泉州开发区新型显示数字经济产业园（一期）</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泉州开发区</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一期依托2000平方米办公场所，建设新型显示数字经济产业集聚中心、创新中心、技术研究院，引进计算、存储等软硬件设施，打造新型显示数字经济产业集群。</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16</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2020-2025</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泉州开发区管委会</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864"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71</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泉州智能物流示范基地</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泉州开发区</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通过京东的智能供应链数字化产业平台和相关的系统与设施设备，搭建“三级双向物流服务体系”，推动泉州开发区本地物流服务和商品流通体系升级。</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10</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2020-2025</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泉州开发区管委会</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864"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72</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5G+智慧工业产业园区</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泉州台商投资区</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电信泉州分公司建设智慧园区公共服务平台，充分利用5G、物联网、云计算等信息技术构建信息化平台，为泉州台商投资区内产业园、企业提供一体化解决方案，提高企业业务流程自动化程度。</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2020-2022</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泉州台商投资区管委会</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1152" w:hRule="atLeast"/>
        </w:trPr>
        <w:tc>
          <w:tcPr>
            <w:tcW w:w="5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73</w:t>
            </w:r>
          </w:p>
        </w:tc>
        <w:tc>
          <w:tcPr>
            <w:tcW w:w="1981" w:type="dxa"/>
            <w:tcBorders>
              <w:top w:val="single" w:color="auto" w:sz="4" w:space="0"/>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泉州台商投资区微米科技项目</w:t>
            </w:r>
          </w:p>
        </w:tc>
        <w:tc>
          <w:tcPr>
            <w:tcW w:w="945"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泉州台商投资区</w:t>
            </w:r>
          </w:p>
        </w:tc>
        <w:tc>
          <w:tcPr>
            <w:tcW w:w="6233" w:type="dxa"/>
            <w:tcBorders>
              <w:top w:val="single" w:color="auto" w:sz="4" w:space="0"/>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投资建设以整合光通信receptacle加工组装、纳米级光学器件加工组装、半导体封装插针加工等业务为一体的生产制造基地，将来计划引进旗下新加坡瑞德梵斯科技有限公司航空零部件精密加工、特种材料等业务，打造微米科技研发制造基地。</w:t>
            </w:r>
          </w:p>
        </w:tc>
        <w:tc>
          <w:tcPr>
            <w:tcW w:w="1342"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2.5</w:t>
            </w:r>
          </w:p>
        </w:tc>
        <w:tc>
          <w:tcPr>
            <w:tcW w:w="1866"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2021-2022</w:t>
            </w:r>
          </w:p>
        </w:tc>
        <w:tc>
          <w:tcPr>
            <w:tcW w:w="1145"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泉州台商投资区管委会</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76"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74</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晓光新材料</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石狮市</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用地面积41.55亩，建设厂房及配套设施，主要从事反光材料研发生产,预计年产值2亿元。</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22"/>
              </w:rPr>
              <w:t>2021-2022</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石狮市人民政府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864"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75</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海丝国际智能电商孵化基地项目</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石狮市</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以木林森总部为中心，拓展现有区域的老厂房加以升级改造。打造一流的、规模化、规范化、多功能、立体化、全方位的电商事业集散地。</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2020-2025</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石狮市人民政府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864"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76</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宏兴二期智能工厂建设项目</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石狮市</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二期用地45亩，用于新建智能工厂，将建设生产车间、配套仓库等建筑约10万平方米，同时引进机器人等先进配套精准控制生产给料等工艺，提高生产效率。</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6</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22"/>
              </w:rPr>
              <w:t>2021-2023</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石狮市人民政府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864"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77</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鹏泰二期智能制造建设</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石狮市</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拟建成融厂房及宿舍楼等办公配套为一体的现代化智能制造工厂，建成后拟新增年产服装规模1200万件、针织布3500吨、纺织布2200万米。</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4.5</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18"/>
                <w:szCs w:val="18"/>
              </w:rPr>
            </w:pPr>
            <w:r>
              <w:rPr>
                <w:rFonts w:ascii="Times New Roman" w:hAnsi="Times New Roman" w:eastAsia="仿宋_GB2312" w:cs="Times New Roman"/>
                <w:color w:val="000000"/>
                <w:sz w:val="22"/>
              </w:rPr>
              <w:t>2021-2023</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石狮市人民政府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864"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78</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新能源汽车三电生产线建设项目</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石狮市</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锂电池PACK项目，高性能电动汽车电池包生产线，分二期实施，第一期形成年产2.5Gwh电池包产能，第二期形成年产2.5Gwh电池包产能。</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8</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2020-2025</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石狮市人民政府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864"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79</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三川云视控公共服务平台</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鲤城区</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三川云视控公共服务平台是一款简单、高效的汽车视频实时监控软件，实现物联网、货联网的远程可视化管理及存储，后期植入AI智能化，实现人脸、行为、动作等分析预警</w:t>
            </w:r>
            <w:r>
              <w:rPr>
                <w:rFonts w:hint="eastAsia" w:ascii="Times New Roman" w:hAnsi="Times New Roman" w:eastAsia="仿宋_GB2312" w:cs="Times New Roman"/>
                <w:color w:val="000000"/>
                <w:sz w:val="22"/>
              </w:rPr>
              <w:t>记录</w:t>
            </w:r>
            <w:r>
              <w:rPr>
                <w:rFonts w:ascii="Times New Roman" w:hAnsi="Times New Roman" w:eastAsia="仿宋_GB2312" w:cs="Times New Roman"/>
                <w:color w:val="000000"/>
                <w:sz w:val="22"/>
              </w:rPr>
              <w:t>等功能。</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0.97</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2020-2025</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鲤城区人民政府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864"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80</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“配单猫”服装工业互联网B2B云共享生态平台</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鲤城区</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运用了物联网、大数据等新兴技术，帮助鞋服行业实现订单产能智能化精准匹配，推动订单、产能、服务、渠道等资源共享，以数字化中台为核心，搭建供应链生态系统。</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1.48</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2020-2025</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鲤城区人民政府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76"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81</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丰泽区机器人产业园</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丰泽区</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依托福建哈工大工研院、兵装集团特种机器人研发中心中试基地建设，计划建成集特种机器人研发、中试、销售等为一体的平台。</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2021-2023</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丰泽区人民政府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1152" w:hRule="atLeast"/>
        </w:trPr>
        <w:tc>
          <w:tcPr>
            <w:tcW w:w="5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82</w:t>
            </w:r>
          </w:p>
        </w:tc>
        <w:tc>
          <w:tcPr>
            <w:tcW w:w="1981" w:type="dxa"/>
            <w:tcBorders>
              <w:top w:val="single" w:color="auto" w:sz="4" w:space="0"/>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城市超级IP数字文创生态平台</w:t>
            </w:r>
          </w:p>
        </w:tc>
        <w:tc>
          <w:tcPr>
            <w:tcW w:w="945"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鲤城区</w:t>
            </w:r>
          </w:p>
        </w:tc>
        <w:tc>
          <w:tcPr>
            <w:tcW w:w="6233" w:type="dxa"/>
            <w:tcBorders>
              <w:top w:val="single" w:color="auto" w:sz="4" w:space="0"/>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利用数字文创的力量探索产城融合以及产融结合的实践落地海丝沿线交流文化产品，通过数字动漫的内容生产为地方城市挖掘地方特色文化，通过海丝沿线国家的交流宣传，助推产业融合发展，最终实现一带一路文旅融合发展。</w:t>
            </w:r>
          </w:p>
        </w:tc>
        <w:tc>
          <w:tcPr>
            <w:tcW w:w="1342"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0.7</w:t>
            </w:r>
          </w:p>
        </w:tc>
        <w:tc>
          <w:tcPr>
            <w:tcW w:w="1866"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2020-2022</w:t>
            </w:r>
          </w:p>
        </w:tc>
        <w:tc>
          <w:tcPr>
            <w:tcW w:w="1145"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鲤城区人民政府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864"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83</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传感智能制造产业基地</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洛江区</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规划用地1000亩，以泛在物联网、芯片、传感器、人工智能、工业互联网等智能制造为核心产业链，重点引进龙头企业，延伸产业链、打通上下游。</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50</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2020-2024</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洛江区人民政府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864"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84</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云箭感知与测控技术创新研究院</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洛江区</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建设若干个MNEMS导航系统项目，打造军民融合产业领域的现代技术研发平台，建设成为国内领先的低成本资源测量感知系统研发与生产工艺基地。</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1.8</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2020-2022</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洛江区人民政府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76"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85</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云知声智能科技项目</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洛江区</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项目拟建设泉州云知声人工智能产业园，包含人工智能产业应用展厅、泉州人工智能产业服务平台、云知声-泉州人工智能产业基金。</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1</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2021-2023</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洛江区人民政府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864"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86</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洛江卫生用品智能制造基地</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洛江区</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规划用地面积600亩，建设高标准生产厂房和全伺服自动化智能化生产流水线、研发和检测中心、卫生用品及医用材料制造、办公楼、智能物流中心等生产生活区块。</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18</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2021-2023</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洛江区人民政府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864"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87</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铁拓信息化系统升级项目</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洛江区</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项目计划引进先进的信息化软硬件设备，进行系统定制化开发，建立企业数据中心，可实现产品研发、项目管理和生产制造的信息共享与融合。</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0.683315</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2020-2022</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洛江区人民政府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76"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88</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特步现代化智能物流仓储及生产车间项目</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石狮市</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建筑面积约20.4万平方米，建设现代化智能物流仓储项目及现代化智能生产车间。</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9</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2019-2021</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石狮市人民政府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76"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89</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石材行业智能制造项目</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南安市</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通过智慧石材桥切机+智慧石材扫描仪+智慧石材ERP系统结合，改造石材产业生产线，实现石材行业的数字化转型和产业升级。</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0.5</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2021-2022</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南安市人民政府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1152" w:hRule="atLeast"/>
        </w:trPr>
        <w:tc>
          <w:tcPr>
            <w:tcW w:w="5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90</w:t>
            </w:r>
          </w:p>
        </w:tc>
        <w:tc>
          <w:tcPr>
            <w:tcW w:w="1981" w:type="dxa"/>
            <w:tcBorders>
              <w:top w:val="single" w:color="auto" w:sz="4" w:space="0"/>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南安泛家居线上多功能平台</w:t>
            </w:r>
          </w:p>
        </w:tc>
        <w:tc>
          <w:tcPr>
            <w:tcW w:w="945"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南安市</w:t>
            </w:r>
          </w:p>
        </w:tc>
        <w:tc>
          <w:tcPr>
            <w:tcW w:w="6233" w:type="dxa"/>
            <w:tcBorders>
              <w:top w:val="single" w:color="auto" w:sz="4" w:space="0"/>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打造F2B2C的建材模式。一站式的线上多功能平台，平台以设计中心、信息中心、电商中心、金融中心、客户中心为主要模块。链接从厂家—总代—小商户—客户的服务全生态，帮助客户实现建材家居一站采。</w:t>
            </w:r>
          </w:p>
        </w:tc>
        <w:tc>
          <w:tcPr>
            <w:tcW w:w="1342"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1.5</w:t>
            </w:r>
          </w:p>
        </w:tc>
        <w:tc>
          <w:tcPr>
            <w:tcW w:w="1866"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2020-2025</w:t>
            </w:r>
          </w:p>
        </w:tc>
        <w:tc>
          <w:tcPr>
            <w:tcW w:w="1145"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南安市人民政府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864"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91</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中影星光（安溪）电影小镇</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安溪县</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规划建设数字电影特色小镇,内容包括影视前期拍摄、影视后期制作、拍摄技术设备器材服务、影视外景地、影视旅游商业开发、影视艺员培训等功能中心。</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15</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2020-2025</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安溪县人民政府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76"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92</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永春智慧制造产业园</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永春县</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项目以九牧集团主营产业为核心龙头，与德国西门子以及国内外多家知名企业合作，规划设计工业4.0智慧园区。</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10.5</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2020-2021</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永春县人民政府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864"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93</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泉港石化科技众创园</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泉港区</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石化科技众创园及配套工程建设。众创园共占地105亩，建设厂房30000平方米，办公楼8000平方米；园区主要发展石化新材料产业，配套建设物联网、信息产业等服务众创园。</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2021-2025</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泉港区人民政府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1440"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94</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中国陶瓷产业互联网数字平台</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德化县</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建成中国陶瓷产业互联网数字平台，建设基于区块链和人工智能的中国白名品鉴赏及拍卖业务系统，创新陶瓷产品溯源、艺术品收藏、交易、流通、展示、交流等应用模式。打造瓷泥集采交易平台，掌控高端瓷泥话语权。推动建立陶瓷产业信用体系，实现陶瓷供应链金融破局。</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0.5</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2021-2023</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德化县人民政府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1321"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95</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智能供应链运营管理平台</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南安市</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本项目通过打造OMS（订单管理系统）、TMS（运输管理系统）、WMS（仓储管理系统）、LPMS（园区管理系统）、FMS（财务管理系统）等系统，帮助用户建立完善、高效、实时的供应链管理平台。</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0.35</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2019-2022</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南安市人民政府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1152"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96</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基于5G+MEC组网的厂区应用</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晋江市</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利用5G+MEC技术（低延时,高宽带,广连接,边缘计算等特性）对厂区进行网络改造、系统建设及多场景应用，实现全连接工厂实时生产优化，持续提升生产经营管理效率、提升产品质量及价值、加速商业模式创新。</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0.32</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2020-2023</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晋江市人民政府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1152" w:hRule="atLeast"/>
        </w:trPr>
        <w:tc>
          <w:tcPr>
            <w:tcW w:w="5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97</w:t>
            </w:r>
          </w:p>
        </w:tc>
        <w:tc>
          <w:tcPr>
            <w:tcW w:w="1981" w:type="dxa"/>
            <w:tcBorders>
              <w:top w:val="single" w:color="auto" w:sz="4" w:space="0"/>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中科（中石）光芯片项目</w:t>
            </w:r>
          </w:p>
        </w:tc>
        <w:tc>
          <w:tcPr>
            <w:tcW w:w="945"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石狮市</w:t>
            </w:r>
          </w:p>
        </w:tc>
        <w:tc>
          <w:tcPr>
            <w:tcW w:w="6233" w:type="dxa"/>
            <w:tcBorders>
              <w:top w:val="single" w:color="auto" w:sz="4" w:space="0"/>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新建厂房4000平方米，新增一条完整的从外延、芯片、到器件的工艺生产线，配置相应的检测、试验专用仪器设备，以及所需的配套附属设施，项目建成后，形成年生产1000万颗各类光芯片的生产能力。</w:t>
            </w:r>
          </w:p>
        </w:tc>
        <w:tc>
          <w:tcPr>
            <w:tcW w:w="1342"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1.2</w:t>
            </w:r>
          </w:p>
        </w:tc>
        <w:tc>
          <w:tcPr>
            <w:tcW w:w="1866"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2019-2021</w:t>
            </w:r>
          </w:p>
        </w:tc>
        <w:tc>
          <w:tcPr>
            <w:tcW w:w="1145"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石狮市人民政府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76"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98</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惠安城南中心工业园区慧芯高端芯片项目</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惠安县</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建筑面积6万平方米，建设超净间、办公室、员工宿舍、动力车间、废水处理站及相关配套设施。</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15</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2020-2022</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惠安县人民政府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864"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99</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美岭水泥智能技改项目</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永春县</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拟分批投资5000万元用于水泥旋窑熟料智能节能改造和堆场扩建项目智能技改项目，目前已建成3个5G基站，指标置换手续办理完成，新生产线方案设计中。</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0.5</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2021-2023</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永春县人民政府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864"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100</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中闽建研绿色建筑智能制造产业基地项目</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永春县</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项目集研发、设计、生产、销售等功能于一体的现代化绿色智能制造产业基地。共建设4条智能化流水线，为市场提供高品质的各类预制建筑构件，设计产能为年产10万立方米预制建筑构件。</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5</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2021-2023</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永春县人民政府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1152"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101</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5G+9one平台</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泉州市</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移动泉州分公司将联合中国移动各产研院的力量，落地“9 one平台”，面向行业提供“一揽子”方案，布局九大行业平台，为客户和合作伙伴进行“5G</w:t>
            </w:r>
            <w:r>
              <w:rPr>
                <w:rFonts w:ascii="Times New Roman" w:hAnsi="Times New Roman" w:eastAsia="宋体" w:cs="Times New Roman"/>
                <w:color w:val="000000"/>
                <w:sz w:val="22"/>
              </w:rPr>
              <w:t>﹢</w:t>
            </w:r>
            <w:r>
              <w:rPr>
                <w:rFonts w:ascii="Times New Roman" w:hAnsi="Times New Roman" w:eastAsia="仿宋_GB2312" w:cs="Times New Roman"/>
                <w:color w:val="000000"/>
                <w:sz w:val="22"/>
              </w:rPr>
              <w:t>AICDE”一站式赋能，为客户提供端到端一体化交付能力。</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1.5</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2021-2025</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市数字办</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864"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102</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卫生用品高端智能装备生产扩建项目</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鲤城区</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项目对公司原有车间进行改造及租赁闲置厂房6000平方米，新增数控卧式车床、数控雕铣机、卧式加工中心等自动化生产设备，新增一次性卫生用品高端智能装备4台（套）。</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0.105</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2019-2021</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鲤城区人民政府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1440"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103</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水资源监控管理系统开发与应用</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鲤城区</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水资源监控装置，系公司开发集水流量、温度、压力计量，设备电力监测，异常、故障、安防报警，数据无线远传功能于一身的集成性监控装置，并配套完善的用户管理软件（可实现数据查询，异常查询、智能控制，付费管理等功能）。产品广泛应用于城市供水、农业灌溉、水利工程、水政水资源等行业。</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0.1</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2020-2022</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鲤城区人民政府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864" w:hRule="atLeast"/>
        </w:trPr>
        <w:tc>
          <w:tcPr>
            <w:tcW w:w="5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104</w:t>
            </w:r>
          </w:p>
        </w:tc>
        <w:tc>
          <w:tcPr>
            <w:tcW w:w="1981" w:type="dxa"/>
            <w:tcBorders>
              <w:top w:val="single" w:color="auto" w:sz="4" w:space="0"/>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淘淘巷（智慧社区）</w:t>
            </w:r>
          </w:p>
        </w:tc>
        <w:tc>
          <w:tcPr>
            <w:tcW w:w="945"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鲤城区</w:t>
            </w:r>
          </w:p>
        </w:tc>
        <w:tc>
          <w:tcPr>
            <w:tcW w:w="6233" w:type="dxa"/>
            <w:tcBorders>
              <w:top w:val="single" w:color="auto" w:sz="4" w:space="0"/>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社区零售、远程教育、远程医疗、房屋租赁、房屋改造、社区便民，帮助淘淘巷商户线上线下新零售，帮助高山社区实现科技赋能。</w:t>
            </w:r>
          </w:p>
        </w:tc>
        <w:tc>
          <w:tcPr>
            <w:tcW w:w="1342"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0.1</w:t>
            </w:r>
          </w:p>
        </w:tc>
        <w:tc>
          <w:tcPr>
            <w:tcW w:w="1866"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2020-2023</w:t>
            </w:r>
          </w:p>
        </w:tc>
        <w:tc>
          <w:tcPr>
            <w:tcW w:w="1145"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鲤城区人民政府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864"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105</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“成迹”平台</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鲤城区</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一个中心、两个应用即成迹平台（儿童成长轨迹）、家校通、培训通，帮助学校、培训机关、家长实现消息互联互通，帮助家长关注儿童成长轨迹。</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0.1</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2020-2023</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鲤城区人民政府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1152"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106</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天地汇智能公路港项目</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南安市</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拟注册公司入驻孵化基地，建设视觉定位打标机产线项目，按不同波段激光器分为光纤、紫外、CO2材质等，每台价格6—13万元不等，客户可根据自身需求购买整套打标设备或购买视觉硬件对旧机器进行改装（改装费约3万元），可提高产能及效益。</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0.1</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2022-2025</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南安市人民政府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1152"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107</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北京星闪世图空间大数据及智慧城市应用项目</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泉州台商投资区</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高新技术企业，入驻东园镇泉台人力资源服务产业园，租用200平方米办公场所，在泉州投资设立独立法人的控股子公司，项目主要用于建设三维空间智能系统软硬件集成基地与智慧城市解决方案营销中心。</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0.2</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2020-2021</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泉州台商投资区管委会</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1440"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108</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领SHOW天地“短视频+直播”基地</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丰泽区</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该项目选址于海西国家级广告园（泉州园）领SHOW天地创意区，园区占地198亩，拟打造成泉州短视频、直播基地产业链条完整闭环、生活配套完善、产业集聚力强的短视频+直播基地；拟打造直播间与品牌馆，建成后可为园区电商、直播企业降本增效、提高选品能力，</w:t>
            </w:r>
            <w:r>
              <w:rPr>
                <w:rFonts w:hint="eastAsia" w:ascii="Times New Roman" w:hAnsi="Times New Roman" w:eastAsia="仿宋_GB2312" w:cs="Times New Roman"/>
                <w:color w:val="000000"/>
                <w:sz w:val="22"/>
              </w:rPr>
              <w:t>助力</w:t>
            </w:r>
            <w:r>
              <w:rPr>
                <w:rFonts w:ascii="Times New Roman" w:hAnsi="Times New Roman" w:eastAsia="仿宋_GB2312" w:cs="Times New Roman"/>
                <w:color w:val="000000"/>
                <w:sz w:val="22"/>
              </w:rPr>
              <w:t>直播企业在基地的发展壮大。</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0.2</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2020-2025</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丰泽区人民政府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708" w:hRule="atLeast"/>
        </w:trPr>
        <w:tc>
          <w:tcPr>
            <w:tcW w:w="5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109</w:t>
            </w:r>
          </w:p>
        </w:tc>
        <w:tc>
          <w:tcPr>
            <w:tcW w:w="1981" w:type="dxa"/>
            <w:tcBorders>
              <w:top w:val="single" w:color="auto" w:sz="4" w:space="0"/>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智能园区运营管理平台</w:t>
            </w:r>
          </w:p>
        </w:tc>
        <w:tc>
          <w:tcPr>
            <w:tcW w:w="945"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南安市</w:t>
            </w:r>
          </w:p>
        </w:tc>
        <w:tc>
          <w:tcPr>
            <w:tcW w:w="6233" w:type="dxa"/>
            <w:tcBorders>
              <w:top w:val="single" w:color="auto" w:sz="4" w:space="0"/>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通过信息技术、物联网技术、自动控制技术、传感器技术、数据分析与挖掘技术支撑物流园区业务活动的综合系统，通过数据采集，数据驱动，信息链接实现仓储、运输、配送等物流各环节互联互通，进而延伸至所有业务场景数字化。基于业务数字化，实现全过程透明可追溯，为客户输出多元化数据支持，帮助客户实时掌握货品状态，为客户提供入场离场的控制、运作线路的选择、库存水平的确定、库区库位的决策、补货时机的把握、自动分拣的运行、备库备货的时机等关键问题的深度分析与决策支持。项目实施完成后，预计智能园区整体运营效率提升1倍以上。</w:t>
            </w:r>
          </w:p>
        </w:tc>
        <w:tc>
          <w:tcPr>
            <w:tcW w:w="1342"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0.28</w:t>
            </w:r>
          </w:p>
        </w:tc>
        <w:tc>
          <w:tcPr>
            <w:tcW w:w="1866"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2020-2022</w:t>
            </w:r>
          </w:p>
        </w:tc>
        <w:tc>
          <w:tcPr>
            <w:tcW w:w="1145"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南安市人民政府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864" w:hRule="atLeast"/>
        </w:trPr>
        <w:tc>
          <w:tcPr>
            <w:tcW w:w="5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110</w:t>
            </w:r>
          </w:p>
        </w:tc>
        <w:tc>
          <w:tcPr>
            <w:tcW w:w="1981" w:type="dxa"/>
            <w:tcBorders>
              <w:top w:val="single" w:color="auto" w:sz="4" w:space="0"/>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智慧海洋（祥芝渔港公司渔港智能检测与综合管理平台）</w:t>
            </w:r>
          </w:p>
        </w:tc>
        <w:tc>
          <w:tcPr>
            <w:tcW w:w="945"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石狮市</w:t>
            </w:r>
          </w:p>
        </w:tc>
        <w:tc>
          <w:tcPr>
            <w:tcW w:w="6233" w:type="dxa"/>
            <w:tcBorders>
              <w:top w:val="single" w:color="auto" w:sz="4" w:space="0"/>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渔港管理系统建设，通过该系统平台实现智能调度渔港内的车辆、渔船、维护渔船有序靠泊、渔货装货秩序、管理渔船和船员、实时保障船只安全及船员的生命健康等。</w:t>
            </w:r>
          </w:p>
        </w:tc>
        <w:tc>
          <w:tcPr>
            <w:tcW w:w="1342"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0.15</w:t>
            </w:r>
          </w:p>
        </w:tc>
        <w:tc>
          <w:tcPr>
            <w:tcW w:w="1866"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2020-2021</w:t>
            </w:r>
          </w:p>
        </w:tc>
        <w:tc>
          <w:tcPr>
            <w:tcW w:w="1145"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石狮市人民政府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1728"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111</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小滴哥网络科技公务出行平台</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石狮市</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公务出行平台于2016年11月份开发完毕开始投入运营，主要为政企单位提供公务出行服务，通过“一张网”的信息化管理，打破信息孤岛，实现公务车的统一管理和调度，降本增效。目前服务范围覆盖省内外多地，平台各地服务管理的车辆总数已达3万多台，每日派车订单已超5000单，服务单位超8000家，用户数量超14万。</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0.2476</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2020-2021</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石狮市人民政府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1728"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112</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sz w:val="22"/>
              </w:rPr>
            </w:pPr>
            <w:r>
              <w:rPr>
                <w:rFonts w:ascii="Times New Roman" w:hAnsi="Times New Roman" w:eastAsia="仿宋_GB2312" w:cs="Times New Roman"/>
                <w:sz w:val="22"/>
              </w:rPr>
              <w:t>尚食云链工业互联网服务平台</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sz w:val="22"/>
              </w:rPr>
            </w:pPr>
            <w:r>
              <w:rPr>
                <w:rFonts w:ascii="Times New Roman" w:hAnsi="Times New Roman" w:eastAsia="仿宋_GB2312" w:cs="Times New Roman"/>
                <w:sz w:val="22"/>
              </w:rPr>
              <w:t>丰泽区</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sz w:val="22"/>
              </w:rPr>
            </w:pPr>
            <w:r>
              <w:rPr>
                <w:rFonts w:ascii="Times New Roman" w:hAnsi="Times New Roman" w:eastAsia="仿宋_GB2312" w:cs="Times New Roman"/>
                <w:sz w:val="22"/>
              </w:rPr>
              <w:t>“尚食云链”食品工业互联网服务平台由食品工业数字化建设、“食尚云采”食品原辅材料交易平台、综合业务服务以及“食尚商学院”食品行业总裁班四部分组成，依托互联网、云计算、大数据、区块链等先进的信息技术进行数据化、精细化管理，为食品企业技术改造升级提供数据支撑，整合优化产业供应链，保障食品安全，全面提升泉州市食品行业在全国的市场竞争力。</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sz w:val="22"/>
              </w:rPr>
            </w:pPr>
            <w:r>
              <w:rPr>
                <w:rFonts w:ascii="Times New Roman" w:hAnsi="Times New Roman" w:eastAsia="仿宋_GB2312" w:cs="Times New Roman"/>
                <w:sz w:val="22"/>
              </w:rPr>
              <w:t>2</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sz w:val="22"/>
              </w:rPr>
            </w:pPr>
            <w:r>
              <w:rPr>
                <w:rFonts w:ascii="Times New Roman" w:hAnsi="Times New Roman" w:eastAsia="仿宋_GB2312" w:cs="Times New Roman"/>
                <w:sz w:val="22"/>
              </w:rPr>
              <w:t>2021-2025</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sz w:val="22"/>
              </w:rPr>
            </w:pPr>
            <w:r>
              <w:rPr>
                <w:rFonts w:ascii="Times New Roman" w:hAnsi="Times New Roman" w:eastAsia="仿宋_GB2312" w:cs="Times New Roman"/>
                <w:sz w:val="22"/>
              </w:rPr>
              <w:t>丰泽区人民政府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76"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113</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sz w:val="22"/>
              </w:rPr>
            </w:pPr>
            <w:r>
              <w:rPr>
                <w:rFonts w:ascii="Times New Roman" w:hAnsi="Times New Roman" w:eastAsia="仿宋_GB2312" w:cs="Times New Roman"/>
                <w:sz w:val="22"/>
              </w:rPr>
              <w:t>时誉高精科技项目</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sz w:val="22"/>
              </w:rPr>
            </w:pPr>
            <w:r>
              <w:rPr>
                <w:rFonts w:ascii="Times New Roman" w:hAnsi="Times New Roman" w:eastAsia="仿宋_GB2312" w:cs="Times New Roman"/>
                <w:sz w:val="22"/>
              </w:rPr>
              <w:t>洛江区</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sz w:val="22"/>
              </w:rPr>
            </w:pPr>
            <w:r>
              <w:rPr>
                <w:rFonts w:ascii="Times New Roman" w:hAnsi="Times New Roman" w:eastAsia="仿宋_GB2312" w:cs="Times New Roman"/>
                <w:sz w:val="22"/>
              </w:rPr>
              <w:t>项目拟建设厂房10000平方米，用于生产销售电子产品，调光器，温控器，智能家居，计算机软件开发，汽车电子等。</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sz w:val="22"/>
              </w:rPr>
            </w:pPr>
            <w:r>
              <w:rPr>
                <w:rFonts w:ascii="Times New Roman" w:hAnsi="Times New Roman" w:eastAsia="仿宋_GB2312" w:cs="Times New Roman"/>
                <w:sz w:val="22"/>
              </w:rPr>
              <w:t>3</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sz w:val="22"/>
              </w:rPr>
            </w:pPr>
            <w:r>
              <w:rPr>
                <w:rFonts w:ascii="Times New Roman" w:hAnsi="Times New Roman" w:eastAsia="仿宋_GB2312" w:cs="Times New Roman"/>
                <w:sz w:val="22"/>
              </w:rPr>
              <w:t>2022-2024</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sz w:val="22"/>
              </w:rPr>
            </w:pPr>
            <w:r>
              <w:rPr>
                <w:rFonts w:ascii="Times New Roman" w:hAnsi="Times New Roman" w:eastAsia="仿宋_GB2312" w:cs="Times New Roman"/>
                <w:sz w:val="22"/>
              </w:rPr>
              <w:t>洛江区人民政府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864"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114</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sz w:val="22"/>
              </w:rPr>
            </w:pPr>
            <w:r>
              <w:rPr>
                <w:rFonts w:ascii="Times New Roman" w:hAnsi="Times New Roman" w:eastAsia="仿宋_GB2312" w:cs="Times New Roman"/>
                <w:sz w:val="22"/>
              </w:rPr>
              <w:t>芯片用化学机械CMP</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sz w:val="22"/>
              </w:rPr>
            </w:pPr>
            <w:r>
              <w:rPr>
                <w:rFonts w:ascii="Times New Roman" w:hAnsi="Times New Roman" w:eastAsia="仿宋_GB2312" w:cs="Times New Roman"/>
                <w:sz w:val="22"/>
              </w:rPr>
              <w:t>石狮市</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sz w:val="22"/>
              </w:rPr>
            </w:pPr>
            <w:r>
              <w:rPr>
                <w:rFonts w:ascii="Times New Roman" w:hAnsi="Times New Roman" w:eastAsia="仿宋_GB2312" w:cs="Times New Roman"/>
                <w:sz w:val="22"/>
              </w:rPr>
              <w:t>项目总投资2亿元，拟与广州市中山大学合作，由中山大学提供技术支持，投资生产芯片用化学机械CMP，年产值2亿元，年纳税800万元。</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sz w:val="22"/>
              </w:rPr>
            </w:pPr>
            <w:r>
              <w:rPr>
                <w:rFonts w:ascii="Times New Roman" w:hAnsi="Times New Roman" w:eastAsia="仿宋_GB2312" w:cs="Times New Roman"/>
                <w:sz w:val="22"/>
              </w:rPr>
              <w:t>2</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sz w:val="22"/>
              </w:rPr>
            </w:pPr>
            <w:r>
              <w:rPr>
                <w:rFonts w:ascii="Times New Roman" w:hAnsi="Times New Roman" w:eastAsia="仿宋_GB2312" w:cs="Times New Roman"/>
                <w:sz w:val="22"/>
              </w:rPr>
              <w:t>2022-2024</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sz w:val="22"/>
              </w:rPr>
            </w:pPr>
            <w:r>
              <w:rPr>
                <w:rFonts w:ascii="Times New Roman" w:hAnsi="Times New Roman" w:eastAsia="仿宋_GB2312" w:cs="Times New Roman"/>
                <w:sz w:val="22"/>
              </w:rPr>
              <w:t>石狮市人民政府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1440" w:hRule="atLeast"/>
        </w:trPr>
        <w:tc>
          <w:tcPr>
            <w:tcW w:w="5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115</w:t>
            </w:r>
          </w:p>
        </w:tc>
        <w:tc>
          <w:tcPr>
            <w:tcW w:w="1981" w:type="dxa"/>
            <w:tcBorders>
              <w:top w:val="single" w:color="auto" w:sz="4" w:space="0"/>
              <w:left w:val="nil"/>
              <w:bottom w:val="single" w:color="auto" w:sz="4" w:space="0"/>
              <w:right w:val="single" w:color="auto" w:sz="4" w:space="0"/>
            </w:tcBorders>
            <w:vAlign w:val="center"/>
          </w:tcPr>
          <w:p>
            <w:pPr>
              <w:rPr>
                <w:rFonts w:ascii="Times New Roman" w:hAnsi="Times New Roman" w:eastAsia="仿宋_GB2312" w:cs="Times New Roman"/>
                <w:sz w:val="22"/>
              </w:rPr>
            </w:pPr>
            <w:r>
              <w:rPr>
                <w:rFonts w:ascii="Times New Roman" w:hAnsi="Times New Roman" w:eastAsia="仿宋_GB2312" w:cs="Times New Roman"/>
                <w:sz w:val="22"/>
              </w:rPr>
              <w:t>跨理检测项目</w:t>
            </w:r>
          </w:p>
        </w:tc>
        <w:tc>
          <w:tcPr>
            <w:tcW w:w="945"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sz w:val="22"/>
              </w:rPr>
            </w:pPr>
            <w:r>
              <w:rPr>
                <w:rFonts w:ascii="Times New Roman" w:hAnsi="Times New Roman" w:eastAsia="仿宋_GB2312" w:cs="Times New Roman"/>
                <w:sz w:val="22"/>
              </w:rPr>
              <w:t>晋江市</w:t>
            </w:r>
          </w:p>
        </w:tc>
        <w:tc>
          <w:tcPr>
            <w:tcW w:w="6233" w:type="dxa"/>
            <w:tcBorders>
              <w:top w:val="single" w:color="auto" w:sz="4" w:space="0"/>
              <w:left w:val="nil"/>
              <w:bottom w:val="single" w:color="auto" w:sz="4" w:space="0"/>
              <w:right w:val="single" w:color="auto" w:sz="4" w:space="0"/>
            </w:tcBorders>
            <w:vAlign w:val="center"/>
          </w:tcPr>
          <w:p>
            <w:pPr>
              <w:rPr>
                <w:rFonts w:ascii="Times New Roman" w:hAnsi="Times New Roman" w:eastAsia="仿宋_GB2312" w:cs="Times New Roman"/>
                <w:sz w:val="22"/>
              </w:rPr>
            </w:pPr>
            <w:r>
              <w:rPr>
                <w:rFonts w:ascii="Times New Roman" w:hAnsi="Times New Roman" w:eastAsia="仿宋_GB2312" w:cs="Times New Roman"/>
                <w:sz w:val="22"/>
              </w:rPr>
              <w:t>由世界500强高管海归博士晋江乡贤蔡庆铭（具备CNAS审核员及国家级CMA审核员资格）投资。拟在各产业集群就近建设科技服务“便利店”，就近为社会企业提供检验检测、质量认证、计量测试、标准化、企业管理咨询、软件和信息技术等现代科技服务，促进企业升级转型。</w:t>
            </w:r>
          </w:p>
        </w:tc>
        <w:tc>
          <w:tcPr>
            <w:tcW w:w="1342"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sz w:val="22"/>
              </w:rPr>
            </w:pPr>
            <w:r>
              <w:rPr>
                <w:rFonts w:ascii="Times New Roman" w:hAnsi="Times New Roman" w:eastAsia="仿宋_GB2312" w:cs="Times New Roman"/>
                <w:sz w:val="22"/>
              </w:rPr>
              <w:t>2</w:t>
            </w:r>
          </w:p>
        </w:tc>
        <w:tc>
          <w:tcPr>
            <w:tcW w:w="1866"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sz w:val="22"/>
              </w:rPr>
            </w:pPr>
            <w:r>
              <w:rPr>
                <w:rFonts w:ascii="Times New Roman" w:hAnsi="Times New Roman" w:eastAsia="仿宋_GB2312" w:cs="Times New Roman"/>
                <w:sz w:val="22"/>
              </w:rPr>
              <w:t>2022-2023</w:t>
            </w:r>
          </w:p>
        </w:tc>
        <w:tc>
          <w:tcPr>
            <w:tcW w:w="1145"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sz w:val="22"/>
              </w:rPr>
            </w:pPr>
            <w:r>
              <w:rPr>
                <w:rFonts w:ascii="Times New Roman" w:hAnsi="Times New Roman" w:eastAsia="仿宋_GB2312" w:cs="Times New Roman"/>
                <w:sz w:val="22"/>
              </w:rPr>
              <w:t>晋江市人民政府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1440"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116</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sz w:val="22"/>
              </w:rPr>
            </w:pPr>
            <w:r>
              <w:rPr>
                <w:rFonts w:ascii="Times New Roman" w:hAnsi="Times New Roman" w:eastAsia="仿宋_GB2312" w:cs="Times New Roman"/>
                <w:sz w:val="22"/>
              </w:rPr>
              <w:t>洛江数字经济产业园（华为产业数字化创新孵化中心）项目</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sz w:val="22"/>
              </w:rPr>
            </w:pPr>
            <w:r>
              <w:rPr>
                <w:rFonts w:ascii="Times New Roman" w:hAnsi="Times New Roman" w:eastAsia="仿宋_GB2312" w:cs="Times New Roman"/>
                <w:sz w:val="22"/>
              </w:rPr>
              <w:t>洛江区</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sz w:val="22"/>
              </w:rPr>
            </w:pPr>
            <w:r>
              <w:rPr>
                <w:rFonts w:ascii="Times New Roman" w:hAnsi="Times New Roman" w:eastAsia="仿宋_GB2312" w:cs="Times New Roman"/>
                <w:sz w:val="22"/>
              </w:rPr>
              <w:t>项目占地82亩，拟建设洛江数字经济产业园，与华为公司共建“华为（洛江）产业数字化创新孵化中心”，依托华为品牌能力和在5G、AI、智能制造、工业互联网等先进技术，开展数字经济产业、5G智慧工厂等项目建设，打造一批产业数字化创新应用标杆企业，助推洛江产业数字化转型升级。</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sz w:val="22"/>
              </w:rPr>
            </w:pPr>
            <w:r>
              <w:rPr>
                <w:rFonts w:ascii="Times New Roman" w:hAnsi="Times New Roman" w:eastAsia="仿宋_GB2312" w:cs="Times New Roman"/>
                <w:sz w:val="22"/>
              </w:rPr>
              <w:t>6</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sz w:val="22"/>
              </w:rPr>
            </w:pPr>
            <w:r>
              <w:rPr>
                <w:rFonts w:ascii="Times New Roman" w:hAnsi="Times New Roman" w:eastAsia="仿宋_GB2312" w:cs="Times New Roman"/>
                <w:sz w:val="22"/>
              </w:rPr>
              <w:t>2023-2025</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sz w:val="22"/>
              </w:rPr>
            </w:pPr>
            <w:r>
              <w:rPr>
                <w:rFonts w:ascii="Times New Roman" w:hAnsi="Times New Roman" w:eastAsia="仿宋_GB2312" w:cs="Times New Roman"/>
                <w:sz w:val="22"/>
              </w:rPr>
              <w:t>洛江区人民政府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864"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117</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晋江工业产业大数据平台</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晋江市</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建设涵盖SAP海丝工业互联网（泉州）创新中心和华为（晋江）工业互联网云孵化中心的晋江工业产业大数据企业端平台，服务推动企业两化融合，为企业提供海量数据资源。</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1</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2021-2023</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晋江市人民政府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1152"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118</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石材大数据平台</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南安市</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建立石材制品和石材供应链数字化标准体系，建设石材工业互联网标识节点，研发石材大数据业务中台，开发石材应用机理模型，开放石材APP创新生态，开展石材产业SaaS服务，夯实石材产业数字化转型的基础，掌控石材产业转型升级的核心动能。</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2021-2023</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南安市人民政府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76"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119</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“兑了么”互联网平台</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丰泽区</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上接有积分的单位，下接可兑换和消费积分的线上或线下商家，为消费者提供实时实地积分兑换与消费服务的互联网平台。</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1</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2021-2025</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丰泽区人民政府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1440"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120</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信泰数字化运营平台</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晋江市</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信泰数字化运营平台通过物联网、大数据、云计算等技术进行平台模式创新、平台系统创新、平台技术创新，大幅度改善了集团流程、优化供应链决策、支持集团供应链和商业模式创新，能够助力于纺织行业、鞋业制造行业、智能可穿戴行业进行产业数字化升级，打造企业核心竞争能力。</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0.5</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2020-2023</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晋江市人民政府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864" w:hRule="atLeast"/>
        </w:trPr>
        <w:tc>
          <w:tcPr>
            <w:tcW w:w="5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121</w:t>
            </w:r>
          </w:p>
        </w:tc>
        <w:tc>
          <w:tcPr>
            <w:tcW w:w="1981" w:type="dxa"/>
            <w:tcBorders>
              <w:top w:val="single" w:color="auto" w:sz="4" w:space="0"/>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供应链金融</w:t>
            </w:r>
            <w:r>
              <w:rPr>
                <w:rFonts w:ascii="Times New Roman" w:hAnsi="Times New Roman" w:eastAsia="仿宋_GB2312" w:cs="Times New Roman"/>
                <w:color w:val="000000"/>
                <w:sz w:val="22"/>
              </w:rPr>
              <w:br w:type="textWrapping"/>
            </w:r>
            <w:r>
              <w:rPr>
                <w:rFonts w:ascii="Times New Roman" w:hAnsi="Times New Roman" w:eastAsia="仿宋_GB2312" w:cs="Times New Roman"/>
                <w:color w:val="000000"/>
                <w:sz w:val="22"/>
              </w:rPr>
              <w:t>“互联网+票据”</w:t>
            </w:r>
          </w:p>
        </w:tc>
        <w:tc>
          <w:tcPr>
            <w:tcW w:w="945"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晋江市</w:t>
            </w:r>
          </w:p>
        </w:tc>
        <w:tc>
          <w:tcPr>
            <w:tcW w:w="6233" w:type="dxa"/>
            <w:tcBorders>
              <w:top w:val="single" w:color="auto" w:sz="4" w:space="0"/>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依托供应链核心企业信用、真实交易背景和实物流，资金流，信息流闭环，为上下游企业提供无需抵押担保的“平台+金融+保险+企业”的具有民营企业特色的普惠金融。</w:t>
            </w:r>
          </w:p>
        </w:tc>
        <w:tc>
          <w:tcPr>
            <w:tcW w:w="1342"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 xml:space="preserve">1.00 </w:t>
            </w:r>
          </w:p>
        </w:tc>
        <w:tc>
          <w:tcPr>
            <w:tcW w:w="1866"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2019-2025</w:t>
            </w:r>
          </w:p>
        </w:tc>
        <w:tc>
          <w:tcPr>
            <w:tcW w:w="1145"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晋江市人民政府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1152"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122</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新华大数据</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安溪县</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平台依托遍布全球的新闻信息采集和服务网络，以及云技术、大数据、人工智能等先进技术，汇聚新华丝路、新华信用、新华舆情、新华AI等系统，为全球各大用户提供信息服务。</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0.5</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2019-2021</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安溪县人民政府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864"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123</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司雷农业大数据</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安溪县</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首创了生物信息对抗虫害防治原理和技术，并研制出了全球首套基于生物信息对抗技术的纯物理虫害防治系统，构建专业化的农业种植大数据平台。</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2019-2021</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安溪县人民政府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76"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124</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航天AI云天智脑平台</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安溪县</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开展军民融合项目建设，打造人工智能物联网云平台，可应用于疫情防控、城市应急管理、房屋安全监测等行业。</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2020-2023</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安溪县人民政府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864"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125</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石狮市产业互联大数据平台</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石狮市</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搭建产业互联平台，将整个产业链的上下游联通，包含硬件、软件、运营等。其中，咨询规划设计：500万元；硬件：500万元；软件定制开发：2000万元；产业运营服务：1000万元。共计4000万元。</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0.4</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2021-2021</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石狮市人民政府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1152"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126</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泉州市大数据综合应用服务项目</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泉州市</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在市政务数据汇聚与共享应用平台（一期）的工程基础上，建设二期及后续项目，构建市级公共数据资源开放平台和开发平台、大数据交易平台并向社会开放，形成市级“三平台一中心”。构建全市数据安全服务体系并为各大数据应用系统赋能。</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3.15</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2020-2025</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市大数据公司</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016"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127</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泉州市产业大脑综合服务项目</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泉州市</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依托大数据画像技术，构建全市产业景观、产景地图、产业图谱、风控雷达，并对重点产业园区进行画像。依托公共信用信息数据，对企业进行信用赋能，创新普惠金融应用。构建区块链可信溯源认证系统，对我市品牌农副产品、鞋服、陶瓷等各类产业进行从生产到物流传输再到销售的全过程进行跟踪溯源，提升企业品牌价值。构建工业智能引擎，提供数据工厂、算法工厂、应用工厂，推动企业转型升级，培育工业大数据产业生态体系。</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3</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2020-2025</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市大数据公司</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1440" w:hRule="atLeast"/>
        </w:trPr>
        <w:tc>
          <w:tcPr>
            <w:tcW w:w="5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128</w:t>
            </w:r>
          </w:p>
        </w:tc>
        <w:tc>
          <w:tcPr>
            <w:tcW w:w="1981" w:type="dxa"/>
            <w:tcBorders>
              <w:top w:val="single" w:color="auto" w:sz="4" w:space="0"/>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市数据汇聚平台二期项目</w:t>
            </w:r>
          </w:p>
        </w:tc>
        <w:tc>
          <w:tcPr>
            <w:tcW w:w="945"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泉州市</w:t>
            </w:r>
          </w:p>
        </w:tc>
        <w:tc>
          <w:tcPr>
            <w:tcW w:w="6233" w:type="dxa"/>
            <w:tcBorders>
              <w:top w:val="single" w:color="auto" w:sz="4" w:space="0"/>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主要实现市直部门、县（市、区）数据全量汇聚，整合一照一码、电子证照库，构建自然人、法人和智慧城市相关主题应用，集成省级平台相关服务资源，提升泉州市政务大数据资源中心的数据汇聚、共享和应用能力，构建完善数据安全体系，建设完善公共基础信息库。</w:t>
            </w:r>
          </w:p>
        </w:tc>
        <w:tc>
          <w:tcPr>
            <w:tcW w:w="1342"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0.15</w:t>
            </w:r>
          </w:p>
        </w:tc>
        <w:tc>
          <w:tcPr>
            <w:tcW w:w="1866"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2020-2021</w:t>
            </w:r>
          </w:p>
        </w:tc>
        <w:tc>
          <w:tcPr>
            <w:tcW w:w="1145"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市数字办</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1728"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129</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公共数据资源开发、开放平台</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泉州市</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持续梳理我市重点领域公共数据资源，明确开放内容及脱敏规则，力争2021年底前向社会公众开放公共数据资源表200张以上，进一步带动社会公众开展大数据创新应用。探索创新政务大数据开发运营模式，依托市级大数据运营公司进行数据一级开发和运营，促进数据资源政用、商用和民用，依法合规开展数据交易和服务。探索构建市级“三平台一中心”的公共数据资源开发利用体系。</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0.1</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2021-2023</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市数字办</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379" w:hRule="atLeast"/>
        </w:trPr>
        <w:tc>
          <w:tcPr>
            <w:tcW w:w="5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130</w:t>
            </w:r>
          </w:p>
        </w:tc>
        <w:tc>
          <w:tcPr>
            <w:tcW w:w="1981" w:type="dxa"/>
            <w:tcBorders>
              <w:top w:val="single" w:color="auto" w:sz="4" w:space="0"/>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无线泉州“大数据”一期工程</w:t>
            </w:r>
          </w:p>
        </w:tc>
        <w:tc>
          <w:tcPr>
            <w:tcW w:w="945"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泉州市</w:t>
            </w:r>
          </w:p>
        </w:tc>
        <w:tc>
          <w:tcPr>
            <w:tcW w:w="6233" w:type="dxa"/>
            <w:tcBorders>
              <w:top w:val="single" w:color="auto" w:sz="4" w:space="0"/>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通过对用户线上线下行为深度洞察，构建全面、精准、多维的用户画像体系，为APP提供丰富的用户画像数据以及实时的场景识别能力，帮助平台全方位了解用户并落地到实际场景，可将大数据后台分析所得用户所用的高频功能模块重新组合，实现“千人千面”的前端展示，最终将平台建成一个生活和政务一体化的融媒体生活中心。</w:t>
            </w:r>
          </w:p>
        </w:tc>
        <w:tc>
          <w:tcPr>
            <w:tcW w:w="1342"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0.124</w:t>
            </w:r>
          </w:p>
        </w:tc>
        <w:tc>
          <w:tcPr>
            <w:tcW w:w="1866"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2020-2021</w:t>
            </w:r>
          </w:p>
        </w:tc>
        <w:tc>
          <w:tcPr>
            <w:tcW w:w="1145"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泉州广播电视台</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1532"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131</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我答答便民商圈平台</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石狮市</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平台分为同城信息、便民服务、同城直播、美食外卖、休闲娱乐5大模块，打造城市便民生活总入口，通过大数据分析，智能推送相匹配的需求讯息给用户，使用户享受更多实惠，使商家获得更多流量，大数据应用赋能人们的生活更便捷更多彩。</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0.1</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2019-2022</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石狮市人民政府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76" w:hRule="atLeast"/>
        </w:trPr>
        <w:tc>
          <w:tcPr>
            <w:tcW w:w="5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132</w:t>
            </w:r>
          </w:p>
        </w:tc>
        <w:tc>
          <w:tcPr>
            <w:tcW w:w="1981" w:type="dxa"/>
            <w:tcBorders>
              <w:top w:val="single" w:color="auto" w:sz="4" w:space="0"/>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智能制造大数据云平台</w:t>
            </w:r>
          </w:p>
        </w:tc>
        <w:tc>
          <w:tcPr>
            <w:tcW w:w="945"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石狮市</w:t>
            </w:r>
          </w:p>
        </w:tc>
        <w:tc>
          <w:tcPr>
            <w:tcW w:w="6233" w:type="dxa"/>
            <w:tcBorders>
              <w:top w:val="single" w:color="auto" w:sz="4" w:space="0"/>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实现智能设备互联网、数据云收集。</w:t>
            </w:r>
          </w:p>
        </w:tc>
        <w:tc>
          <w:tcPr>
            <w:tcW w:w="1342"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0.1</w:t>
            </w:r>
          </w:p>
        </w:tc>
        <w:tc>
          <w:tcPr>
            <w:tcW w:w="1866"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2020-2025</w:t>
            </w:r>
          </w:p>
        </w:tc>
        <w:tc>
          <w:tcPr>
            <w:tcW w:w="1145"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石狮市人民政府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1440"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133</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工业互联网大数据平台</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泉州市</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基于工业互联网、5G、大数据、云计算、人工智能的技术和平台支撑，搭建工业互联网大数据平台，以此实现基础设备的全连接、作业过程的智能化控制、生产管理的信息共享、产供销的协同联动、市场投放的动态调节。</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0.2</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2021-2025</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电信泉州分公司</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016"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134</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基于鞋产业链条智能化公共服务平台</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丰泽区</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以建立和积累产业标准数据，发挥数据连接作用，服务鞋产业上中下游企业的工业电子商务综合服务平台，依靠多年沉淀积累的企业供应商数据、征信数据、商品数据，持续建设有深度内容频道以及专业垂直市场，主要提供撮合（在线）交易、网络商铺、产业大数据、品牌营销推广、信息资讯、鞋材精准匹配及供应链管理等互联网服务，促进了鞋行业上中下游各环节降低成本、提升效率，带动鞋业转型升级。</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0.15</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2021-2023</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丰泽区人民政府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1152"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135</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sz w:val="22"/>
              </w:rPr>
            </w:pPr>
            <w:r>
              <w:rPr>
                <w:rFonts w:ascii="Times New Roman" w:hAnsi="Times New Roman" w:eastAsia="仿宋_GB2312" w:cs="Times New Roman"/>
                <w:sz w:val="22"/>
              </w:rPr>
              <w:t>“云上泉州”数字金融综合服务平台</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sz w:val="22"/>
              </w:rPr>
            </w:pPr>
            <w:r>
              <w:rPr>
                <w:rFonts w:ascii="Times New Roman" w:hAnsi="Times New Roman" w:eastAsia="仿宋_GB2312" w:cs="Times New Roman"/>
                <w:sz w:val="22"/>
              </w:rPr>
              <w:t>泉州市</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sz w:val="22"/>
              </w:rPr>
            </w:pPr>
            <w:r>
              <w:rPr>
                <w:rFonts w:ascii="Times New Roman" w:hAnsi="Times New Roman" w:eastAsia="仿宋_GB2312" w:cs="Times New Roman"/>
                <w:sz w:val="22"/>
              </w:rPr>
              <w:t>以大数据技术为依托，信用信息为基础，搭建“云上泉州”数字金融服务平台，为我市中小企业、市属国有企业提供服务实体经济的云端数字桥梁。整合各级金融资源，建设市属国企线上供应链金融、云上泉州阳光采购综合金融服务、泉州拍E贷等各大板块落地。</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sz w:val="22"/>
              </w:rPr>
            </w:pPr>
            <w:r>
              <w:rPr>
                <w:rFonts w:ascii="Times New Roman" w:hAnsi="Times New Roman" w:eastAsia="仿宋_GB2312" w:cs="Times New Roman"/>
                <w:sz w:val="22"/>
              </w:rPr>
              <w:t>0.22</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sz w:val="22"/>
              </w:rPr>
            </w:pPr>
            <w:r>
              <w:rPr>
                <w:rFonts w:ascii="Times New Roman" w:hAnsi="Times New Roman" w:eastAsia="仿宋_GB2312" w:cs="Times New Roman"/>
                <w:sz w:val="22"/>
              </w:rPr>
              <w:t>2022-2024</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sz w:val="22"/>
              </w:rPr>
            </w:pPr>
            <w:r>
              <w:rPr>
                <w:rFonts w:ascii="Times New Roman" w:hAnsi="Times New Roman" w:eastAsia="仿宋_GB2312" w:cs="Times New Roman"/>
                <w:sz w:val="22"/>
              </w:rPr>
              <w:t>市金控集团</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1728"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136</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sz w:val="22"/>
              </w:rPr>
            </w:pPr>
            <w:r>
              <w:rPr>
                <w:rFonts w:ascii="Times New Roman" w:hAnsi="Times New Roman" w:eastAsia="仿宋_GB2312" w:cs="Times New Roman"/>
                <w:sz w:val="22"/>
              </w:rPr>
              <w:t>力同AES融合通讯系统云平台数据服务中心</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sz w:val="22"/>
              </w:rPr>
            </w:pPr>
            <w:r>
              <w:rPr>
                <w:rFonts w:ascii="Times New Roman" w:hAnsi="Times New Roman" w:eastAsia="仿宋_GB2312" w:cs="Times New Roman"/>
                <w:sz w:val="22"/>
              </w:rPr>
              <w:t>丰泽区</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sz w:val="22"/>
              </w:rPr>
            </w:pPr>
            <w:r>
              <w:rPr>
                <w:rFonts w:ascii="Times New Roman" w:hAnsi="Times New Roman" w:eastAsia="仿宋_GB2312" w:cs="Times New Roman"/>
                <w:sz w:val="22"/>
              </w:rPr>
              <w:t>项目总投资额10亿元，建设力同专网通信（无线对讲）产业基地，以自主研发的芯片及软件平台服务为切入点，与合作伙伴共建“云、管、端、芯”产业链生态。力同科技拥有SoC芯片设计、软件无线电设计及宽窄融合通讯系统等关键技术和知识产权，全世界70%的对讲机产自泉州，泉州100%对讲机的核心芯片产自力同科技。项目建成投产后，将进一步推动泉州市专网通信产业的升级及集聚发展。</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sz w:val="22"/>
              </w:rPr>
            </w:pPr>
            <w:r>
              <w:rPr>
                <w:rFonts w:ascii="Times New Roman" w:hAnsi="Times New Roman" w:eastAsia="仿宋_GB2312" w:cs="Times New Roman"/>
                <w:sz w:val="22"/>
              </w:rPr>
              <w:t>10</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sz w:val="22"/>
              </w:rPr>
            </w:pPr>
            <w:r>
              <w:rPr>
                <w:rFonts w:ascii="Times New Roman" w:hAnsi="Times New Roman" w:eastAsia="仿宋_GB2312" w:cs="Times New Roman"/>
                <w:sz w:val="22"/>
              </w:rPr>
              <w:t>2022-2026</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sz w:val="22"/>
              </w:rPr>
            </w:pPr>
            <w:r>
              <w:rPr>
                <w:rFonts w:ascii="Times New Roman" w:hAnsi="Times New Roman" w:eastAsia="仿宋_GB2312" w:cs="Times New Roman"/>
                <w:sz w:val="22"/>
              </w:rPr>
              <w:t>丰泽区人民政府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304" w:hRule="atLeast"/>
        </w:trPr>
        <w:tc>
          <w:tcPr>
            <w:tcW w:w="5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137</w:t>
            </w:r>
          </w:p>
        </w:tc>
        <w:tc>
          <w:tcPr>
            <w:tcW w:w="1981" w:type="dxa"/>
            <w:tcBorders>
              <w:top w:val="single" w:color="auto" w:sz="4" w:space="0"/>
              <w:left w:val="nil"/>
              <w:bottom w:val="single" w:color="auto" w:sz="4" w:space="0"/>
              <w:right w:val="single" w:color="auto" w:sz="4" w:space="0"/>
            </w:tcBorders>
            <w:vAlign w:val="center"/>
          </w:tcPr>
          <w:p>
            <w:pPr>
              <w:rPr>
                <w:rFonts w:ascii="Times New Roman" w:hAnsi="Times New Roman" w:eastAsia="仿宋_GB2312" w:cs="Times New Roman"/>
                <w:sz w:val="22"/>
              </w:rPr>
            </w:pPr>
            <w:r>
              <w:rPr>
                <w:rFonts w:ascii="Times New Roman" w:hAnsi="Times New Roman" w:eastAsia="仿宋_GB2312" w:cs="Times New Roman"/>
                <w:sz w:val="22"/>
              </w:rPr>
              <w:t>中国（泉州）电子商务大数据服务平台</w:t>
            </w:r>
          </w:p>
        </w:tc>
        <w:tc>
          <w:tcPr>
            <w:tcW w:w="945"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sz w:val="22"/>
              </w:rPr>
            </w:pPr>
            <w:r>
              <w:rPr>
                <w:rFonts w:ascii="Times New Roman" w:hAnsi="Times New Roman" w:eastAsia="仿宋_GB2312" w:cs="Times New Roman"/>
                <w:sz w:val="22"/>
              </w:rPr>
              <w:t>泉州市</w:t>
            </w:r>
          </w:p>
        </w:tc>
        <w:tc>
          <w:tcPr>
            <w:tcW w:w="6233" w:type="dxa"/>
            <w:tcBorders>
              <w:top w:val="single" w:color="auto" w:sz="4" w:space="0"/>
              <w:left w:val="nil"/>
              <w:bottom w:val="single" w:color="auto" w:sz="4" w:space="0"/>
              <w:right w:val="single" w:color="auto" w:sz="4" w:space="0"/>
            </w:tcBorders>
            <w:vAlign w:val="center"/>
          </w:tcPr>
          <w:p>
            <w:pPr>
              <w:rPr>
                <w:rFonts w:ascii="Times New Roman" w:hAnsi="Times New Roman" w:eastAsia="仿宋_GB2312" w:cs="Times New Roman"/>
                <w:sz w:val="22"/>
              </w:rPr>
            </w:pPr>
            <w:r>
              <w:rPr>
                <w:rFonts w:ascii="Times New Roman" w:hAnsi="Times New Roman" w:eastAsia="仿宋_GB2312" w:cs="Times New Roman"/>
                <w:sz w:val="22"/>
              </w:rPr>
              <w:t>平台搭建产业生态服务子平台、供应链聚合子平台、跨境电商服务子平台等，通过数字化平台建设，可聚合优质供应商，有利打造泉州本土品牌走向全国走向世界。同时通过网络交易大数据共享等手段，加强电商平台监管，保障消费者权益。实现对电子商务发展数据的多维度、动态化和个性化的分析和应用，致力于</w:t>
            </w:r>
            <w:r>
              <w:rPr>
                <w:rFonts w:hint="eastAsia" w:ascii="Times New Roman" w:hAnsi="Times New Roman" w:eastAsia="仿宋_GB2312" w:cs="Times New Roman"/>
                <w:sz w:val="22"/>
              </w:rPr>
              <w:t>有效地为</w:t>
            </w:r>
            <w:r>
              <w:rPr>
                <w:rFonts w:ascii="Times New Roman" w:hAnsi="Times New Roman" w:eastAsia="仿宋_GB2312" w:cs="Times New Roman"/>
                <w:sz w:val="22"/>
              </w:rPr>
              <w:t>政府行业管理、企业经营决策和社会创业创新等提供科学、全面、有效的大数据支撑。</w:t>
            </w:r>
          </w:p>
        </w:tc>
        <w:tc>
          <w:tcPr>
            <w:tcW w:w="1342"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sz w:val="22"/>
              </w:rPr>
            </w:pPr>
            <w:r>
              <w:rPr>
                <w:rFonts w:ascii="Times New Roman" w:hAnsi="Times New Roman" w:eastAsia="仿宋_GB2312" w:cs="Times New Roman"/>
                <w:sz w:val="22"/>
              </w:rPr>
              <w:t>1</w:t>
            </w:r>
          </w:p>
        </w:tc>
        <w:tc>
          <w:tcPr>
            <w:tcW w:w="1866"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sz w:val="22"/>
              </w:rPr>
            </w:pPr>
            <w:r>
              <w:rPr>
                <w:rFonts w:ascii="Times New Roman" w:hAnsi="Times New Roman" w:eastAsia="仿宋_GB2312" w:cs="Times New Roman"/>
                <w:sz w:val="22"/>
              </w:rPr>
              <w:t>2022-2023</w:t>
            </w:r>
          </w:p>
        </w:tc>
        <w:tc>
          <w:tcPr>
            <w:tcW w:w="1145"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sz w:val="22"/>
              </w:rPr>
            </w:pPr>
            <w:r>
              <w:rPr>
                <w:rFonts w:ascii="Times New Roman" w:hAnsi="Times New Roman" w:eastAsia="仿宋_GB2312" w:cs="Times New Roman"/>
                <w:sz w:val="22"/>
              </w:rPr>
              <w:t>市商务局</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864"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138</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泉州市智慧城管物联通管理平台</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泉州市</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平台包含城市物联通大平台、城市视频共享平台、城市管理应用平台，建立一套“市区县”统一标准的物联通，完成所有城市物联数据自动采集、互联互通、综合应用。</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0.345296</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2021-2022</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市城管局</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1152"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139</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泉州市公安局福建公安大数据中心泉州分中心平台建设项目</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泉州市</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遵循公安部大数据智能化建设的标准规范，主要建设内容包括：建设新一代公安信息网、公安云计算平台（含机房租赁）、公安大数据平台（包括泉州大数据中心和一组大数据智能化应用）、安全体系和运维体系。</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2021-2023</w:t>
            </w:r>
          </w:p>
        </w:tc>
        <w:tc>
          <w:tcPr>
            <w:tcW w:w="1145" w:type="dxa"/>
            <w:vMerge w:val="restart"/>
            <w:tcBorders>
              <w:top w:val="nil"/>
              <w:left w:val="single" w:color="auto" w:sz="4" w:space="0"/>
              <w:bottom w:val="nil"/>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市公安局</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1152"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140</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泉州市完善提升城市安全信息系统项目</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泉州市</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推进安防智慧小区建设，并提供城市安全信息系统1-6期的运维保障及新建内容的数据处理、系统优化、软件开发、电费支付、线路租赁等服务；基于智能感知大数据平台，扩展完善视频监控、语音识别、物联网、人工智能、大数据等前沿技术的多维融合应用。</w:t>
            </w:r>
          </w:p>
        </w:tc>
        <w:tc>
          <w:tcPr>
            <w:tcW w:w="1342"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sz w:val="22"/>
              </w:rPr>
              <w:t>6</w:t>
            </w:r>
          </w:p>
        </w:tc>
        <w:tc>
          <w:tcPr>
            <w:tcW w:w="1866" w:type="dxa"/>
            <w:tcBorders>
              <w:top w:val="nil"/>
              <w:left w:val="nil"/>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sz w:val="22"/>
              </w:rPr>
              <w:t>2019-2021</w:t>
            </w:r>
          </w:p>
        </w:tc>
        <w:tc>
          <w:tcPr>
            <w:tcW w:w="1145" w:type="dxa"/>
            <w:vMerge w:val="continue"/>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_GB2312" w:cs="Times New Roman"/>
                <w:color w:val="000000"/>
                <w:kern w:val="0"/>
                <w:sz w:val="22"/>
                <w:szCs w:val="24"/>
              </w:rPr>
            </w:pP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016" w:hRule="atLeast"/>
        </w:trPr>
        <w:tc>
          <w:tcPr>
            <w:tcW w:w="5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141</w:t>
            </w:r>
          </w:p>
        </w:tc>
        <w:tc>
          <w:tcPr>
            <w:tcW w:w="1981" w:type="dxa"/>
            <w:tcBorders>
              <w:top w:val="single" w:color="auto" w:sz="4" w:space="0"/>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泉州市道路运输车辆路面动态监管平台</w:t>
            </w:r>
          </w:p>
        </w:tc>
        <w:tc>
          <w:tcPr>
            <w:tcW w:w="945"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泉州市</w:t>
            </w:r>
          </w:p>
        </w:tc>
        <w:tc>
          <w:tcPr>
            <w:tcW w:w="6233" w:type="dxa"/>
            <w:tcBorders>
              <w:top w:val="single" w:color="auto" w:sz="4" w:space="0"/>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平台主要是为支队提供执法业务辅助应用，旨在通过汇聚整合各类物联感知数据、营运车辆信息、道路运输企业及从业人员信息等，形成执法数据中心，进行数据的治理、交换、共享，采用违法监测预警、移动执法监管、指挥调度、综合查询分析四大应用子系统架构，满足交通执法支队领导、各单位（科室、大队）领导、一线执法员、系统分级管理员等角色的业务使用需求。</w:t>
            </w:r>
          </w:p>
        </w:tc>
        <w:tc>
          <w:tcPr>
            <w:tcW w:w="1342"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0.158902</w:t>
            </w:r>
          </w:p>
        </w:tc>
        <w:tc>
          <w:tcPr>
            <w:tcW w:w="1866"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2020-2021</w:t>
            </w:r>
          </w:p>
        </w:tc>
        <w:tc>
          <w:tcPr>
            <w:tcW w:w="1145"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市交通运输局</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864"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142</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水资源综合调度平台</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泉州市</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项目主要建设内容包括已有信息人资源整合，站点补充建设、业务应用提档升级、保障体系完善，具体建设内容有水资源管理系统、水旱灾害防御系统两部分。</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0.3</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2020-2022</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市水利局</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864"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143</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市委党校新校区项目一期工程信息化建设项目</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泉州市</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项目的总体建设内容包括五个方面，主要是：一是校园信息设施系统建设；二是校园安全设施系统建设；三是建筑设备管理系统建设；四是校园个性化系统建设；五是配套工程。</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0.248663</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2016-2021</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市委党校</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016"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144</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泉州市“互联网+政务服务”一体化行政服务平台项目</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泉州市</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该项目采用“互联网+”理念，构建市、县、乡、村四级联动的“互联网+政务服务”一体化行政服务平台，实现“一号一窗一网”。建设内容主要包括自助办事终端、多功能一体机、软件开发（共34个系统）、接口开发（系统对接）、软件集成实施服务（含各县市区一体化平台定制）及硬件集成实施服务等6部分，其中，软件开发主要由政务服务门户、政务服务管理平台、业务办理平台、政务服务数据共享平台四部分组成。</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0.9229</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2019-2021</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市行政服务中心管委会</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1728"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145</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泉州市应急管理信息化建设项目　</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泉州市</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项目拟分三期建设：第一期为基础建设，主要完成应急指挥中心规划设计、装修及办公等保障配套，同步完成信息化基础设施建设、业务应用架构设计和相关成员单位信息系统的接入与共享，并同步规范配套安可建设；第二期为信息化完善，主要完成应急管理综合平台、应急指挥信息系统及移动终端等配套建设；第三期为提质升级，重点完成应急管理信息化三年规划框架确定的后续目标任务。</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1.5</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2021-2025</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市应急局　</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98" w:hRule="atLeast"/>
        </w:trPr>
        <w:tc>
          <w:tcPr>
            <w:tcW w:w="5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146</w:t>
            </w:r>
          </w:p>
        </w:tc>
        <w:tc>
          <w:tcPr>
            <w:tcW w:w="1981" w:type="dxa"/>
            <w:tcBorders>
              <w:top w:val="single" w:color="auto" w:sz="4" w:space="0"/>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泉州市房屋管理综合信息平台</w:t>
            </w:r>
          </w:p>
        </w:tc>
        <w:tc>
          <w:tcPr>
            <w:tcW w:w="945"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泉州市</w:t>
            </w:r>
          </w:p>
        </w:tc>
        <w:tc>
          <w:tcPr>
            <w:tcW w:w="6233" w:type="dxa"/>
            <w:tcBorders>
              <w:top w:val="single" w:color="auto" w:sz="4" w:space="0"/>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项目拟分二期建设：第一期建设房屋建筑工程网格化管理平台，汇聚房屋全生命周期信息数据，构建房屋建筑工程网格化管理平台，打造“1+1+3”房屋安全监管体系，涵盖一个房屋数据处理中台，一套基础环境支撑，三大专项业务领域，从根本上解决“信息孤岛”“调度困难”“监测繁、巡查慢、处置难”等问题；第二期建设智慧房地产综合监管服务平台，构建符合“信创”技术要求，集技术一体化、数据一体化、业务一体化、网络一体化的泉州市智慧房地产综合监管服务平台，平台系统模块包含楼盘表管理、房屋面积管理、房屋预售许可现售备案、房屋网签备案、交易资金监管、住房租赁管理、物业管理、住房专项维修资金监管、住房保障、房屋征收安置、老旧小区改造管理、从业主体管理、房地产市场监测分析等各类房地产业务办理系统。</w:t>
            </w:r>
          </w:p>
        </w:tc>
        <w:tc>
          <w:tcPr>
            <w:tcW w:w="1342"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0.85</w:t>
            </w:r>
          </w:p>
        </w:tc>
        <w:tc>
          <w:tcPr>
            <w:tcW w:w="1866"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2022-2022</w:t>
            </w:r>
          </w:p>
        </w:tc>
        <w:tc>
          <w:tcPr>
            <w:tcW w:w="1145"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市住建局</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016"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147</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泉州市资源规划综合信息平台</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泉州市</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项目拟分二期建设：第一期以生态文明建设为目标，开展国土空间规划基础信息平台、“一张图”实施监督系统和业务审批一体化系统建设，形成统一的自然资源和规划空间数据体系，有效提升空间数据和基础功能服务能力，形成一站式政务综合服务平台。第二期完善平台，建设自然资源资产管理、调查监测、生态修复、大数据辅助决策分析等系统，增强自然资源资产管理、动态监测、智能监管、防灾减灾及科学决策能力，持续提升政务服务能力。</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0.76</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2021-2025</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市资源规划局</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1440"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148</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泉州医学高等专科学校附属人民医院二期综合病房大楼综合信息化及功能配套建设项目</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泉州市</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包括智能化、网络安全等级保护系统、医疗应用软件配套等项目建设。</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0.3736</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2020-2021</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医高专附属人民医院</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864" w:hRule="atLeast"/>
        </w:trPr>
        <w:tc>
          <w:tcPr>
            <w:tcW w:w="5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149</w:t>
            </w:r>
          </w:p>
        </w:tc>
        <w:tc>
          <w:tcPr>
            <w:tcW w:w="1981" w:type="dxa"/>
            <w:tcBorders>
              <w:top w:val="single" w:color="auto" w:sz="4" w:space="0"/>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泉州市应急广播系统项目</w:t>
            </w:r>
          </w:p>
        </w:tc>
        <w:tc>
          <w:tcPr>
            <w:tcW w:w="945"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泉州市</w:t>
            </w:r>
          </w:p>
        </w:tc>
        <w:tc>
          <w:tcPr>
            <w:tcW w:w="6233" w:type="dxa"/>
            <w:tcBorders>
              <w:top w:val="single" w:color="auto" w:sz="4" w:space="0"/>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建设泉州市应急广播平台，实现与上级应急广播平台、本级预警信息发布系统、县级应急广播平台、乡村应急终端设备互联互通的应急广播体系。</w:t>
            </w:r>
          </w:p>
        </w:tc>
        <w:tc>
          <w:tcPr>
            <w:tcW w:w="1342"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0.1</w:t>
            </w:r>
          </w:p>
        </w:tc>
        <w:tc>
          <w:tcPr>
            <w:tcW w:w="1866"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2021-2024</w:t>
            </w:r>
          </w:p>
        </w:tc>
        <w:tc>
          <w:tcPr>
            <w:tcW w:w="1145"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市文旅局</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1152"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150</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泉州市教育云平台</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泉州市</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构建“覆盖全市、标准统一、互联互通”的教育大数据体系，建设具有可视化、智能化，具有数据采集、数据治理、数据存储、数据计算的泉州市教育云平台，实现全市教育大数据的常态化、可视化、一体化管理。</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0.7</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2021-2025</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市教育局</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2016"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151</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泉州市营商环境优化综合分析及决策支持平台</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泉州市</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通过建设营商环境检测督导系统、营商环境优化挖掘分析系统、营商环境优化政企互动系统、营商环境优化产业决策系统、营商环境优化效益分析系统，以及后台运维管理系统、综合数据资源中心建设、数据交互接口平台建设等，为政府部门和企业提供“找差距”“便互动”“帮决策”“追效益”等服务，建成集互动、分析与决策为一体的全方位、个性化的营商环境优化分析及决策平台。</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0.2206</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2022-2023</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市发改委</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1152"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152</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泉州市城市大脑建设项目</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泉州市</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在政务云平台和政务数据汇聚共享平台两大基础平台上，整合利用全市交通、警务、应急指挥、消防、安监、环保、市政、产业运行等领域数据，打造城市统一中枢，建设新型智慧城市运营指挥中枢平台。</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2.5</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2018-2025</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市数字办</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1440"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153</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泉州水务大脑项目</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泉州市</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建立水务大脑统一运营管理中心，围绕水务场景定做的解决方案开放平台，实现统一的入口、统一身份管理体系、统一认证、统一开放平台、统一算法模型库、统一应用中心，为水务行业相关用户提供常用水务场景基础平台、内涵丰富的水务场景模型应用市场及水务类APP等。</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10</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2020-2025</w:t>
            </w:r>
          </w:p>
        </w:tc>
        <w:tc>
          <w:tcPr>
            <w:tcW w:w="1145" w:type="dxa"/>
            <w:tcBorders>
              <w:top w:val="nil"/>
              <w:left w:val="nil"/>
              <w:bottom w:val="single" w:color="auto" w:sz="4" w:space="0"/>
              <w:right w:val="single" w:color="auto" w:sz="4" w:space="0"/>
            </w:tcBorders>
            <w:vAlign w:val="center"/>
          </w:tcPr>
          <w:p>
            <w:pPr>
              <w:jc w:val="center"/>
              <w:rPr>
                <w:rFonts w:hint="eastAsia" w:ascii="Times New Roman" w:hAnsi="Times New Roman" w:eastAsia="仿宋_GB2312" w:cs="Times New Roman"/>
                <w:color w:val="000000"/>
                <w:sz w:val="22"/>
              </w:rPr>
            </w:pPr>
            <w:r>
              <w:rPr>
                <w:rFonts w:hint="eastAsia" w:ascii="Times New Roman" w:hAnsi="Times New Roman" w:eastAsia="仿宋_GB2312" w:cs="Times New Roman"/>
                <w:color w:val="000000"/>
                <w:sz w:val="22"/>
              </w:rPr>
              <w:t>泉州水务集团</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66" w:hRule="atLeast"/>
        </w:trPr>
        <w:tc>
          <w:tcPr>
            <w:tcW w:w="5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154</w:t>
            </w:r>
          </w:p>
        </w:tc>
        <w:tc>
          <w:tcPr>
            <w:tcW w:w="1981" w:type="dxa"/>
            <w:tcBorders>
              <w:top w:val="single" w:color="auto" w:sz="4" w:space="0"/>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泉服务移动便民一体化平台</w:t>
            </w:r>
          </w:p>
        </w:tc>
        <w:tc>
          <w:tcPr>
            <w:tcW w:w="945"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泉州市</w:t>
            </w:r>
          </w:p>
        </w:tc>
        <w:tc>
          <w:tcPr>
            <w:tcW w:w="6233" w:type="dxa"/>
            <w:tcBorders>
              <w:top w:val="single" w:color="auto" w:sz="4" w:space="0"/>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在现有“闽政通”泉服务小程序基础上，进一步整合泉政务、泉民生、泉应用、泉信用等领域各类政务应用服务和便民服务，及各县级门户，打造独立的泉服务APP，作为移动便民一体化平台。</w:t>
            </w:r>
          </w:p>
        </w:tc>
        <w:tc>
          <w:tcPr>
            <w:tcW w:w="1342"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0.5</w:t>
            </w:r>
          </w:p>
        </w:tc>
        <w:tc>
          <w:tcPr>
            <w:tcW w:w="1866"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2020-2025</w:t>
            </w:r>
          </w:p>
        </w:tc>
        <w:tc>
          <w:tcPr>
            <w:tcW w:w="1145"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市大数据公司</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864" w:hRule="atLeast"/>
        </w:trPr>
        <w:tc>
          <w:tcPr>
            <w:tcW w:w="5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155</w:t>
            </w:r>
          </w:p>
        </w:tc>
        <w:tc>
          <w:tcPr>
            <w:tcW w:w="1981" w:type="dxa"/>
            <w:tcBorders>
              <w:top w:val="single" w:color="auto" w:sz="4" w:space="0"/>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泉州市智慧交通项目包</w:t>
            </w:r>
          </w:p>
        </w:tc>
        <w:tc>
          <w:tcPr>
            <w:tcW w:w="945"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泉州市</w:t>
            </w:r>
          </w:p>
        </w:tc>
        <w:tc>
          <w:tcPr>
            <w:tcW w:w="6233" w:type="dxa"/>
            <w:tcBorders>
              <w:top w:val="single" w:color="auto" w:sz="4" w:space="0"/>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建设泉州交通基础设施大数据资源中心、泉州市交通运输运行监测调度中心、泉州市智慧交通综合出行平台等，以及“互联网+”社会服务平台-泉城通平台、智慧公交大脑、自行车网等项目。</w:t>
            </w:r>
          </w:p>
        </w:tc>
        <w:tc>
          <w:tcPr>
            <w:tcW w:w="1342"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16.55</w:t>
            </w:r>
          </w:p>
        </w:tc>
        <w:tc>
          <w:tcPr>
            <w:tcW w:w="1866"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2021-2025</w:t>
            </w:r>
          </w:p>
        </w:tc>
        <w:tc>
          <w:tcPr>
            <w:tcW w:w="1145" w:type="dxa"/>
            <w:tcBorders>
              <w:top w:val="single" w:color="auto" w:sz="4" w:space="0"/>
              <w:left w:val="nil"/>
              <w:bottom w:val="single" w:color="auto" w:sz="4" w:space="0"/>
              <w:right w:val="single" w:color="auto" w:sz="4" w:space="0"/>
            </w:tcBorders>
            <w:vAlign w:val="center"/>
          </w:tcPr>
          <w:p>
            <w:pPr>
              <w:jc w:val="center"/>
              <w:rPr>
                <w:rFonts w:hint="eastAsia" w:ascii="Times New Roman" w:hAnsi="Times New Roman" w:eastAsia="仿宋_GB2312" w:cs="Times New Roman"/>
                <w:color w:val="000000"/>
                <w:sz w:val="22"/>
              </w:rPr>
            </w:pPr>
            <w:r>
              <w:rPr>
                <w:rFonts w:hint="eastAsia" w:ascii="Times New Roman" w:hAnsi="Times New Roman" w:eastAsia="仿宋_GB2312" w:cs="Times New Roman"/>
                <w:color w:val="000000"/>
                <w:sz w:val="22"/>
              </w:rPr>
              <w:t>泉州交通发展集团</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864"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156</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洛江智慧城区提升工程</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洛江区</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建设智慧城区数据中心、智慧公共服务、智慧社区、智慧教育、智慧医疗、智慧交通、智慧停车、智慧监控等相关网络基础性建设和信息资源及其应用型信息系统的开发利用。</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2021-2025</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洛江区人民政府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1440"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157</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石狮智慧城市综合项目包</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石狮市</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主要建设综合信息网、大数据运营支持平台、网格化综合管理服务中心、“互联网+”智慧</w:t>
            </w:r>
            <w:r>
              <w:rPr>
                <w:rFonts w:hint="eastAsia" w:ascii="Times New Roman" w:hAnsi="Times New Roman" w:eastAsia="仿宋_GB2312" w:cs="Times New Roman"/>
                <w:color w:val="000000"/>
                <w:sz w:val="22"/>
              </w:rPr>
              <w:t>应用</w:t>
            </w:r>
            <w:r>
              <w:rPr>
                <w:rFonts w:ascii="Times New Roman" w:hAnsi="Times New Roman" w:eastAsia="仿宋_GB2312" w:cs="Times New Roman"/>
                <w:color w:val="000000"/>
                <w:sz w:val="22"/>
              </w:rPr>
              <w:t>领域体系，以及智慧石狮一期项目，包括智慧水务、智慧时空（空间地理）、智慧充电桩、智慧石狮管控指挥平台、石狮市公安局指挥中心升级改造（二级应急指挥中心）、不动产登记信息升级改造、智慧交通等。</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9.64</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2019-2026</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石狮市人民政府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76"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158</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南安市智慧城市建设项目</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南安市</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数据中心，两个体系、智慧工业、智慧应急、智慧政务、智慧城管、智慧交通、智慧教育、智慧医疗、智慧社区、智慧文旅。</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2.4383</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2020-2022</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南安市人民政府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1152"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159</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惠安县智慧城市项目</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惠安县</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运用大数据、5G、物联网等技术建设包括四大基础模块和六大行业智慧应用。四大基础模块包括城市运行中心、基础网络、云计算中心和信息安全保障模块；六大行业智慧应用包括智慧政务、公共安全、智慧城管、智慧医疗、智慧旅游和智慧交通。</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4.8</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2020-2022</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惠安县人民政府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76"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160</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惠安县电动汽车充电基础设施及配套项目</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惠安县</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分阶段在全县范围内开展公共充电基础设施及配套项目建设，并逐步整合辖区内公共充电基础设施建设、维护、管理、运营业务。</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1.32</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2019-2024</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惠安县人民政府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864" w:hRule="atLeast"/>
        </w:trPr>
        <w:tc>
          <w:tcPr>
            <w:tcW w:w="56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161</w:t>
            </w:r>
          </w:p>
        </w:tc>
        <w:tc>
          <w:tcPr>
            <w:tcW w:w="1981" w:type="dxa"/>
            <w:tcBorders>
              <w:top w:val="single" w:color="auto" w:sz="4" w:space="0"/>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永春县城市大脑项目</w:t>
            </w:r>
          </w:p>
        </w:tc>
        <w:tc>
          <w:tcPr>
            <w:tcW w:w="945"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永春县</w:t>
            </w:r>
          </w:p>
        </w:tc>
        <w:tc>
          <w:tcPr>
            <w:tcW w:w="6233" w:type="dxa"/>
            <w:tcBorders>
              <w:top w:val="single" w:color="auto" w:sz="4" w:space="0"/>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项目将搭建“以大数据计算资源平台为依托、以数据汇聚整合为手段、以智能算法业务引擎为支撑、以纵向垂直专项场景建设为目标”的永春县城市大脑大数据综合服务体系。</w:t>
            </w:r>
          </w:p>
        </w:tc>
        <w:tc>
          <w:tcPr>
            <w:tcW w:w="1342"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3</w:t>
            </w:r>
          </w:p>
        </w:tc>
        <w:tc>
          <w:tcPr>
            <w:tcW w:w="1866"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2020-2023</w:t>
            </w:r>
          </w:p>
        </w:tc>
        <w:tc>
          <w:tcPr>
            <w:tcW w:w="1145" w:type="dxa"/>
            <w:tcBorders>
              <w:top w:val="single" w:color="auto" w:sz="4" w:space="0"/>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永春县人民政府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576"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162</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德化县智慧城市建设项目</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德化县</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主要是推进信息基础设施建设、数字信息服务产业建设、智慧应用建设、建立规范的标准建设、运营和保障建设五个方面。</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3</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2021-2025</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德化县人民政府</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1152"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163</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泉州开发区智慧园区建设</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泉州开发区</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打造“1+2+3+N”智慧园区体系,即：“1”，以“数字孪生开发区”为建设统揽，“2”，以软件、硬件为建设支撑，“3”以政务管理、经济服务、民生需求为建设导向，“N”以推动若干场景应用开发为建设内容。</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0.5</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2020-2025</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泉州开发区管委会</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864"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164</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泉州市“智慧消防”大脑建设项目</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泉州市</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推广BIM建筑消防信息建模、CIM城市消防信息建模。搭建”智慧消防“信息平台，全面形成“火灾防控多元共治、应急救援科学智能、战勤保障精准高效、公众服务普惠便捷”的新格局。</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0.65</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2021-2024</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市消防救援支队</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1440"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165</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数字孪生智能城市的物联感知底座</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泉州市</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以全域感知为基础，以开放共享为理念，以高效实用为原则。高起点、高标准建设城市物联感知平台，形成全域、全时、互联互通的感知体系，有效支撑城市生命线、城市部件、公共安全、生态环境、民生服务等重点领域，实现数字孪生智能城市的基础支撑平台。</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0.5</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2021-2025</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移动泉州分公司</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1728"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166</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城市物联网感知平台　</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泉州市</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城市物联网感知平台分别以SaaS和PaaS两种云计算模式互相结合为用户和第三方应用提供服务：（1）提供通用的多场景物联网应用，仅需为用户分配账号，即可对接入的硬件设备进行管理。（2）提供快速对接能力，同时输出场景化应用封装接口，为第三方应用赋能，满足用户多元化的需求和缩短垂直领域应用的开发周期。</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0.2</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2021-2025</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电信泉州分公司</w:t>
            </w:r>
          </w:p>
        </w:tc>
        <w:tc>
          <w:tcPr>
            <w:tcW w:w="236" w:type="dxa"/>
            <w:vAlign w:val="center"/>
          </w:tcPr>
          <w:p>
            <w:pPr>
              <w:widowControl/>
              <w:jc w:val="left"/>
              <w:rPr>
                <w:rFonts w:ascii="Times New Roman" w:hAnsi="Times New Roman" w:eastAsia="Times New Roman" w:cs="Times New Roman"/>
                <w:kern w:val="0"/>
                <w:sz w:val="20"/>
                <w:szCs w:val="20"/>
              </w:rPr>
            </w:pPr>
          </w:p>
        </w:tc>
      </w:tr>
      <w:tr>
        <w:tblPrEx>
          <w:tblCellMar>
            <w:top w:w="0" w:type="dxa"/>
            <w:left w:w="108" w:type="dxa"/>
            <w:bottom w:w="0" w:type="dxa"/>
            <w:right w:w="108" w:type="dxa"/>
          </w:tblCellMar>
        </w:tblPrEx>
        <w:trPr>
          <w:trHeight w:val="864" w:hRule="atLeast"/>
        </w:trPr>
        <w:tc>
          <w:tcPr>
            <w:tcW w:w="566"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_GB2312" w:cs="Times New Roman"/>
                <w:color w:val="000000"/>
                <w:kern w:val="0"/>
                <w:sz w:val="22"/>
                <w:szCs w:val="24"/>
              </w:rPr>
            </w:pPr>
            <w:r>
              <w:rPr>
                <w:rFonts w:ascii="Times New Roman" w:hAnsi="Times New Roman" w:eastAsia="仿宋_GB2312" w:cs="Times New Roman"/>
                <w:color w:val="000000"/>
                <w:kern w:val="0"/>
                <w:sz w:val="22"/>
                <w:szCs w:val="24"/>
              </w:rPr>
              <w:t>167</w:t>
            </w:r>
          </w:p>
        </w:tc>
        <w:tc>
          <w:tcPr>
            <w:tcW w:w="1981"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智慧社区服务平台</w:t>
            </w:r>
          </w:p>
        </w:tc>
        <w:tc>
          <w:tcPr>
            <w:tcW w:w="9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鲤城区</w:t>
            </w:r>
          </w:p>
        </w:tc>
        <w:tc>
          <w:tcPr>
            <w:tcW w:w="6233" w:type="dxa"/>
            <w:tcBorders>
              <w:top w:val="nil"/>
              <w:left w:val="nil"/>
              <w:bottom w:val="single" w:color="auto" w:sz="4" w:space="0"/>
              <w:right w:val="single" w:color="auto" w:sz="4" w:space="0"/>
            </w:tcBorders>
            <w:vAlign w:val="center"/>
          </w:tcPr>
          <w:p>
            <w:pPr>
              <w:rPr>
                <w:rFonts w:ascii="Times New Roman" w:hAnsi="Times New Roman" w:eastAsia="仿宋_GB2312" w:cs="Times New Roman"/>
                <w:color w:val="000000"/>
                <w:sz w:val="22"/>
              </w:rPr>
            </w:pPr>
            <w:r>
              <w:rPr>
                <w:rFonts w:ascii="Times New Roman" w:hAnsi="Times New Roman" w:eastAsia="仿宋_GB2312" w:cs="Times New Roman"/>
                <w:color w:val="000000"/>
                <w:sz w:val="22"/>
              </w:rPr>
              <w:t>以社区信息化平台为依托，建成智慧康养综合解决方案，实现全民健康监测、智慧居家服务、健康文化传承及智能机器人应用的数字化社区服务平台。</w:t>
            </w:r>
          </w:p>
        </w:tc>
        <w:tc>
          <w:tcPr>
            <w:tcW w:w="1342"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0.35</w:t>
            </w:r>
          </w:p>
        </w:tc>
        <w:tc>
          <w:tcPr>
            <w:tcW w:w="1866"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2020-2021</w:t>
            </w:r>
          </w:p>
        </w:tc>
        <w:tc>
          <w:tcPr>
            <w:tcW w:w="1145" w:type="dxa"/>
            <w:tcBorders>
              <w:top w:val="nil"/>
              <w:left w:val="nil"/>
              <w:bottom w:val="single" w:color="auto" w:sz="4" w:space="0"/>
              <w:right w:val="single" w:color="auto" w:sz="4" w:space="0"/>
            </w:tcBorders>
            <w:vAlign w:val="center"/>
          </w:tcPr>
          <w:p>
            <w:pPr>
              <w:jc w:val="center"/>
              <w:rPr>
                <w:rFonts w:ascii="Times New Roman" w:hAnsi="Times New Roman" w:eastAsia="仿宋_GB2312" w:cs="Times New Roman"/>
                <w:color w:val="000000"/>
                <w:sz w:val="22"/>
              </w:rPr>
            </w:pPr>
            <w:r>
              <w:rPr>
                <w:rFonts w:ascii="Times New Roman" w:hAnsi="Times New Roman" w:eastAsia="仿宋_GB2312" w:cs="Times New Roman"/>
                <w:color w:val="000000"/>
                <w:sz w:val="22"/>
              </w:rPr>
              <w:t>鲤城区人民政府</w:t>
            </w:r>
          </w:p>
        </w:tc>
        <w:tc>
          <w:tcPr>
            <w:tcW w:w="236" w:type="dxa"/>
            <w:vAlign w:val="center"/>
          </w:tcPr>
          <w:p>
            <w:pPr>
              <w:widowControl/>
              <w:jc w:val="left"/>
              <w:rPr>
                <w:rFonts w:ascii="Times New Roman" w:hAnsi="Times New Roman" w:eastAsia="Times New Roman" w:cs="Times New Roman"/>
                <w:kern w:val="0"/>
                <w:sz w:val="20"/>
                <w:szCs w:val="20"/>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003F01FF" w:csb1="00000000"/>
  </w:font>
  <w:font w:name="华文仿宋">
    <w:panose1 w:val="02010600040101010101"/>
    <w:charset w:val="86"/>
    <w:family w:val="auto"/>
    <w:pitch w:val="default"/>
    <w:sig w:usb0="00000287" w:usb1="080F0000" w:usb2="00000000" w:usb3="00000000" w:csb0="0004009F" w:csb1="DFD70000"/>
  </w:font>
  <w:font w:name="方正小标宋简体">
    <w:altName w:val="方正舒体"/>
    <w:panose1 w:val="03000509000000000000"/>
    <w:charset w:val="86"/>
    <w:family w:val="script"/>
    <w:pitch w:val="default"/>
    <w:sig w:usb0="00000000" w:usb1="00000000" w:usb2="00000010" w:usb3="00000000" w:csb0="00040000" w:csb1="00000000"/>
  </w:font>
  <w:font w:name="方正黑体简体">
    <w:altName w:val="微软雅黑"/>
    <w:panose1 w:val="02010601030101010101"/>
    <w:charset w:val="86"/>
    <w:family w:val="auto"/>
    <w:pitch w:val="default"/>
    <w:sig w:usb0="00000000" w:usb1="00000000" w:usb2="00000010" w:usb3="00000000" w:csb0="00040000" w:csb1="00000000"/>
  </w:font>
  <w:font w:name="方正楷体简体">
    <w:altName w:val="宋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after="72"/>
      <w:ind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after="7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after="72"/>
      <w:ind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after="72"/>
      <w:ind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after="72"/>
      <w:ind w:firstLine="360"/>
    </w:pPr>
    <w:r>
      <w:rPr>
        <w:lang w:val="en-US" w:eastAsia="zh-CN"/>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622935" cy="230505"/>
              <wp:effectExtent l="0" t="0" r="0" b="0"/>
              <wp:wrapNone/>
              <wp:docPr id="2" name="文本框 17"/>
              <wp:cNvGraphicFramePr/>
              <a:graphic xmlns:a="http://schemas.openxmlformats.org/drawingml/2006/main">
                <a:graphicData uri="http://schemas.microsoft.com/office/word/2010/wordprocessingShape">
                  <wps:wsp>
                    <wps:cNvSpPr txBox="1">
                      <a:spLocks noChangeArrowheads="1"/>
                    </wps:cNvSpPr>
                    <wps:spPr bwMode="auto">
                      <a:xfrm>
                        <a:off x="0" y="0"/>
                        <a:ext cx="622935" cy="230505"/>
                      </a:xfrm>
                      <a:prstGeom prst="rect">
                        <a:avLst/>
                      </a:prstGeom>
                      <a:noFill/>
                      <a:ln>
                        <a:noFill/>
                      </a:ln>
                      <a:effectLst/>
                    </wps:spPr>
                    <wps:txbx>
                      <w:txbxContent>
                        <w:p>
                          <w:pPr>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en-US" w:eastAsia="zh-CN"/>
                            </w:rPr>
                            <w:t>6</w:t>
                          </w:r>
                          <w:r>
                            <w:rPr>
                              <w:rFonts w:ascii="宋体" w:hAnsi="宋体"/>
                              <w:sz w:val="28"/>
                              <w:szCs w:val="28"/>
                            </w:rPr>
                            <w:fldChar w:fldCharType="end"/>
                          </w:r>
                          <w:r>
                            <w:rPr>
                              <w:rFonts w:ascii="宋体" w:hAnsi="宋体"/>
                              <w:sz w:val="28"/>
                              <w:szCs w:val="28"/>
                            </w:rPr>
                            <w:t xml:space="preserve"> —</w:t>
                          </w:r>
                        </w:p>
                      </w:txbxContent>
                    </wps:txbx>
                    <wps:bodyPr rot="0" vert="horz" wrap="none" lIns="0" tIns="0" rIns="0" bIns="0" anchor="t" anchorCtr="0" upright="1">
                      <a:spAutoFit/>
                    </wps:bodyPr>
                  </wps:wsp>
                </a:graphicData>
              </a:graphic>
            </wp:anchor>
          </w:drawing>
        </mc:Choice>
        <mc:Fallback>
          <w:pict>
            <v:shape id="文本框 17" o:spid="_x0000_s1026" o:spt="202" type="#_x0000_t202" style="position:absolute;left:0pt;margin-top:0pt;height:18.15pt;width:49.05pt;mso-position-horizontal:outside;mso-position-horizontal-relative:margin;mso-wrap-style:none;z-index:251661312;mso-width-relative:page;mso-height-relative:page;" filled="f" stroked="f" coordsize="21600,21600" o:gfxdata="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IMzMV0QAAAAMBAAAPAAAAAAAAAAEAIAAAACIA&#10;AABkcnMvZG93bnJldi54bWxQSwECFAAUAAAACACHTuJAriEtGRACAAARBAAADgAAAAAAAAABACAA&#10;AAAgAQAAZHJzL2Uyb0RvYy54bWxQSwUGAAAAAAYABgBZAQAAogUAAAAA&#10;">
              <v:fill on="f" focussize="0,0"/>
              <v:stroke on="f"/>
              <v:imagedata o:title=""/>
              <o:lock v:ext="edit" aspectratio="f"/>
              <v:textbox inset="0mm,0mm,0mm,0mm" style="mso-fit-shape-to-text:t;">
                <w:txbxContent>
                  <w:p>
                    <w:pPr>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en-US" w:eastAsia="zh-CN"/>
                      </w:rPr>
                      <w:t>6</w:t>
                    </w:r>
                    <w:r>
                      <w:rPr>
                        <w:rFonts w:ascii="宋体" w:hAnsi="宋体"/>
                        <w:sz w:val="28"/>
                        <w:szCs w:val="28"/>
                      </w:rPr>
                      <w:fldChar w:fldCharType="end"/>
                    </w:r>
                    <w:r>
                      <w:rPr>
                        <w:rFonts w:ascii="宋体" w:hAnsi="宋体"/>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after="72"/>
      <w:ind w:firstLine="360"/>
    </w:pPr>
    <w:r>
      <w:rPr>
        <w:lang w:val="en-US" w:eastAsia="zh-CN"/>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386715" cy="230505"/>
              <wp:effectExtent l="0" t="0" r="0" b="0"/>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386715" cy="230505"/>
                      </a:xfrm>
                      <a:prstGeom prst="rect">
                        <a:avLst/>
                      </a:prstGeom>
                      <a:noFill/>
                      <a:ln>
                        <a:noFill/>
                      </a:ln>
                      <a:effectLst/>
                    </wps:spPr>
                    <wps:txbx>
                      <w:txbxContent>
                        <w:p/>
                      </w:txbxContent>
                    </wps:txbx>
                    <wps:bodyPr rot="0" vert="horz" wrap="none" lIns="0" tIns="0" rIns="0" bIns="0" anchor="t" anchorCtr="0">
                      <a:spAutoFit/>
                    </wps:bodyPr>
                  </wps:wsp>
                </a:graphicData>
              </a:graphic>
            </wp:anchor>
          </w:drawing>
        </mc:Choice>
        <mc:Fallback>
          <w:pict>
            <v:shape id="_x0000_s1026" o:spid="_x0000_s1026" o:spt="202" type="#_x0000_t202" style="position:absolute;left:0pt;margin-top:0pt;height:18.15pt;width:30.45pt;mso-position-horizontal:outside;mso-position-horizontal-relative:margin;mso-wrap-style:none;z-index:251660288;mso-width-relative:page;mso-height-relative:page;" filled="f" stroked="f" coordsize="21600,21600" o:gfxdata="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1waSG0QAAAAMBAAAPAAAAAAAAAAEAIAAAACIAAABkcnMv&#10;ZG93bnJldi54bWxQSwECFAAUAAAACACHTuJARHSH5goCAAAEBAAADgAAAAAAAAABACAAAAAgAQAA&#10;ZHJzL2Uyb0RvYy54bWxQSwUGAAAAAAYABgBZAQAAnAUAAAAA&#10;">
              <v:fill on="f" focussize="0,0"/>
              <v:stroke on="f"/>
              <v:imagedata o:title=""/>
              <o:lock v:ext="edit" aspectratio="f"/>
              <v:textbox inset="0mm,0mm,0mm,0mm" style="mso-fit-shape-to-text:t;">
                <w:txbxContent>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after="72"/>
      <w:ind w:firstLine="360"/>
    </w:pPr>
    <w:r>
      <w:rPr>
        <w:lang w:val="en-US" w:eastAsia="zh-CN"/>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711835" cy="230505"/>
              <wp:effectExtent l="0" t="0" r="0" b="0"/>
              <wp:wrapNone/>
              <wp:docPr id="1" name="文本框 4"/>
              <wp:cNvGraphicFramePr/>
              <a:graphic xmlns:a="http://schemas.openxmlformats.org/drawingml/2006/main">
                <a:graphicData uri="http://schemas.microsoft.com/office/word/2010/wordprocessingShape">
                  <wps:wsp>
                    <wps:cNvSpPr txBox="1">
                      <a:spLocks noChangeArrowheads="1"/>
                    </wps:cNvSpPr>
                    <wps:spPr bwMode="auto">
                      <a:xfrm>
                        <a:off x="0" y="0"/>
                        <a:ext cx="711835" cy="230505"/>
                      </a:xfrm>
                      <a:prstGeom prst="rect">
                        <a:avLst/>
                      </a:prstGeom>
                      <a:noFill/>
                      <a:ln>
                        <a:noFill/>
                      </a:ln>
                      <a:effectLst/>
                    </wps:spPr>
                    <wps:txbx>
                      <w:txbxContent>
                        <w:p>
                          <w:pPr>
                            <w:pStyle w:val="16"/>
                            <w:rPr>
                              <w:rFonts w:ascii="宋体"/>
                              <w:sz w:val="28"/>
                              <w:szCs w:val="28"/>
                            </w:rPr>
                          </w:pPr>
                          <w:r>
                            <w:rPr>
                              <w:rFonts w:hint="eastAsia" w:ascii="宋体"/>
                              <w:sz w:val="28"/>
                              <w:szCs w:val="28"/>
                            </w:rPr>
                            <w:t xml:space="preserve">— </w:t>
                          </w:r>
                          <w:r>
                            <w:rPr>
                              <w:rFonts w:hint="eastAsia" w:ascii="宋体"/>
                              <w:sz w:val="28"/>
                              <w:szCs w:val="28"/>
                            </w:rPr>
                            <w:fldChar w:fldCharType="begin"/>
                          </w:r>
                          <w:r>
                            <w:rPr>
                              <w:rFonts w:hint="eastAsia" w:ascii="宋体"/>
                              <w:sz w:val="28"/>
                              <w:szCs w:val="28"/>
                            </w:rPr>
                            <w:instrText xml:space="preserve"> PAGE  \* MERGEFORMAT </w:instrText>
                          </w:r>
                          <w:r>
                            <w:rPr>
                              <w:rFonts w:hint="eastAsia" w:ascii="宋体"/>
                              <w:sz w:val="28"/>
                              <w:szCs w:val="28"/>
                            </w:rPr>
                            <w:fldChar w:fldCharType="separate"/>
                          </w:r>
                          <w:r>
                            <w:rPr>
                              <w:rFonts w:ascii="宋体"/>
                              <w:sz w:val="28"/>
                              <w:szCs w:val="28"/>
                              <w:lang w:val="en-US" w:eastAsia="zh-CN"/>
                            </w:rPr>
                            <w:t>35</w:t>
                          </w:r>
                          <w:r>
                            <w:rPr>
                              <w:rFonts w:hint="eastAsia" w:ascii="宋体"/>
                              <w:sz w:val="28"/>
                              <w:szCs w:val="28"/>
                            </w:rPr>
                            <w:fldChar w:fldCharType="end"/>
                          </w:r>
                          <w:r>
                            <w:rPr>
                              <w:rFonts w:hint="eastAsia" w:ascii="宋体"/>
                              <w:sz w:val="28"/>
                              <w:szCs w:val="28"/>
                            </w:rPr>
                            <w:t xml:space="preserve"> —</w:t>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top:0pt;height:18.15pt;width:56.05pt;mso-position-horizontal:outside;mso-position-horizontal-relative:margin;mso-wrap-style:none;z-index:251659264;mso-width-relative:page;mso-height-relative:page;" filled="f" stroked="f" coordsize="21600,21600" o:gfxdata="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VEvMtEAAAAEAQAADwAAAAAAAAABACAAAAAiAAAA&#10;ZHJzL2Rvd25yZXYueG1sUEsBAhQAFAAAAAgAh07iQBDSefIOAgAAEAQAAA4AAAAAAAAAAQAgAAAA&#10;IAEAAGRycy9lMm9Eb2MueG1sUEsFBgAAAAAGAAYAWQEAAKAFAAAAAA==&#10;">
              <v:fill on="f" focussize="0,0"/>
              <v:stroke on="f"/>
              <v:imagedata o:title=""/>
              <o:lock v:ext="edit" aspectratio="f"/>
              <v:textbox inset="0mm,0mm,0mm,0mm" style="mso-fit-shape-to-text:t;">
                <w:txbxContent>
                  <w:p>
                    <w:pPr>
                      <w:pStyle w:val="16"/>
                      <w:rPr>
                        <w:rFonts w:ascii="宋体"/>
                        <w:sz w:val="28"/>
                        <w:szCs w:val="28"/>
                      </w:rPr>
                    </w:pPr>
                    <w:r>
                      <w:rPr>
                        <w:rFonts w:hint="eastAsia" w:ascii="宋体"/>
                        <w:sz w:val="28"/>
                        <w:szCs w:val="28"/>
                      </w:rPr>
                      <w:t xml:space="preserve">— </w:t>
                    </w:r>
                    <w:r>
                      <w:rPr>
                        <w:rFonts w:hint="eastAsia" w:ascii="宋体"/>
                        <w:sz w:val="28"/>
                        <w:szCs w:val="28"/>
                      </w:rPr>
                      <w:fldChar w:fldCharType="begin"/>
                    </w:r>
                    <w:r>
                      <w:rPr>
                        <w:rFonts w:hint="eastAsia" w:ascii="宋体"/>
                        <w:sz w:val="28"/>
                        <w:szCs w:val="28"/>
                      </w:rPr>
                      <w:instrText xml:space="preserve"> PAGE  \* MERGEFORMAT </w:instrText>
                    </w:r>
                    <w:r>
                      <w:rPr>
                        <w:rFonts w:hint="eastAsia" w:ascii="宋体"/>
                        <w:sz w:val="28"/>
                        <w:szCs w:val="28"/>
                      </w:rPr>
                      <w:fldChar w:fldCharType="separate"/>
                    </w:r>
                    <w:r>
                      <w:rPr>
                        <w:rFonts w:ascii="宋体"/>
                        <w:sz w:val="28"/>
                        <w:szCs w:val="28"/>
                        <w:lang w:val="en-US" w:eastAsia="zh-CN"/>
                      </w:rPr>
                      <w:t>35</w:t>
                    </w:r>
                    <w:r>
                      <w:rPr>
                        <w:rFonts w:hint="eastAsia" w:ascii="宋体"/>
                        <w:sz w:val="28"/>
                        <w:szCs w:val="28"/>
                      </w:rPr>
                      <w:fldChar w:fldCharType="end"/>
                    </w:r>
                    <w:r>
                      <w:rPr>
                        <w:rFonts w:hint="eastAsia" w:ascii="宋体"/>
                        <w:sz w:val="28"/>
                        <w:szCs w:val="28"/>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rPr>
        <w:rFonts w:ascii="宋体" w:cs="宋体"/>
        <w:sz w:val="28"/>
        <w:szCs w:val="28"/>
      </w:rPr>
    </w:pPr>
    <w:r>
      <w:rPr>
        <w:rFonts w:hint="eastAsia" w:ascii="宋体" w:cs="宋体"/>
        <w:sz w:val="28"/>
        <w:szCs w:val="28"/>
      </w:rPr>
      <w:t>-</w:t>
    </w:r>
    <w:r>
      <w:rPr>
        <w:rFonts w:hint="eastAsia" w:ascii="宋体" w:cs="宋体"/>
        <w:sz w:val="28"/>
        <w:szCs w:val="28"/>
      </w:rPr>
      <w:fldChar w:fldCharType="begin"/>
    </w:r>
    <w:r>
      <w:rPr>
        <w:rFonts w:hint="eastAsia" w:ascii="宋体" w:cs="宋体"/>
        <w:sz w:val="28"/>
        <w:szCs w:val="28"/>
      </w:rPr>
      <w:instrText xml:space="preserve"> page </w:instrText>
    </w:r>
    <w:r>
      <w:rPr>
        <w:rFonts w:hint="eastAsia" w:ascii="宋体" w:cs="宋体"/>
        <w:sz w:val="28"/>
        <w:szCs w:val="28"/>
      </w:rPr>
      <w:fldChar w:fldCharType="separate"/>
    </w:r>
    <w:r>
      <w:rPr>
        <w:rFonts w:ascii="宋体" w:cs="宋体"/>
        <w:sz w:val="28"/>
        <w:szCs w:val="28"/>
      </w:rPr>
      <w:t>62</w:t>
    </w:r>
    <w:r>
      <w:rPr>
        <w:rFonts w:hint="eastAsia" w:ascii="宋体" w:cs="宋体"/>
        <w:sz w:val="28"/>
        <w:szCs w:val="28"/>
      </w:rPr>
      <w:fldChar w:fldCharType="end"/>
    </w:r>
    <w:r>
      <w:rPr>
        <w:rFonts w:hint="eastAsia" w:ascii="宋体" w:cs="宋体"/>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spacing w:after="72"/>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专栏 %1"/>
      <w:lvlJc w:val="center"/>
      <w:pPr>
        <w:ind w:left="420" w:hanging="420"/>
      </w:pPr>
      <w:rPr>
        <w:rFonts w:hint="eastAsia" w:eastAsia="楷体_GB2312"/>
        <w:b/>
        <w:bCs w:val="0"/>
        <w:sz w:val="28"/>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4NGU4MjM3NzRmMmE5NTYyZDQzZGY3YmU4NGExMzIifQ=="/>
  </w:docVars>
  <w:rsids>
    <w:rsidRoot w:val="00D663E3"/>
    <w:rsid w:val="00AD0DDB"/>
    <w:rsid w:val="00B75392"/>
    <w:rsid w:val="00BF55F8"/>
    <w:rsid w:val="00D663E3"/>
    <w:rsid w:val="797919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0" w:semiHidden="0" w:name="Emphasis"/>
    <w:lsdException w:unhideWhenUsed="0" w:uiPriority="0" w:semiHidden="0"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5"/>
    <w:qFormat/>
    <w:uiPriority w:val="0"/>
    <w:pPr>
      <w:keepNext/>
      <w:keepLines/>
      <w:spacing w:line="576" w:lineRule="auto"/>
      <w:outlineLvl w:val="0"/>
    </w:pPr>
    <w:rPr>
      <w:rFonts w:ascii="Times New Roman" w:hAnsi="Times New Roman" w:eastAsia="宋体" w:cs="Times New Roman"/>
      <w:b/>
      <w:kern w:val="44"/>
      <w:sz w:val="44"/>
      <w:szCs w:val="20"/>
    </w:rPr>
  </w:style>
  <w:style w:type="paragraph" w:styleId="3">
    <w:name w:val="heading 2"/>
    <w:basedOn w:val="1"/>
    <w:next w:val="1"/>
    <w:link w:val="36"/>
    <w:qFormat/>
    <w:uiPriority w:val="9"/>
    <w:pPr>
      <w:keepNext/>
      <w:keepLines/>
      <w:spacing w:before="260" w:after="260" w:line="415" w:lineRule="auto"/>
      <w:outlineLvl w:val="1"/>
    </w:pPr>
    <w:rPr>
      <w:rFonts w:ascii="Cambria" w:hAnsi="Cambria" w:eastAsia="宋体" w:cs="Times New Roman"/>
      <w:b/>
      <w:bCs/>
      <w:sz w:val="32"/>
      <w:szCs w:val="32"/>
    </w:rPr>
  </w:style>
  <w:style w:type="paragraph" w:styleId="4">
    <w:name w:val="heading 3"/>
    <w:basedOn w:val="1"/>
    <w:next w:val="1"/>
    <w:link w:val="37"/>
    <w:qFormat/>
    <w:uiPriority w:val="9"/>
    <w:pPr>
      <w:keepNext/>
      <w:keepLines/>
      <w:spacing w:before="260" w:after="260" w:line="415" w:lineRule="auto"/>
      <w:outlineLvl w:val="2"/>
    </w:pPr>
    <w:rPr>
      <w:rFonts w:ascii="Times New Roman" w:hAnsi="Times New Roman" w:eastAsia="宋体" w:cs="Times New Roman"/>
      <w:b/>
      <w:sz w:val="32"/>
      <w:szCs w:val="24"/>
    </w:rPr>
  </w:style>
  <w:style w:type="paragraph" w:styleId="5">
    <w:name w:val="heading 4"/>
    <w:basedOn w:val="1"/>
    <w:next w:val="1"/>
    <w:link w:val="38"/>
    <w:qFormat/>
    <w:uiPriority w:val="9"/>
    <w:pPr>
      <w:keepNext/>
      <w:keepLines/>
      <w:spacing w:beforeLines="50" w:afterLines="50" w:line="360" w:lineRule="auto"/>
      <w:ind w:firstLine="200" w:firstLineChars="200"/>
      <w:outlineLvl w:val="3"/>
    </w:pPr>
    <w:rPr>
      <w:rFonts w:ascii="Times New Roman" w:hAnsi="Times New Roman" w:eastAsia="黑体" w:cs="Times New Roman"/>
      <w:bCs/>
      <w:color w:val="000000"/>
      <w:sz w:val="28"/>
      <w:szCs w:val="28"/>
    </w:rPr>
  </w:style>
  <w:style w:type="paragraph" w:styleId="6">
    <w:name w:val="heading 5"/>
    <w:basedOn w:val="1"/>
    <w:next w:val="1"/>
    <w:link w:val="39"/>
    <w:qFormat/>
    <w:uiPriority w:val="9"/>
    <w:pPr>
      <w:keepNext/>
      <w:keepLines/>
      <w:spacing w:before="280" w:after="290" w:line="376" w:lineRule="auto"/>
      <w:outlineLvl w:val="4"/>
    </w:pPr>
    <w:rPr>
      <w:rFonts w:ascii="等线" w:hAnsi="等线" w:eastAsia="等线" w:cs="Times New Roman"/>
      <w:b/>
      <w:bCs/>
      <w:sz w:val="28"/>
      <w:szCs w:val="28"/>
    </w:rPr>
  </w:style>
  <w:style w:type="paragraph" w:styleId="7">
    <w:name w:val="heading 6"/>
    <w:basedOn w:val="1"/>
    <w:next w:val="1"/>
    <w:link w:val="40"/>
    <w:qFormat/>
    <w:uiPriority w:val="0"/>
    <w:pPr>
      <w:keepNext/>
      <w:keepLines/>
      <w:spacing w:before="240" w:afterLines="30" w:line="319" w:lineRule="auto"/>
      <w:ind w:firstLine="200" w:firstLineChars="200"/>
      <w:outlineLvl w:val="5"/>
    </w:pPr>
    <w:rPr>
      <w:rFonts w:ascii="等线 Light" w:hAnsi="Times New Roman" w:eastAsia="等线 Light" w:cs="Times New Roman"/>
      <w:b/>
      <w:bCs/>
      <w:color w:val="000000"/>
      <w:sz w:val="24"/>
      <w:szCs w:val="24"/>
    </w:rPr>
  </w:style>
  <w:style w:type="character" w:default="1" w:styleId="26">
    <w:name w:val="Default Paragraph Font"/>
    <w:semiHidden/>
    <w:unhideWhenUsed/>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8">
    <w:name w:val="caption"/>
    <w:basedOn w:val="1"/>
    <w:next w:val="1"/>
    <w:autoRedefine/>
    <w:qFormat/>
    <w:uiPriority w:val="0"/>
    <w:pPr>
      <w:spacing w:afterLines="30" w:line="300" w:lineRule="auto"/>
      <w:ind w:firstLine="200" w:firstLineChars="200"/>
    </w:pPr>
    <w:rPr>
      <w:rFonts w:ascii="等线 Light" w:hAnsi="等线 Light" w:eastAsia="黑体" w:cs="Times New Roman"/>
      <w:color w:val="000000"/>
      <w:sz w:val="20"/>
      <w:szCs w:val="20"/>
    </w:rPr>
  </w:style>
  <w:style w:type="paragraph" w:styleId="9">
    <w:name w:val="Document Map"/>
    <w:basedOn w:val="1"/>
    <w:link w:val="43"/>
    <w:uiPriority w:val="0"/>
    <w:pPr>
      <w:spacing w:afterLines="30" w:line="300" w:lineRule="auto"/>
      <w:ind w:firstLine="200" w:firstLineChars="200"/>
    </w:pPr>
    <w:rPr>
      <w:rFonts w:ascii="宋体" w:hAnsi="Times New Roman" w:eastAsia="宋体" w:cs="Times New Roman"/>
      <w:color w:val="000000"/>
      <w:sz w:val="18"/>
      <w:szCs w:val="18"/>
    </w:rPr>
  </w:style>
  <w:style w:type="paragraph" w:styleId="10">
    <w:name w:val="annotation text"/>
    <w:basedOn w:val="1"/>
    <w:link w:val="44"/>
    <w:qFormat/>
    <w:uiPriority w:val="99"/>
    <w:pPr>
      <w:jc w:val="left"/>
    </w:pPr>
    <w:rPr>
      <w:rFonts w:ascii="仿宋_GB2312" w:hAnsi="Times New Roman" w:eastAsia="仿宋_GB2312" w:cs="Times New Roman"/>
      <w:sz w:val="24"/>
    </w:rPr>
  </w:style>
  <w:style w:type="paragraph" w:styleId="11">
    <w:name w:val="Body Text"/>
    <w:basedOn w:val="1"/>
    <w:link w:val="45"/>
    <w:autoRedefine/>
    <w:qFormat/>
    <w:uiPriority w:val="0"/>
    <w:pPr>
      <w:spacing w:after="120"/>
    </w:pPr>
    <w:rPr>
      <w:rFonts w:ascii="Times New Roman" w:hAnsi="Times New Roman" w:eastAsia="宋体" w:cs="Times New Roman"/>
      <w:szCs w:val="24"/>
    </w:rPr>
  </w:style>
  <w:style w:type="paragraph" w:styleId="12">
    <w:name w:val="Body Text Indent"/>
    <w:basedOn w:val="1"/>
    <w:link w:val="41"/>
    <w:unhideWhenUsed/>
    <w:qFormat/>
    <w:uiPriority w:val="0"/>
    <w:pPr>
      <w:spacing w:after="120"/>
      <w:ind w:left="420" w:leftChars="200"/>
    </w:pPr>
    <w:rPr>
      <w:rFonts w:ascii="Times New Roman" w:hAnsi="Times New Roman" w:eastAsia="宋体" w:cs="Times New Roman"/>
      <w:szCs w:val="24"/>
    </w:rPr>
  </w:style>
  <w:style w:type="paragraph" w:styleId="13">
    <w:name w:val="toc 3"/>
    <w:basedOn w:val="1"/>
    <w:next w:val="1"/>
    <w:autoRedefine/>
    <w:qFormat/>
    <w:uiPriority w:val="39"/>
    <w:pPr>
      <w:ind w:left="400" w:leftChars="400"/>
    </w:pPr>
    <w:rPr>
      <w:rFonts w:ascii="Times New Roman" w:hAnsi="Times New Roman" w:eastAsia="宋体" w:cs="Times New Roman"/>
      <w:szCs w:val="24"/>
    </w:rPr>
  </w:style>
  <w:style w:type="paragraph" w:styleId="14">
    <w:name w:val="Date"/>
    <w:basedOn w:val="1"/>
    <w:next w:val="1"/>
    <w:link w:val="46"/>
    <w:qFormat/>
    <w:uiPriority w:val="99"/>
    <w:pPr>
      <w:spacing w:afterLines="30" w:line="300" w:lineRule="auto"/>
      <w:ind w:left="2500" w:leftChars="2500" w:firstLine="200" w:firstLineChars="200"/>
    </w:pPr>
    <w:rPr>
      <w:rFonts w:ascii="Times New Roman" w:hAnsi="Times New Roman" w:eastAsia="宋体" w:cs="Times New Roman"/>
      <w:color w:val="000000"/>
      <w:sz w:val="24"/>
      <w:szCs w:val="21"/>
    </w:rPr>
  </w:style>
  <w:style w:type="paragraph" w:styleId="15">
    <w:name w:val="Balloon Text"/>
    <w:basedOn w:val="1"/>
    <w:link w:val="47"/>
    <w:qFormat/>
    <w:uiPriority w:val="99"/>
    <w:rPr>
      <w:rFonts w:ascii="Times New Roman" w:hAnsi="Times New Roman" w:eastAsia="宋体" w:cs="Times New Roman"/>
      <w:kern w:val="0"/>
      <w:sz w:val="18"/>
      <w:szCs w:val="18"/>
    </w:rPr>
  </w:style>
  <w:style w:type="paragraph" w:styleId="16">
    <w:name w:val="footer"/>
    <w:basedOn w:val="1"/>
    <w:link w:val="34"/>
    <w:unhideWhenUsed/>
    <w:qFormat/>
    <w:uiPriority w:val="99"/>
    <w:pPr>
      <w:tabs>
        <w:tab w:val="center" w:pos="4153"/>
        <w:tab w:val="right" w:pos="8306"/>
      </w:tabs>
      <w:snapToGrid w:val="0"/>
      <w:jc w:val="left"/>
    </w:pPr>
    <w:rPr>
      <w:sz w:val="18"/>
      <w:szCs w:val="18"/>
    </w:rPr>
  </w:style>
  <w:style w:type="paragraph" w:styleId="17">
    <w:name w:val="header"/>
    <w:basedOn w:val="1"/>
    <w:link w:val="33"/>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rPr>
      <w:rFonts w:ascii="Times New Roman" w:hAnsi="Times New Roman" w:eastAsia="宋体" w:cs="Times New Roman"/>
      <w:sz w:val="28"/>
      <w:szCs w:val="24"/>
    </w:rPr>
  </w:style>
  <w:style w:type="paragraph" w:styleId="19">
    <w:name w:val="toc 2"/>
    <w:basedOn w:val="1"/>
    <w:next w:val="1"/>
    <w:qFormat/>
    <w:uiPriority w:val="39"/>
    <w:pPr>
      <w:ind w:left="200" w:leftChars="200"/>
    </w:pPr>
    <w:rPr>
      <w:rFonts w:ascii="Times New Roman" w:hAnsi="Times New Roman" w:eastAsia="宋体" w:cs="Times New Roman"/>
      <w:szCs w:val="24"/>
    </w:rPr>
  </w:style>
  <w:style w:type="paragraph" w:styleId="20">
    <w:name w:val="HTML Preformatted"/>
    <w:basedOn w:val="1"/>
    <w:link w:val="48"/>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Times New Roman" w:eastAsia="宋体" w:cs="Times New Roman"/>
      <w:kern w:val="0"/>
      <w:sz w:val="24"/>
      <w:szCs w:val="24"/>
    </w:rPr>
  </w:style>
  <w:style w:type="paragraph" w:styleId="21">
    <w:name w:val="Normal (Web)"/>
    <w:basedOn w:val="1"/>
    <w:qFormat/>
    <w:uiPriority w:val="99"/>
    <w:pPr>
      <w:spacing w:before="100" w:beforeAutospacing="1" w:after="100" w:afterAutospacing="1"/>
      <w:jc w:val="left"/>
    </w:pPr>
    <w:rPr>
      <w:rFonts w:ascii="Times New Roman" w:hAnsi="Times New Roman" w:eastAsia="宋体" w:cs="Times New Roman"/>
      <w:kern w:val="0"/>
      <w:sz w:val="24"/>
      <w:szCs w:val="24"/>
    </w:rPr>
  </w:style>
  <w:style w:type="paragraph" w:styleId="22">
    <w:name w:val="annotation subject"/>
    <w:basedOn w:val="10"/>
    <w:next w:val="10"/>
    <w:link w:val="49"/>
    <w:autoRedefine/>
    <w:qFormat/>
    <w:uiPriority w:val="99"/>
    <w:rPr>
      <w:b/>
      <w:bCs/>
    </w:rPr>
  </w:style>
  <w:style w:type="paragraph" w:styleId="23">
    <w:name w:val="Body Text First Indent 2"/>
    <w:basedOn w:val="12"/>
    <w:link w:val="42"/>
    <w:unhideWhenUsed/>
    <w:qFormat/>
    <w:uiPriority w:val="0"/>
    <w:pPr>
      <w:ind w:firstLine="420" w:firstLineChars="200"/>
    </w:pPr>
  </w:style>
  <w:style w:type="table" w:styleId="25">
    <w:name w:val="Table Grid"/>
    <w:basedOn w:val="24"/>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autoRedefine/>
    <w:qFormat/>
    <w:uiPriority w:val="22"/>
    <w:rPr>
      <w:b/>
      <w:bCs/>
    </w:rPr>
  </w:style>
  <w:style w:type="character" w:styleId="28">
    <w:name w:val="page number"/>
    <w:qFormat/>
    <w:uiPriority w:val="0"/>
  </w:style>
  <w:style w:type="character" w:styleId="29">
    <w:name w:val="FollowedHyperlink"/>
    <w:basedOn w:val="26"/>
    <w:semiHidden/>
    <w:unhideWhenUsed/>
    <w:uiPriority w:val="99"/>
    <w:rPr>
      <w:color w:val="800080" w:themeColor="followedHyperlink"/>
      <w:u w:val="single"/>
    </w:rPr>
  </w:style>
  <w:style w:type="character" w:styleId="30">
    <w:name w:val="Emphasis"/>
    <w:qFormat/>
    <w:uiPriority w:val="0"/>
    <w:rPr>
      <w:i/>
      <w:iCs/>
    </w:rPr>
  </w:style>
  <w:style w:type="character" w:styleId="31">
    <w:name w:val="Hyperlink"/>
    <w:qFormat/>
    <w:uiPriority w:val="99"/>
    <w:rPr>
      <w:color w:val="0000FF"/>
      <w:u w:val="single"/>
    </w:rPr>
  </w:style>
  <w:style w:type="character" w:styleId="32">
    <w:name w:val="annotation reference"/>
    <w:qFormat/>
    <w:uiPriority w:val="99"/>
    <w:rPr>
      <w:sz w:val="21"/>
      <w:szCs w:val="21"/>
    </w:rPr>
  </w:style>
  <w:style w:type="character" w:customStyle="1" w:styleId="33">
    <w:name w:val="页眉 Char"/>
    <w:basedOn w:val="26"/>
    <w:link w:val="17"/>
    <w:qFormat/>
    <w:uiPriority w:val="99"/>
    <w:rPr>
      <w:sz w:val="18"/>
      <w:szCs w:val="18"/>
    </w:rPr>
  </w:style>
  <w:style w:type="character" w:customStyle="1" w:styleId="34">
    <w:name w:val="页脚 Char"/>
    <w:basedOn w:val="26"/>
    <w:link w:val="16"/>
    <w:qFormat/>
    <w:uiPriority w:val="99"/>
    <w:rPr>
      <w:sz w:val="18"/>
      <w:szCs w:val="18"/>
    </w:rPr>
  </w:style>
  <w:style w:type="character" w:customStyle="1" w:styleId="35">
    <w:name w:val="标题 1 Char"/>
    <w:basedOn w:val="26"/>
    <w:link w:val="2"/>
    <w:autoRedefine/>
    <w:qFormat/>
    <w:uiPriority w:val="0"/>
    <w:rPr>
      <w:rFonts w:ascii="Times New Roman" w:hAnsi="Times New Roman" w:eastAsia="宋体" w:cs="Times New Roman"/>
      <w:b/>
      <w:kern w:val="44"/>
      <w:sz w:val="44"/>
      <w:szCs w:val="20"/>
    </w:rPr>
  </w:style>
  <w:style w:type="character" w:customStyle="1" w:styleId="36">
    <w:name w:val="标题 2 Char"/>
    <w:basedOn w:val="26"/>
    <w:link w:val="3"/>
    <w:autoRedefine/>
    <w:qFormat/>
    <w:uiPriority w:val="9"/>
    <w:rPr>
      <w:rFonts w:ascii="Cambria" w:hAnsi="Cambria" w:eastAsia="宋体" w:cs="Times New Roman"/>
      <w:b/>
      <w:bCs/>
      <w:sz w:val="32"/>
      <w:szCs w:val="32"/>
    </w:rPr>
  </w:style>
  <w:style w:type="character" w:customStyle="1" w:styleId="37">
    <w:name w:val="标题 3 Char"/>
    <w:basedOn w:val="26"/>
    <w:link w:val="4"/>
    <w:qFormat/>
    <w:uiPriority w:val="9"/>
    <w:rPr>
      <w:rFonts w:ascii="Times New Roman" w:hAnsi="Times New Roman" w:eastAsia="宋体" w:cs="Times New Roman"/>
      <w:b/>
      <w:sz w:val="32"/>
      <w:szCs w:val="24"/>
    </w:rPr>
  </w:style>
  <w:style w:type="character" w:customStyle="1" w:styleId="38">
    <w:name w:val="标题 4 Char"/>
    <w:basedOn w:val="26"/>
    <w:link w:val="5"/>
    <w:uiPriority w:val="9"/>
    <w:rPr>
      <w:rFonts w:ascii="Times New Roman" w:hAnsi="Times New Roman" w:eastAsia="黑体" w:cs="Times New Roman"/>
      <w:bCs/>
      <w:color w:val="000000"/>
      <w:sz w:val="28"/>
      <w:szCs w:val="28"/>
    </w:rPr>
  </w:style>
  <w:style w:type="character" w:customStyle="1" w:styleId="39">
    <w:name w:val="标题 5 Char"/>
    <w:basedOn w:val="26"/>
    <w:link w:val="6"/>
    <w:autoRedefine/>
    <w:qFormat/>
    <w:uiPriority w:val="9"/>
    <w:rPr>
      <w:rFonts w:ascii="等线" w:hAnsi="等线" w:eastAsia="等线" w:cs="Times New Roman"/>
      <w:b/>
      <w:bCs/>
      <w:sz w:val="28"/>
      <w:szCs w:val="28"/>
    </w:rPr>
  </w:style>
  <w:style w:type="character" w:customStyle="1" w:styleId="40">
    <w:name w:val="标题 6 Char"/>
    <w:basedOn w:val="26"/>
    <w:link w:val="7"/>
    <w:uiPriority w:val="0"/>
    <w:rPr>
      <w:rFonts w:ascii="等线 Light" w:hAnsi="Times New Roman" w:eastAsia="等线 Light" w:cs="Times New Roman"/>
      <w:b/>
      <w:bCs/>
      <w:color w:val="000000"/>
      <w:sz w:val="24"/>
      <w:szCs w:val="24"/>
    </w:rPr>
  </w:style>
  <w:style w:type="character" w:customStyle="1" w:styleId="41">
    <w:name w:val="正文文本缩进 Char"/>
    <w:basedOn w:val="26"/>
    <w:link w:val="12"/>
    <w:uiPriority w:val="0"/>
    <w:rPr>
      <w:rFonts w:ascii="Times New Roman" w:hAnsi="Times New Roman" w:eastAsia="宋体" w:cs="Times New Roman"/>
      <w:szCs w:val="24"/>
    </w:rPr>
  </w:style>
  <w:style w:type="character" w:customStyle="1" w:styleId="42">
    <w:name w:val="正文首行缩进 2 Char"/>
    <w:basedOn w:val="41"/>
    <w:link w:val="23"/>
    <w:uiPriority w:val="0"/>
  </w:style>
  <w:style w:type="character" w:customStyle="1" w:styleId="43">
    <w:name w:val="文档结构图 Char"/>
    <w:basedOn w:val="26"/>
    <w:link w:val="9"/>
    <w:qFormat/>
    <w:uiPriority w:val="0"/>
    <w:rPr>
      <w:rFonts w:ascii="宋体" w:hAnsi="Times New Roman" w:eastAsia="宋体" w:cs="Times New Roman"/>
      <w:color w:val="000000"/>
      <w:sz w:val="18"/>
      <w:szCs w:val="18"/>
    </w:rPr>
  </w:style>
  <w:style w:type="character" w:customStyle="1" w:styleId="44">
    <w:name w:val="批注文字 Char"/>
    <w:basedOn w:val="26"/>
    <w:link w:val="10"/>
    <w:uiPriority w:val="99"/>
    <w:rPr>
      <w:rFonts w:ascii="仿宋_GB2312" w:hAnsi="Times New Roman" w:eastAsia="仿宋_GB2312" w:cs="Times New Roman"/>
      <w:sz w:val="24"/>
    </w:rPr>
  </w:style>
  <w:style w:type="character" w:customStyle="1" w:styleId="45">
    <w:name w:val="正文文本 Char"/>
    <w:basedOn w:val="26"/>
    <w:link w:val="11"/>
    <w:qFormat/>
    <w:uiPriority w:val="0"/>
    <w:rPr>
      <w:rFonts w:ascii="Times New Roman" w:hAnsi="Times New Roman" w:eastAsia="宋体" w:cs="Times New Roman"/>
      <w:szCs w:val="24"/>
    </w:rPr>
  </w:style>
  <w:style w:type="character" w:customStyle="1" w:styleId="46">
    <w:name w:val="日期 Char"/>
    <w:basedOn w:val="26"/>
    <w:link w:val="14"/>
    <w:autoRedefine/>
    <w:qFormat/>
    <w:uiPriority w:val="99"/>
    <w:rPr>
      <w:rFonts w:ascii="Times New Roman" w:hAnsi="Times New Roman" w:eastAsia="宋体" w:cs="Times New Roman"/>
      <w:color w:val="000000"/>
      <w:sz w:val="24"/>
      <w:szCs w:val="21"/>
    </w:rPr>
  </w:style>
  <w:style w:type="character" w:customStyle="1" w:styleId="47">
    <w:name w:val="批注框文本 Char"/>
    <w:basedOn w:val="26"/>
    <w:link w:val="15"/>
    <w:qFormat/>
    <w:uiPriority w:val="99"/>
    <w:rPr>
      <w:rFonts w:ascii="Times New Roman" w:hAnsi="Times New Roman" w:eastAsia="宋体" w:cs="Times New Roman"/>
      <w:kern w:val="0"/>
      <w:sz w:val="18"/>
      <w:szCs w:val="18"/>
    </w:rPr>
  </w:style>
  <w:style w:type="character" w:customStyle="1" w:styleId="48">
    <w:name w:val="HTML 预设格式 Char"/>
    <w:basedOn w:val="26"/>
    <w:link w:val="20"/>
    <w:qFormat/>
    <w:uiPriority w:val="0"/>
    <w:rPr>
      <w:rFonts w:ascii="宋体" w:hAnsi="Times New Roman" w:eastAsia="宋体" w:cs="Times New Roman"/>
      <w:kern w:val="0"/>
      <w:sz w:val="24"/>
      <w:szCs w:val="24"/>
    </w:rPr>
  </w:style>
  <w:style w:type="character" w:customStyle="1" w:styleId="49">
    <w:name w:val="批注主题 Char"/>
    <w:basedOn w:val="44"/>
    <w:link w:val="22"/>
    <w:qFormat/>
    <w:uiPriority w:val="99"/>
    <w:rPr>
      <w:b/>
      <w:bCs/>
    </w:rPr>
  </w:style>
  <w:style w:type="paragraph" w:customStyle="1" w:styleId="50">
    <w:name w:val="BodyText1I2"/>
    <w:basedOn w:val="1"/>
    <w:next w:val="1"/>
    <w:qFormat/>
    <w:uiPriority w:val="0"/>
    <w:pPr>
      <w:spacing w:after="120"/>
      <w:ind w:firstLine="640"/>
      <w:textAlignment w:val="baseline"/>
    </w:pPr>
    <w:rPr>
      <w:rFonts w:ascii="Times New Roman" w:hAnsi="Times New Roman" w:eastAsia="宋体" w:cs="Times New Roman"/>
      <w:szCs w:val="24"/>
    </w:rPr>
  </w:style>
  <w:style w:type="character" w:customStyle="1" w:styleId="51">
    <w:name w:val="明显强调1"/>
    <w:uiPriority w:val="0"/>
    <w:rPr>
      <w:b/>
      <w:bCs/>
      <w:i/>
      <w:iCs/>
      <w:color w:val="4F81BD"/>
    </w:rPr>
  </w:style>
  <w:style w:type="character" w:customStyle="1" w:styleId="52">
    <w:name w:val="批注主题 字符"/>
    <w:qFormat/>
    <w:uiPriority w:val="99"/>
    <w:rPr>
      <w:rFonts w:ascii="仿宋_GB2312" w:eastAsia="仿宋_GB2312"/>
      <w:b/>
      <w:bCs/>
      <w:kern w:val="2"/>
      <w:sz w:val="24"/>
      <w:szCs w:val="22"/>
    </w:rPr>
  </w:style>
  <w:style w:type="character" w:customStyle="1" w:styleId="53">
    <w:name w:val="fontstyle01"/>
    <w:uiPriority w:val="0"/>
    <w:rPr>
      <w:rFonts w:ascii="黑体" w:eastAsia="黑体" w:cs="黑体"/>
      <w:color w:val="000000"/>
      <w:sz w:val="32"/>
      <w:szCs w:val="32"/>
      <w:lang w:bidi="ar-SA"/>
    </w:rPr>
  </w:style>
  <w:style w:type="character" w:customStyle="1" w:styleId="54">
    <w:name w:val="页脚 Char1"/>
    <w:uiPriority w:val="0"/>
    <w:rPr>
      <w:rFonts w:ascii="Calibri" w:hAnsi="Calibri"/>
      <w:kern w:val="2"/>
      <w:sz w:val="18"/>
      <w:szCs w:val="18"/>
    </w:rPr>
  </w:style>
  <w:style w:type="character" w:customStyle="1" w:styleId="55">
    <w:name w:val="NormalCharacter"/>
    <w:qFormat/>
    <w:uiPriority w:val="0"/>
    <w:rPr>
      <w:rFonts w:ascii="Calibri" w:hAnsi="Calibri" w:eastAsia="宋体" w:cs="Times New Roman"/>
      <w:kern w:val="2"/>
      <w:sz w:val="21"/>
      <w:szCs w:val="24"/>
      <w:lang w:val="en-US" w:eastAsia="zh-CN" w:bidi="ar-SA"/>
    </w:rPr>
  </w:style>
  <w:style w:type="character" w:customStyle="1" w:styleId="56">
    <w:name w:val="未处理的提及1"/>
    <w:qFormat/>
    <w:uiPriority w:val="99"/>
    <w:rPr>
      <w:color w:val="605E5C"/>
      <w:shd w:val="clear" w:color="auto" w:fill="E1DFDD"/>
    </w:rPr>
  </w:style>
  <w:style w:type="character" w:customStyle="1" w:styleId="57">
    <w:name w:val="正文文本缩进 字符"/>
    <w:uiPriority w:val="0"/>
    <w:rPr>
      <w:rFonts w:ascii="仿宋_GB2312" w:eastAsia="仿宋_GB2312"/>
      <w:kern w:val="2"/>
      <w:sz w:val="24"/>
      <w:szCs w:val="22"/>
    </w:rPr>
  </w:style>
  <w:style w:type="character" w:customStyle="1" w:styleId="58">
    <w:name w:val="正文文本首行缩进 2 字符"/>
    <w:uiPriority w:val="0"/>
    <w:rPr>
      <w:rFonts w:ascii="Times New Roman" w:hAnsi="Times New Roman" w:eastAsia="宋体" w:cs="Times New Roman"/>
      <w:kern w:val="2"/>
      <w:sz w:val="21"/>
      <w:szCs w:val="22"/>
      <w:lang w:bidi="ar-SA"/>
    </w:rPr>
  </w:style>
  <w:style w:type="character" w:customStyle="1" w:styleId="59">
    <w:name w:val="批注文字 字符"/>
    <w:autoRedefine/>
    <w:qFormat/>
    <w:uiPriority w:val="99"/>
    <w:rPr>
      <w:rFonts w:ascii="仿宋_GB2312" w:eastAsia="仿宋_GB2312"/>
      <w:kern w:val="2"/>
      <w:sz w:val="24"/>
      <w:szCs w:val="22"/>
    </w:rPr>
  </w:style>
  <w:style w:type="character" w:customStyle="1" w:styleId="60">
    <w:name w:val="标题 4 字符"/>
    <w:qFormat/>
    <w:uiPriority w:val="9"/>
    <w:rPr>
      <w:rFonts w:eastAsia="黑体"/>
      <w:bCs/>
      <w:color w:val="000000"/>
      <w:kern w:val="2"/>
      <w:sz w:val="28"/>
      <w:szCs w:val="28"/>
    </w:rPr>
  </w:style>
  <w:style w:type="character" w:customStyle="1" w:styleId="61">
    <w:name w:val="标题 6 字符"/>
    <w:uiPriority w:val="0"/>
    <w:rPr>
      <w:rFonts w:ascii="等线 Light" w:eastAsia="等线 Light"/>
      <w:b/>
      <w:bCs/>
      <w:color w:val="000000"/>
      <w:kern w:val="2"/>
      <w:sz w:val="24"/>
      <w:szCs w:val="24"/>
    </w:rPr>
  </w:style>
  <w:style w:type="character" w:customStyle="1" w:styleId="62">
    <w:name w:val="文档结构图 字符"/>
    <w:uiPriority w:val="0"/>
    <w:rPr>
      <w:rFonts w:ascii="宋体" w:hAnsi="宋体"/>
      <w:color w:val="000000"/>
      <w:kern w:val="2"/>
      <w:sz w:val="18"/>
      <w:szCs w:val="18"/>
    </w:rPr>
  </w:style>
  <w:style w:type="character" w:customStyle="1" w:styleId="63">
    <w:name w:val="日期 字符"/>
    <w:autoRedefine/>
    <w:qFormat/>
    <w:uiPriority w:val="99"/>
    <w:rPr>
      <w:color w:val="000000"/>
      <w:kern w:val="2"/>
      <w:sz w:val="24"/>
      <w:szCs w:val="21"/>
    </w:rPr>
  </w:style>
  <w:style w:type="paragraph" w:customStyle="1" w:styleId="64">
    <w:name w:val="样式2"/>
    <w:basedOn w:val="3"/>
    <w:next w:val="1"/>
    <w:uiPriority w:val="0"/>
    <w:pPr>
      <w:ind w:firstLine="200" w:firstLineChars="200"/>
    </w:pPr>
    <w:rPr>
      <w:rFonts w:ascii="Calibri" w:hAnsi="Calibri" w:eastAsia="楷体_GB2312"/>
      <w:szCs w:val="20"/>
      <w:lang w:val="zh-CN"/>
    </w:rPr>
  </w:style>
  <w:style w:type="paragraph" w:customStyle="1" w:styleId="65">
    <w:name w:val="TOC Heading"/>
    <w:basedOn w:val="2"/>
    <w:next w:val="1"/>
    <w:qFormat/>
    <w:uiPriority w:val="0"/>
    <w:pPr>
      <w:spacing w:before="340" w:after="330" w:line="578" w:lineRule="auto"/>
      <w:outlineLvl w:val="9"/>
    </w:pPr>
    <w:rPr>
      <w:bCs/>
      <w:szCs w:val="44"/>
    </w:rPr>
  </w:style>
  <w:style w:type="paragraph" w:customStyle="1" w:styleId="66">
    <w:name w:val="序号2"/>
    <w:next w:val="1"/>
    <w:uiPriority w:val="0"/>
    <w:pPr>
      <w:spacing w:beforeLines="50" w:afterLines="50" w:line="360" w:lineRule="auto"/>
      <w:ind w:firstLine="200" w:firstLineChars="200"/>
    </w:pPr>
    <w:rPr>
      <w:rFonts w:ascii="宋体" w:hAnsi="Times New Roman" w:eastAsia="宋体" w:cs="Times New Roman"/>
      <w:kern w:val="2"/>
      <w:sz w:val="24"/>
      <w:szCs w:val="21"/>
      <w:lang w:val="en-US" w:eastAsia="zh-CN" w:bidi="ar-SA"/>
    </w:rPr>
  </w:style>
  <w:style w:type="paragraph" w:customStyle="1" w:styleId="67">
    <w:name w:val="资料来源"/>
    <w:next w:val="1"/>
    <w:uiPriority w:val="0"/>
    <w:pPr>
      <w:spacing w:afterLines="50"/>
      <w:jc w:val="center"/>
    </w:pPr>
    <w:rPr>
      <w:rFonts w:ascii="Times New Roman" w:hAnsi="Times New Roman" w:eastAsia="宋体" w:cs="Times New Roman"/>
      <w:i/>
      <w:kern w:val="2"/>
      <w:sz w:val="18"/>
      <w:szCs w:val="21"/>
      <w:lang w:val="en-US" w:eastAsia="zh-CN" w:bidi="ar-SA"/>
    </w:rPr>
  </w:style>
  <w:style w:type="paragraph" w:customStyle="1" w:styleId="68">
    <w:name w:val="修订1"/>
    <w:qFormat/>
    <w:uiPriority w:val="99"/>
    <w:rPr>
      <w:rFonts w:ascii="等线" w:hAnsi="Times New Roman" w:eastAsia="等线" w:cs="Times New Roman"/>
      <w:kern w:val="2"/>
      <w:sz w:val="21"/>
      <w:szCs w:val="22"/>
      <w:lang w:val="en-US" w:eastAsia="zh-CN" w:bidi="ar-SA"/>
    </w:rPr>
  </w:style>
  <w:style w:type="paragraph" w:customStyle="1" w:styleId="69">
    <w:name w:val="列出段落1"/>
    <w:basedOn w:val="1"/>
    <w:uiPriority w:val="0"/>
    <w:pPr>
      <w:ind w:firstLine="200" w:firstLineChars="200"/>
    </w:pPr>
    <w:rPr>
      <w:rFonts w:ascii="Times New Roman" w:hAnsi="Times New Roman" w:eastAsia="宋体" w:cs="Times New Roman"/>
      <w:szCs w:val="24"/>
    </w:rPr>
  </w:style>
  <w:style w:type="paragraph" w:customStyle="1" w:styleId="70">
    <w:name w:val="注释"/>
    <w:next w:val="1"/>
    <w:uiPriority w:val="0"/>
    <w:pPr>
      <w:ind w:firstLine="200" w:firstLineChars="200"/>
    </w:pPr>
    <w:rPr>
      <w:rFonts w:ascii="Times New Roman" w:hAnsi="Times New Roman" w:eastAsia="宋体" w:cs="Times New Roman"/>
      <w:kern w:val="2"/>
      <w:sz w:val="15"/>
      <w:szCs w:val="21"/>
      <w:lang w:val="en-US" w:eastAsia="zh-CN" w:bidi="ar-SA"/>
    </w:rPr>
  </w:style>
  <w:style w:type="paragraph" w:customStyle="1" w:styleId="71">
    <w:name w:val="图表标题"/>
    <w:next w:val="1"/>
    <w:uiPriority w:val="0"/>
    <w:pPr>
      <w:jc w:val="center"/>
    </w:pPr>
    <w:rPr>
      <w:rFonts w:ascii="Times New Roman" w:hAnsi="Times New Roman" w:eastAsia="黑体" w:cs="Times New Roman"/>
      <w:bCs/>
      <w:kern w:val="44"/>
      <w:sz w:val="21"/>
      <w:szCs w:val="44"/>
      <w:lang w:val="en-US" w:eastAsia="zh-CN" w:bidi="ar-SA"/>
    </w:rPr>
  </w:style>
  <w:style w:type="paragraph" w:customStyle="1" w:styleId="72">
    <w:name w:val="序号1"/>
    <w:next w:val="1"/>
    <w:uiPriority w:val="0"/>
    <w:pPr>
      <w:spacing w:beforeLines="50" w:afterLines="50" w:line="360" w:lineRule="auto"/>
      <w:ind w:firstLine="200" w:firstLineChars="200"/>
    </w:pPr>
    <w:rPr>
      <w:rFonts w:ascii="黑体" w:hAnsi="Times New Roman" w:eastAsia="黑体" w:cs="Times New Roman"/>
      <w:kern w:val="2"/>
      <w:sz w:val="24"/>
      <w:szCs w:val="21"/>
      <w:lang w:val="en-US" w:eastAsia="zh-CN" w:bidi="ar-SA"/>
    </w:rPr>
  </w:style>
  <w:style w:type="paragraph" w:customStyle="1" w:styleId="73">
    <w:name w:val="修订2"/>
    <w:uiPriority w:val="0"/>
    <w:rPr>
      <w:rFonts w:ascii="等线" w:hAnsi="Times New Roman" w:eastAsia="等线" w:cs="Times New Roman"/>
      <w:kern w:val="2"/>
      <w:sz w:val="21"/>
      <w:szCs w:val="22"/>
      <w:lang w:val="en-US" w:eastAsia="zh-CN" w:bidi="ar-SA"/>
    </w:rPr>
  </w:style>
  <w:style w:type="paragraph" w:customStyle="1" w:styleId="74">
    <w:name w:val="Revision"/>
    <w:uiPriority w:val="0"/>
    <w:rPr>
      <w:rFonts w:ascii="Times New Roman" w:hAnsi="Times New Roman" w:eastAsia="宋体" w:cs="Times New Roman"/>
      <w:kern w:val="2"/>
      <w:sz w:val="21"/>
      <w:szCs w:val="24"/>
      <w:lang w:val="en-US" w:eastAsia="zh-CN" w:bidi="ar-SA"/>
    </w:rPr>
  </w:style>
  <w:style w:type="paragraph" w:customStyle="1" w:styleId="75">
    <w:name w:val="报告名称"/>
    <w:next w:val="1"/>
    <w:uiPriority w:val="0"/>
    <w:pPr>
      <w:spacing w:beforeLines="600"/>
      <w:jc w:val="center"/>
    </w:pPr>
    <w:rPr>
      <w:rFonts w:ascii="Times New Roman" w:hAnsi="Times New Roman" w:eastAsia="华文中宋" w:cs="Times New Roman"/>
      <w:kern w:val="2"/>
      <w:sz w:val="52"/>
      <w:szCs w:val="21"/>
      <w:lang w:val="en-US" w:eastAsia="zh-CN" w:bidi="ar-SA"/>
    </w:rPr>
  </w:style>
  <w:style w:type="paragraph" w:customStyle="1" w:styleId="76">
    <w:name w:val="表头格式"/>
    <w:next w:val="1"/>
    <w:uiPriority w:val="0"/>
    <w:pPr>
      <w:jc w:val="center"/>
    </w:pPr>
    <w:rPr>
      <w:rFonts w:ascii="宋体" w:hAnsi="Times New Roman" w:eastAsia="宋体" w:cs="Times New Roman"/>
      <w:b/>
      <w:smallCaps/>
      <w:color w:val="FFFFFF"/>
      <w:kern w:val="2"/>
      <w:sz w:val="18"/>
      <w:szCs w:val="21"/>
      <w:lang w:val="en-US" w:eastAsia="zh-CN" w:bidi="ar-SA"/>
    </w:rPr>
  </w:style>
  <w:style w:type="paragraph" w:customStyle="1" w:styleId="77">
    <w:name w:val="图样式"/>
    <w:next w:val="1"/>
    <w:uiPriority w:val="0"/>
    <w:pPr>
      <w:keepNext/>
      <w:jc w:val="center"/>
    </w:pPr>
    <w:rPr>
      <w:rFonts w:ascii="Times New Roman" w:hAnsi="Times New Roman" w:eastAsia="宋体" w:cs="Times New Roman"/>
      <w:color w:val="000000"/>
      <w:kern w:val="2"/>
      <w:sz w:val="24"/>
      <w:szCs w:val="21"/>
      <w:lang w:val="en-US" w:eastAsia="zh-CN" w:bidi="ar-SA"/>
    </w:rPr>
  </w:style>
  <w:style w:type="paragraph" w:customStyle="1" w:styleId="78">
    <w:name w:val="单位落款"/>
    <w:next w:val="1"/>
    <w:uiPriority w:val="0"/>
    <w:pPr>
      <w:jc w:val="center"/>
    </w:pPr>
    <w:rPr>
      <w:rFonts w:ascii="华文中宋" w:hAnsi="Times New Roman" w:eastAsia="华文中宋" w:cs="Times New Roman"/>
      <w:kern w:val="2"/>
      <w:sz w:val="28"/>
      <w:szCs w:val="21"/>
      <w:lang w:val="en-US" w:eastAsia="zh-CN" w:bidi="ar-SA"/>
    </w:rPr>
  </w:style>
  <w:style w:type="paragraph" w:customStyle="1" w:styleId="79">
    <w:name w:val="正文 A"/>
    <w:uiPriority w:val="0"/>
    <w:pPr>
      <w:widowControl w:val="0"/>
      <w:jc w:val="both"/>
    </w:pPr>
    <w:rPr>
      <w:rFonts w:ascii="Arial Unicode MS" w:hAnsi="Times New Roman" w:eastAsia="Arial Unicode MS" w:cs="Arial Unicode MS"/>
      <w:color w:val="000000"/>
      <w:kern w:val="2"/>
      <w:sz w:val="31"/>
      <w:szCs w:val="31"/>
      <w:lang w:val="en-US" w:eastAsia="zh-CN" w:bidi="ar-SA"/>
    </w:rPr>
  </w:style>
  <w:style w:type="paragraph" w:customStyle="1" w:styleId="80">
    <w:name w:val="FootnoteText"/>
    <w:basedOn w:val="1"/>
    <w:uiPriority w:val="0"/>
    <w:pPr>
      <w:snapToGrid w:val="0"/>
      <w:jc w:val="left"/>
      <w:textAlignment w:val="baseline"/>
    </w:pPr>
    <w:rPr>
      <w:rFonts w:ascii="Times New Roman" w:hAnsi="Times New Roman" w:eastAsia="宋体" w:cs="Times New Roman"/>
      <w:szCs w:val="24"/>
    </w:rPr>
  </w:style>
  <w:style w:type="paragraph" w:customStyle="1" w:styleId="81">
    <w:name w:val="Body text|1"/>
    <w:basedOn w:val="1"/>
    <w:qFormat/>
    <w:uiPriority w:val="0"/>
    <w:pPr>
      <w:spacing w:line="410" w:lineRule="auto"/>
      <w:ind w:firstLine="400"/>
    </w:pPr>
    <w:rPr>
      <w:rFonts w:ascii="宋体" w:hAnsi="宋体" w:eastAsia="宋体" w:cs="宋体"/>
      <w:sz w:val="28"/>
      <w:szCs w:val="28"/>
      <w:lang w:val="zh-TW" w:eastAsia="zh-TW" w:bidi="zh-TW"/>
    </w:rPr>
  </w:style>
  <w:style w:type="paragraph" w:styleId="82">
    <w:name w:val="List Paragraph"/>
    <w:basedOn w:val="1"/>
    <w:qFormat/>
    <w:uiPriority w:val="34"/>
    <w:pPr>
      <w:ind w:firstLine="420" w:firstLineChars="200"/>
    </w:pPr>
    <w:rPr>
      <w:rFonts w:ascii="等线" w:hAnsi="等线" w:eastAsia="等线" w:cs="宋体"/>
    </w:rPr>
  </w:style>
  <w:style w:type="paragraph" w:customStyle="1" w:styleId="83">
    <w:name w:val="TOC 标题1"/>
    <w:basedOn w:val="2"/>
    <w:next w:val="1"/>
    <w:qFormat/>
    <w:uiPriority w:val="39"/>
    <w:pPr>
      <w:widowControl/>
      <w:spacing w:before="240" w:line="259" w:lineRule="auto"/>
      <w:jc w:val="left"/>
      <w:outlineLvl w:val="9"/>
    </w:pPr>
    <w:rPr>
      <w:rFonts w:ascii="等线 Light" w:hAnsi="等线 Light" w:eastAsia="等线 Light" w:cs="宋体"/>
      <w:b w:val="0"/>
      <w:color w:val="2F5496"/>
      <w:kern w:val="0"/>
      <w:sz w:val="32"/>
      <w:szCs w:val="32"/>
    </w:rPr>
  </w:style>
  <w:style w:type="paragraph" w:customStyle="1" w:styleId="84">
    <w:name w:val="ql-align-cent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85">
    <w:name w:val="Fangsong Bodytext"/>
    <w:basedOn w:val="1"/>
    <w:qFormat/>
    <w:uiPriority w:val="0"/>
    <w:pPr>
      <w:ind w:firstLine="200" w:firstLineChars="200"/>
      <w:contextualSpacing/>
    </w:pPr>
    <w:rPr>
      <w:rFonts w:ascii="华文仿宋" w:hAnsi="华文仿宋" w:eastAsia="华文仿宋" w:cs="Times New Roman"/>
      <w:color w:val="000000"/>
      <w:sz w:val="32"/>
      <w:szCs w:val="32"/>
    </w:rPr>
  </w:style>
  <w:style w:type="paragraph" w:customStyle="1" w:styleId="86">
    <w:name w:val="WPSOffice手动目录 1"/>
    <w:qFormat/>
    <w:uiPriority w:val="0"/>
    <w:rPr>
      <w:rFonts w:ascii="Times New Roman" w:hAnsi="Times New Roman" w:eastAsia="宋体" w:cs="Times New Roman"/>
      <w:kern w:val="0"/>
      <w:sz w:val="20"/>
      <w:szCs w:val="20"/>
      <w:lang w:val="en-US" w:eastAsia="zh-CN" w:bidi="ar-SA"/>
    </w:rPr>
  </w:style>
  <w:style w:type="paragraph" w:customStyle="1" w:styleId="87">
    <w:name w:val="WPSOffice手动目录 2"/>
    <w:qFormat/>
    <w:uiPriority w:val="0"/>
    <w:pPr>
      <w:ind w:left="200" w:leftChars="200"/>
    </w:pPr>
    <w:rPr>
      <w:rFonts w:ascii="Times New Roman" w:hAnsi="Times New Roman" w:eastAsia="宋体" w:cs="Times New Roman"/>
      <w:kern w:val="0"/>
      <w:sz w:val="20"/>
      <w:szCs w:val="20"/>
      <w:lang w:val="en-US" w:eastAsia="zh-CN" w:bidi="ar-SA"/>
    </w:rPr>
  </w:style>
  <w:style w:type="paragraph" w:customStyle="1" w:styleId="88">
    <w:name w:val="WPSOffice手动目录 3"/>
    <w:qFormat/>
    <w:uiPriority w:val="0"/>
    <w:pPr>
      <w:ind w:left="400" w:leftChars="400"/>
    </w:pPr>
    <w:rPr>
      <w:rFonts w:ascii="Times New Roman" w:hAnsi="Times New Roman" w:eastAsia="宋体" w:cs="Times New Roman"/>
      <w:kern w:val="0"/>
      <w:sz w:val="20"/>
      <w:szCs w:val="20"/>
      <w:lang w:val="en-US" w:eastAsia="zh-CN" w:bidi="ar-SA"/>
    </w:rPr>
  </w:style>
  <w:style w:type="table" w:customStyle="1" w:styleId="89">
    <w:name w:val="Table Normal"/>
    <w:unhideWhenUse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header" Target="header2.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100</Pages>
  <Words>9379</Words>
  <Characters>53464</Characters>
  <Lines>445</Lines>
  <Paragraphs>125</Paragraphs>
  <TotalTime>1</TotalTime>
  <ScaleCrop>false</ScaleCrop>
  <LinksUpToDate>false</LinksUpToDate>
  <CharactersWithSpaces>62718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2022-03-07T10:34:00Z</dcterms:created>
  <dc:creator>pc</dc:creator>
  <cp:lastModifiedBy>Administrator</cp:lastModifiedBy>
  <dcterms:modified xsi:type="dcterms:W3CDTF">2024-03-29T09:40:02Z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33843BC54E6B475FA5636FAF75A5BD40_13</vt:lpwstr>
  </property>
</Properties>
</file>