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EADD1">
      <w:pPr>
        <w:ind w:left="1" w:hanging="1" w:firstLineChars="0"/>
        <w:jc w:val="left"/>
        <w:rPr>
          <w:rFonts w:ascii="方正小标宋简体" w:eastAsia="方正小标宋简体"/>
          <w:color w:val="000000"/>
          <w:sz w:val="44"/>
          <w:szCs w:val="44"/>
        </w:rPr>
      </w:pPr>
    </w:p>
    <w:p w14:paraId="588CDAB1">
      <w:pPr>
        <w:ind w:left="1" w:hanging="1" w:firstLineChars="0"/>
        <w:jc w:val="left"/>
        <w:rPr>
          <w:rFonts w:ascii="仿宋_GB2312"/>
          <w:color w:val="000000"/>
          <w:sz w:val="44"/>
          <w:szCs w:val="44"/>
        </w:rPr>
      </w:pPr>
    </w:p>
    <w:p w14:paraId="52646444">
      <w:pPr>
        <w:ind w:left="1" w:firstLine="31680"/>
        <w:jc w:val="center"/>
        <w:rPr>
          <w:rFonts w:ascii="方正小标宋简体" w:eastAsia="方正小标宋简体"/>
          <w:color w:val="000000"/>
          <w:sz w:val="44"/>
          <w:szCs w:val="44"/>
        </w:rPr>
      </w:pPr>
    </w:p>
    <w:p w14:paraId="434AA604">
      <w:pPr>
        <w:ind w:left="1" w:firstLine="31680"/>
        <w:jc w:val="center"/>
        <w:rPr>
          <w:rFonts w:ascii="方正小标宋简体" w:eastAsia="方正小标宋简体"/>
          <w:color w:val="000000"/>
          <w:sz w:val="44"/>
          <w:szCs w:val="44"/>
        </w:rPr>
      </w:pPr>
    </w:p>
    <w:p w14:paraId="321EB5E2">
      <w:pPr>
        <w:ind w:left="1" w:firstLine="0" w:firstLineChars="0"/>
        <w:jc w:val="center"/>
        <w:rPr>
          <w:rFonts w:ascii="方正小标宋简体" w:eastAsia="方正小标宋简体"/>
          <w:color w:val="000000"/>
          <w:sz w:val="48"/>
          <w:szCs w:val="48"/>
        </w:rPr>
      </w:pPr>
      <w:r>
        <w:rPr>
          <w:rFonts w:hint="eastAsia" w:ascii="方正小标宋简体" w:eastAsia="方正小标宋简体"/>
          <w:color w:val="000000"/>
          <w:sz w:val="48"/>
          <w:szCs w:val="48"/>
        </w:rPr>
        <w:t>泉州市“十四五”民政事业发展专项规划</w:t>
      </w:r>
    </w:p>
    <w:p w14:paraId="543A5987">
      <w:pPr>
        <w:ind w:firstLine="0" w:firstLineChars="0"/>
        <w:jc w:val="center"/>
        <w:rPr>
          <w:rFonts w:ascii="楷体_GB2312" w:eastAsia="楷体_GB2312"/>
          <w:b/>
          <w:color w:val="000000"/>
          <w:szCs w:val="32"/>
        </w:rPr>
      </w:pPr>
    </w:p>
    <w:p w14:paraId="69788AFF">
      <w:pPr>
        <w:ind w:firstLine="31680"/>
        <w:jc w:val="center"/>
        <w:rPr>
          <w:rFonts w:ascii="楷体_GB2312" w:eastAsia="楷体_GB2312"/>
          <w:b/>
          <w:color w:val="000000"/>
          <w:szCs w:val="32"/>
        </w:rPr>
      </w:pPr>
    </w:p>
    <w:p w14:paraId="0490105B">
      <w:pPr>
        <w:ind w:firstLine="31680"/>
        <w:jc w:val="center"/>
        <w:rPr>
          <w:rFonts w:ascii="楷体_GB2312" w:eastAsia="楷体_GB2312"/>
          <w:b/>
          <w:color w:val="000000"/>
          <w:szCs w:val="32"/>
        </w:rPr>
      </w:pPr>
    </w:p>
    <w:p w14:paraId="3E1D1BE6">
      <w:pPr>
        <w:ind w:firstLine="31680"/>
        <w:jc w:val="center"/>
        <w:rPr>
          <w:rFonts w:ascii="楷体_GB2312" w:eastAsia="楷体_GB2312"/>
          <w:b/>
          <w:color w:val="000000"/>
          <w:szCs w:val="32"/>
        </w:rPr>
      </w:pPr>
    </w:p>
    <w:p w14:paraId="2A85194C">
      <w:pPr>
        <w:ind w:firstLine="31680"/>
        <w:jc w:val="center"/>
        <w:rPr>
          <w:rFonts w:ascii="楷体_GB2312" w:eastAsia="楷体_GB2312"/>
          <w:b/>
          <w:color w:val="000000"/>
          <w:szCs w:val="32"/>
        </w:rPr>
      </w:pPr>
    </w:p>
    <w:p w14:paraId="69DBC91C">
      <w:pPr>
        <w:ind w:firstLine="31680"/>
        <w:jc w:val="center"/>
        <w:rPr>
          <w:rFonts w:ascii="仿宋_GB2312"/>
          <w:b/>
          <w:color w:val="000000"/>
          <w:szCs w:val="32"/>
        </w:rPr>
      </w:pPr>
    </w:p>
    <w:p w14:paraId="44DDE178">
      <w:pPr>
        <w:ind w:firstLine="31680"/>
        <w:jc w:val="center"/>
        <w:rPr>
          <w:rFonts w:ascii="仿宋_GB2312" w:hAnsi="宋体"/>
          <w:b/>
          <w:color w:val="000000"/>
          <w:szCs w:val="32"/>
        </w:rPr>
      </w:pPr>
    </w:p>
    <w:p w14:paraId="3579D158">
      <w:pPr>
        <w:ind w:firstLine="31680"/>
        <w:jc w:val="center"/>
        <w:rPr>
          <w:rFonts w:ascii="楷体_GB2312" w:eastAsia="楷体_GB2312"/>
          <w:b/>
          <w:color w:val="000000"/>
          <w:szCs w:val="32"/>
        </w:rPr>
      </w:pPr>
    </w:p>
    <w:p w14:paraId="7382AE69">
      <w:pPr>
        <w:ind w:firstLine="31680"/>
        <w:jc w:val="center"/>
        <w:rPr>
          <w:rFonts w:ascii="楷体_GB2312" w:eastAsia="楷体_GB2312"/>
          <w:b/>
          <w:color w:val="000000"/>
          <w:szCs w:val="32"/>
        </w:rPr>
      </w:pPr>
    </w:p>
    <w:p w14:paraId="734A7B68">
      <w:pPr>
        <w:ind w:firstLine="31680"/>
        <w:jc w:val="center"/>
        <w:rPr>
          <w:rFonts w:ascii="楷体_GB2312" w:eastAsia="楷体_GB2312"/>
          <w:b/>
          <w:color w:val="000000"/>
          <w:szCs w:val="32"/>
        </w:rPr>
      </w:pPr>
    </w:p>
    <w:p w14:paraId="55833DED">
      <w:pPr>
        <w:ind w:firstLine="31680"/>
        <w:jc w:val="center"/>
        <w:rPr>
          <w:rFonts w:ascii="楷体_GB2312" w:eastAsia="楷体_GB2312"/>
          <w:b/>
          <w:color w:val="000000"/>
          <w:szCs w:val="32"/>
        </w:rPr>
      </w:pPr>
    </w:p>
    <w:p w14:paraId="0D6CD6D1">
      <w:pPr>
        <w:ind w:firstLine="31680"/>
        <w:jc w:val="center"/>
        <w:rPr>
          <w:rFonts w:ascii="楷体_GB2312" w:eastAsia="楷体_GB2312"/>
          <w:b/>
          <w:color w:val="000000"/>
          <w:szCs w:val="32"/>
        </w:rPr>
      </w:pPr>
    </w:p>
    <w:p w14:paraId="1CA29A26">
      <w:pPr>
        <w:ind w:firstLine="31680"/>
        <w:jc w:val="center"/>
        <w:rPr>
          <w:rFonts w:ascii="楷体_GB2312" w:eastAsia="楷体_GB2312"/>
          <w:b/>
          <w:color w:val="000000"/>
          <w:szCs w:val="32"/>
        </w:rPr>
      </w:pPr>
    </w:p>
    <w:p w14:paraId="5F0169A1">
      <w:pPr>
        <w:widowControl/>
        <w:ind w:firstLine="0" w:firstLineChars="0"/>
        <w:jc w:val="center"/>
        <w:rPr>
          <w:rFonts w:ascii="黑体" w:hAnsi="黑体" w:eastAsia="黑体"/>
          <w:color w:val="000000"/>
        </w:rPr>
        <w:sectPr>
          <w:headerReference r:id="rId7" w:type="first"/>
          <w:footerReference r:id="rId10" w:type="first"/>
          <w:headerReference r:id="rId5" w:type="default"/>
          <w:footerReference r:id="rId8" w:type="default"/>
          <w:headerReference r:id="rId6" w:type="even"/>
          <w:footerReference r:id="rId9" w:type="even"/>
          <w:pgSz w:w="11906" w:h="16838"/>
          <w:pgMar w:top="1417" w:right="1474" w:bottom="1417" w:left="1588" w:header="851" w:footer="992" w:gutter="0"/>
          <w:pgNumType w:fmt="numberInDash" w:start="1"/>
          <w:cols w:space="425" w:num="1"/>
          <w:docGrid w:type="linesAndChars" w:linePitch="312" w:charSpace="0"/>
        </w:sectPr>
      </w:pPr>
    </w:p>
    <w:p w14:paraId="12683EFB">
      <w:pPr>
        <w:widowControl/>
        <w:spacing w:line="440" w:lineRule="exact"/>
        <w:ind w:firstLine="0" w:firstLineChars="0"/>
        <w:jc w:val="center"/>
        <w:rPr>
          <w:rFonts w:ascii="方正小标宋简体" w:hAnsi="黑体" w:eastAsia="方正小标宋简体"/>
          <w:color w:val="000000"/>
          <w:sz w:val="44"/>
          <w:szCs w:val="44"/>
        </w:rPr>
      </w:pPr>
      <w:r>
        <w:rPr>
          <w:rFonts w:hint="eastAsia" w:ascii="方正小标宋简体" w:hAnsi="黑体" w:eastAsia="方正小标宋简体"/>
          <w:color w:val="000000"/>
          <w:sz w:val="44"/>
          <w:szCs w:val="44"/>
        </w:rPr>
        <w:t>目　录</w:t>
      </w:r>
    </w:p>
    <w:p w14:paraId="468EF397">
      <w:pPr>
        <w:widowControl/>
        <w:spacing w:line="440" w:lineRule="exact"/>
        <w:ind w:firstLine="31680"/>
        <w:jc w:val="center"/>
        <w:rPr>
          <w:rFonts w:ascii="黑体" w:hAnsi="黑体" w:eastAsia="黑体"/>
          <w:color w:val="000000"/>
        </w:rPr>
      </w:pPr>
    </w:p>
    <w:p w14:paraId="2613C6C9">
      <w:pPr>
        <w:pStyle w:val="10"/>
        <w:tabs>
          <w:tab w:val="right" w:leader="dot" w:pos="8844"/>
          <w:tab w:val="clear" w:pos="8834"/>
        </w:tabs>
        <w:spacing w:after="0" w:line="440" w:lineRule="exact"/>
        <w:rPr>
          <w:rFonts w:ascii="方正黑体简体" w:eastAsia="方正黑体简体"/>
          <w:color w:val="000000"/>
          <w:sz w:val="28"/>
          <w:szCs w:val="28"/>
        </w:rPr>
      </w:pPr>
      <w:r>
        <w:rPr>
          <w:rFonts w:ascii="黑体" w:hAnsi="黑体" w:eastAsia="黑体"/>
          <w:color w:val="000000"/>
          <w:sz w:val="28"/>
          <w:szCs w:val="28"/>
        </w:rPr>
        <w:fldChar w:fldCharType="begin"/>
      </w:r>
      <w:r>
        <w:rPr>
          <w:rFonts w:ascii="黑体" w:hAnsi="黑体" w:eastAsia="黑体"/>
          <w:color w:val="000000"/>
          <w:sz w:val="28"/>
          <w:szCs w:val="28"/>
        </w:rPr>
        <w:instrText xml:space="preserve"> TOC \o "1-3" \h \z \u </w:instrText>
      </w:r>
      <w:r>
        <w:rPr>
          <w:rFonts w:ascii="黑体" w:hAnsi="黑体" w:eastAsia="黑体"/>
          <w:color w:val="000000"/>
          <w:sz w:val="28"/>
          <w:szCs w:val="28"/>
        </w:rPr>
        <w:fldChar w:fldCharType="separate"/>
      </w:r>
      <w:r>
        <w:fldChar w:fldCharType="begin"/>
      </w:r>
      <w:r>
        <w:instrText xml:space="preserve"> HYPERLINK \l "_Toc13319" </w:instrText>
      </w:r>
      <w:r>
        <w:fldChar w:fldCharType="separate"/>
      </w:r>
      <w:r>
        <w:rPr>
          <w:rFonts w:hint="eastAsia" w:ascii="方正黑体简体" w:eastAsia="方正黑体简体"/>
          <w:color w:val="000000"/>
          <w:sz w:val="28"/>
          <w:szCs w:val="28"/>
        </w:rPr>
        <w:t>前　言</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_Toc13319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1</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3B05CE1F">
      <w:pPr>
        <w:pStyle w:val="10"/>
        <w:tabs>
          <w:tab w:val="right" w:leader="dot" w:pos="8844"/>
          <w:tab w:val="clear" w:pos="8834"/>
        </w:tabs>
        <w:spacing w:after="0" w:line="440" w:lineRule="exact"/>
        <w:rPr>
          <w:color w:val="000000"/>
          <w:sz w:val="28"/>
          <w:szCs w:val="28"/>
        </w:rPr>
      </w:pPr>
      <w:r>
        <w:fldChar w:fldCharType="begin"/>
      </w:r>
      <w:r>
        <w:instrText xml:space="preserve"> HYPERLINK \l "_Toc2921" </w:instrText>
      </w:r>
      <w:r>
        <w:fldChar w:fldCharType="separate"/>
      </w:r>
      <w:r>
        <w:rPr>
          <w:rFonts w:hint="eastAsia" w:ascii="方正黑体简体" w:eastAsia="方正黑体简体"/>
          <w:color w:val="000000"/>
          <w:sz w:val="28"/>
          <w:szCs w:val="28"/>
        </w:rPr>
        <w:t>第一章　推进新时代民政事业高质量发展</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_Toc2921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2</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4FFBBA2A">
      <w:pPr>
        <w:pStyle w:val="11"/>
        <w:tabs>
          <w:tab w:val="right" w:leader="dot" w:pos="8844"/>
        </w:tabs>
        <w:spacing w:after="0" w:line="440" w:lineRule="exact"/>
        <w:ind w:firstLine="31680"/>
        <w:rPr>
          <w:color w:val="000000"/>
          <w:sz w:val="28"/>
          <w:szCs w:val="28"/>
        </w:rPr>
      </w:pPr>
      <w:r>
        <w:fldChar w:fldCharType="begin"/>
      </w:r>
      <w:r>
        <w:instrText xml:space="preserve"> HYPERLINK \l "_Toc23566" </w:instrText>
      </w:r>
      <w:r>
        <w:fldChar w:fldCharType="separate"/>
      </w:r>
      <w:r>
        <w:rPr>
          <w:rFonts w:hint="eastAsia" w:ascii="宋体" w:hAnsi="宋体" w:eastAsia="宋体" w:cs="宋体"/>
          <w:bCs/>
          <w:color w:val="000000"/>
          <w:sz w:val="28"/>
          <w:szCs w:val="28"/>
        </w:rPr>
        <w:t>第一节　发展基础</w:t>
      </w:r>
      <w:r>
        <w:rPr>
          <w:color w:val="000000"/>
          <w:sz w:val="28"/>
          <w:szCs w:val="28"/>
        </w:rPr>
        <w:tab/>
      </w:r>
      <w:r>
        <w:rPr>
          <w:color w:val="000000"/>
          <w:sz w:val="28"/>
          <w:szCs w:val="28"/>
        </w:rPr>
        <w:fldChar w:fldCharType="begin"/>
      </w:r>
      <w:r>
        <w:rPr>
          <w:color w:val="000000"/>
          <w:sz w:val="28"/>
          <w:szCs w:val="28"/>
        </w:rPr>
        <w:instrText xml:space="preserve"> PAGEREF _Toc23566 </w:instrText>
      </w:r>
      <w:r>
        <w:rPr>
          <w:color w:val="000000"/>
          <w:sz w:val="28"/>
          <w:szCs w:val="28"/>
        </w:rPr>
        <w:fldChar w:fldCharType="separate"/>
      </w:r>
      <w:r>
        <w:rPr>
          <w:color w:val="000000"/>
          <w:sz w:val="28"/>
          <w:szCs w:val="28"/>
        </w:rPr>
        <w:t>2</w:t>
      </w:r>
      <w:r>
        <w:rPr>
          <w:color w:val="000000"/>
          <w:sz w:val="28"/>
          <w:szCs w:val="28"/>
        </w:rPr>
        <w:fldChar w:fldCharType="end"/>
      </w:r>
      <w:r>
        <w:rPr>
          <w:color w:val="000000"/>
          <w:sz w:val="28"/>
          <w:szCs w:val="28"/>
        </w:rPr>
        <w:fldChar w:fldCharType="end"/>
      </w:r>
    </w:p>
    <w:p w14:paraId="08F1A34A">
      <w:pPr>
        <w:pStyle w:val="11"/>
        <w:tabs>
          <w:tab w:val="right" w:leader="dot" w:pos="8844"/>
        </w:tabs>
        <w:spacing w:after="0" w:line="440" w:lineRule="exact"/>
        <w:ind w:firstLine="31680"/>
        <w:rPr>
          <w:color w:val="000000"/>
          <w:sz w:val="28"/>
          <w:szCs w:val="28"/>
        </w:rPr>
      </w:pPr>
      <w:r>
        <w:fldChar w:fldCharType="begin"/>
      </w:r>
      <w:r>
        <w:instrText xml:space="preserve"> HYPERLINK \l "_Toc30960" </w:instrText>
      </w:r>
      <w:r>
        <w:fldChar w:fldCharType="separate"/>
      </w:r>
      <w:r>
        <w:rPr>
          <w:rFonts w:hint="eastAsia" w:ascii="宋体" w:hAnsi="宋体" w:eastAsia="宋体" w:cs="宋体"/>
          <w:bCs/>
          <w:color w:val="000000"/>
          <w:sz w:val="28"/>
          <w:szCs w:val="28"/>
        </w:rPr>
        <w:t>第二节　面临形势与挑战</w:t>
      </w:r>
      <w:r>
        <w:rPr>
          <w:color w:val="000000"/>
          <w:sz w:val="28"/>
          <w:szCs w:val="28"/>
        </w:rPr>
        <w:tab/>
      </w:r>
      <w:r>
        <w:rPr>
          <w:color w:val="000000"/>
          <w:sz w:val="28"/>
          <w:szCs w:val="28"/>
        </w:rPr>
        <w:fldChar w:fldCharType="begin"/>
      </w:r>
      <w:r>
        <w:rPr>
          <w:color w:val="000000"/>
          <w:sz w:val="28"/>
          <w:szCs w:val="28"/>
        </w:rPr>
        <w:instrText xml:space="preserve"> PAGEREF _Toc30960 </w:instrText>
      </w:r>
      <w:r>
        <w:rPr>
          <w:color w:val="000000"/>
          <w:sz w:val="28"/>
          <w:szCs w:val="28"/>
        </w:rPr>
        <w:fldChar w:fldCharType="separate"/>
      </w:r>
      <w:r>
        <w:rPr>
          <w:color w:val="000000"/>
          <w:sz w:val="28"/>
          <w:szCs w:val="28"/>
        </w:rPr>
        <w:t>6</w:t>
      </w:r>
      <w:r>
        <w:rPr>
          <w:color w:val="000000"/>
          <w:sz w:val="28"/>
          <w:szCs w:val="28"/>
        </w:rPr>
        <w:fldChar w:fldCharType="end"/>
      </w:r>
      <w:r>
        <w:rPr>
          <w:color w:val="000000"/>
          <w:sz w:val="28"/>
          <w:szCs w:val="28"/>
        </w:rPr>
        <w:fldChar w:fldCharType="end"/>
      </w:r>
    </w:p>
    <w:p w14:paraId="6984AD46">
      <w:pPr>
        <w:pStyle w:val="11"/>
        <w:tabs>
          <w:tab w:val="right" w:leader="dot" w:pos="8844"/>
        </w:tabs>
        <w:spacing w:after="0" w:line="440" w:lineRule="exact"/>
        <w:ind w:firstLine="31680"/>
        <w:rPr>
          <w:color w:val="000000"/>
          <w:sz w:val="28"/>
          <w:szCs w:val="28"/>
        </w:rPr>
      </w:pPr>
      <w:r>
        <w:fldChar w:fldCharType="begin"/>
      </w:r>
      <w:r>
        <w:instrText xml:space="preserve"> HYPERLINK \l "_Toc31821" </w:instrText>
      </w:r>
      <w:r>
        <w:fldChar w:fldCharType="separate"/>
      </w:r>
      <w:r>
        <w:rPr>
          <w:rFonts w:hint="eastAsia" w:ascii="宋体" w:hAnsi="宋体" w:eastAsia="宋体" w:cs="宋体"/>
          <w:color w:val="000000"/>
          <w:sz w:val="28"/>
          <w:szCs w:val="28"/>
        </w:rPr>
        <w:t>第三节　总体思路</w:t>
      </w:r>
      <w:r>
        <w:rPr>
          <w:color w:val="000000"/>
          <w:sz w:val="28"/>
          <w:szCs w:val="28"/>
        </w:rPr>
        <w:tab/>
      </w:r>
      <w:r>
        <w:rPr>
          <w:color w:val="000000"/>
          <w:sz w:val="28"/>
          <w:szCs w:val="28"/>
        </w:rPr>
        <w:fldChar w:fldCharType="begin"/>
      </w:r>
      <w:r>
        <w:rPr>
          <w:color w:val="000000"/>
          <w:sz w:val="28"/>
          <w:szCs w:val="28"/>
        </w:rPr>
        <w:instrText xml:space="preserve"> PAGEREF _Toc31821 </w:instrText>
      </w:r>
      <w:r>
        <w:rPr>
          <w:color w:val="000000"/>
          <w:sz w:val="28"/>
          <w:szCs w:val="28"/>
        </w:rPr>
        <w:fldChar w:fldCharType="separate"/>
      </w:r>
      <w:r>
        <w:rPr>
          <w:color w:val="000000"/>
          <w:sz w:val="28"/>
          <w:szCs w:val="28"/>
        </w:rPr>
        <w:t>8</w:t>
      </w:r>
      <w:r>
        <w:rPr>
          <w:color w:val="000000"/>
          <w:sz w:val="28"/>
          <w:szCs w:val="28"/>
        </w:rPr>
        <w:fldChar w:fldCharType="end"/>
      </w:r>
      <w:r>
        <w:rPr>
          <w:color w:val="000000"/>
          <w:sz w:val="28"/>
          <w:szCs w:val="28"/>
        </w:rPr>
        <w:fldChar w:fldCharType="end"/>
      </w:r>
    </w:p>
    <w:p w14:paraId="3C317F71">
      <w:pPr>
        <w:pStyle w:val="11"/>
        <w:tabs>
          <w:tab w:val="right" w:leader="dot" w:pos="8844"/>
        </w:tabs>
        <w:spacing w:after="0" w:line="440" w:lineRule="exact"/>
        <w:ind w:firstLine="31680"/>
        <w:rPr>
          <w:color w:val="000000"/>
          <w:sz w:val="28"/>
          <w:szCs w:val="28"/>
        </w:rPr>
      </w:pPr>
      <w:r>
        <w:fldChar w:fldCharType="begin"/>
      </w:r>
      <w:r>
        <w:instrText xml:space="preserve"> HYPERLINK \l "_Toc4314" </w:instrText>
      </w:r>
      <w:r>
        <w:fldChar w:fldCharType="separate"/>
      </w:r>
      <w:r>
        <w:rPr>
          <w:rFonts w:hint="eastAsia" w:ascii="宋体" w:hAnsi="宋体" w:eastAsia="宋体" w:cs="宋体"/>
          <w:bCs/>
          <w:color w:val="000000"/>
          <w:sz w:val="28"/>
          <w:szCs w:val="28"/>
        </w:rPr>
        <w:t>第四节　发展目标</w:t>
      </w:r>
      <w:r>
        <w:rPr>
          <w:color w:val="000000"/>
          <w:sz w:val="28"/>
          <w:szCs w:val="28"/>
        </w:rPr>
        <w:tab/>
      </w:r>
      <w:r>
        <w:rPr>
          <w:color w:val="000000"/>
          <w:sz w:val="28"/>
          <w:szCs w:val="28"/>
        </w:rPr>
        <w:fldChar w:fldCharType="begin"/>
      </w:r>
      <w:r>
        <w:rPr>
          <w:color w:val="000000"/>
          <w:sz w:val="28"/>
          <w:szCs w:val="28"/>
        </w:rPr>
        <w:instrText xml:space="preserve"> PAGEREF _Toc4314 </w:instrText>
      </w:r>
      <w:r>
        <w:rPr>
          <w:color w:val="000000"/>
          <w:sz w:val="28"/>
          <w:szCs w:val="28"/>
        </w:rPr>
        <w:fldChar w:fldCharType="separate"/>
      </w:r>
      <w:r>
        <w:rPr>
          <w:color w:val="000000"/>
          <w:sz w:val="28"/>
          <w:szCs w:val="28"/>
        </w:rPr>
        <w:t>10</w:t>
      </w:r>
      <w:r>
        <w:rPr>
          <w:color w:val="000000"/>
          <w:sz w:val="28"/>
          <w:szCs w:val="28"/>
        </w:rPr>
        <w:fldChar w:fldCharType="end"/>
      </w:r>
      <w:r>
        <w:rPr>
          <w:color w:val="000000"/>
          <w:sz w:val="28"/>
          <w:szCs w:val="28"/>
        </w:rPr>
        <w:fldChar w:fldCharType="end"/>
      </w:r>
    </w:p>
    <w:p w14:paraId="079AA3A1">
      <w:pPr>
        <w:pStyle w:val="10"/>
        <w:tabs>
          <w:tab w:val="right" w:leader="dot" w:pos="8844"/>
          <w:tab w:val="clear" w:pos="8834"/>
        </w:tabs>
        <w:spacing w:after="0" w:line="440" w:lineRule="exact"/>
        <w:rPr>
          <w:rFonts w:ascii="方正黑体简体" w:eastAsia="方正黑体简体"/>
          <w:color w:val="000000"/>
          <w:sz w:val="28"/>
          <w:szCs w:val="28"/>
        </w:rPr>
      </w:pPr>
      <w:r>
        <w:fldChar w:fldCharType="begin"/>
      </w:r>
      <w:r>
        <w:instrText xml:space="preserve"> HYPERLINK \l "_Toc12594" </w:instrText>
      </w:r>
      <w:r>
        <w:fldChar w:fldCharType="separate"/>
      </w:r>
      <w:r>
        <w:rPr>
          <w:rFonts w:hint="eastAsia" w:ascii="方正黑体简体" w:eastAsia="方正黑体简体"/>
          <w:color w:val="000000"/>
          <w:sz w:val="28"/>
          <w:szCs w:val="28"/>
        </w:rPr>
        <w:t>第二章　提升基本民生保障水平</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_Toc12594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13</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2EFEC618">
      <w:pPr>
        <w:pStyle w:val="11"/>
        <w:tabs>
          <w:tab w:val="right" w:leader="dot" w:pos="8844"/>
        </w:tabs>
        <w:spacing w:after="0" w:line="440" w:lineRule="exact"/>
        <w:ind w:firstLine="31680"/>
        <w:rPr>
          <w:color w:val="000000"/>
          <w:sz w:val="28"/>
          <w:szCs w:val="28"/>
        </w:rPr>
      </w:pPr>
      <w:r>
        <w:fldChar w:fldCharType="begin"/>
      </w:r>
      <w:r>
        <w:instrText xml:space="preserve"> HYPERLINK \l "_Toc18526" </w:instrText>
      </w:r>
      <w:r>
        <w:fldChar w:fldCharType="separate"/>
      </w:r>
      <w:r>
        <w:rPr>
          <w:rFonts w:hint="eastAsia" w:ascii="宋体" w:hAnsi="宋体" w:eastAsia="宋体" w:cs="宋体"/>
          <w:bCs/>
          <w:color w:val="000000"/>
          <w:sz w:val="28"/>
          <w:szCs w:val="28"/>
        </w:rPr>
        <w:t>第一节　巩固脱贫攻坚兜底保障成果</w:t>
      </w:r>
      <w:r>
        <w:rPr>
          <w:color w:val="000000"/>
          <w:sz w:val="28"/>
          <w:szCs w:val="28"/>
        </w:rPr>
        <w:tab/>
      </w:r>
      <w:r>
        <w:rPr>
          <w:color w:val="000000"/>
          <w:sz w:val="28"/>
          <w:szCs w:val="28"/>
        </w:rPr>
        <w:fldChar w:fldCharType="begin"/>
      </w:r>
      <w:r>
        <w:rPr>
          <w:color w:val="000000"/>
          <w:sz w:val="28"/>
          <w:szCs w:val="28"/>
        </w:rPr>
        <w:instrText xml:space="preserve"> PAGEREF _Toc18526 </w:instrText>
      </w:r>
      <w:r>
        <w:rPr>
          <w:color w:val="000000"/>
          <w:sz w:val="28"/>
          <w:szCs w:val="28"/>
        </w:rPr>
        <w:fldChar w:fldCharType="separate"/>
      </w:r>
      <w:r>
        <w:rPr>
          <w:color w:val="000000"/>
          <w:sz w:val="28"/>
          <w:szCs w:val="28"/>
        </w:rPr>
        <w:t>13</w:t>
      </w:r>
      <w:r>
        <w:rPr>
          <w:color w:val="000000"/>
          <w:sz w:val="28"/>
          <w:szCs w:val="28"/>
        </w:rPr>
        <w:fldChar w:fldCharType="end"/>
      </w:r>
      <w:r>
        <w:rPr>
          <w:color w:val="000000"/>
          <w:sz w:val="28"/>
          <w:szCs w:val="28"/>
        </w:rPr>
        <w:fldChar w:fldCharType="end"/>
      </w:r>
    </w:p>
    <w:p w14:paraId="25DAB276">
      <w:pPr>
        <w:pStyle w:val="11"/>
        <w:tabs>
          <w:tab w:val="right" w:leader="dot" w:pos="8844"/>
        </w:tabs>
        <w:spacing w:after="0" w:line="440" w:lineRule="exact"/>
        <w:ind w:firstLine="31680"/>
        <w:rPr>
          <w:color w:val="000000"/>
          <w:sz w:val="28"/>
          <w:szCs w:val="28"/>
        </w:rPr>
      </w:pPr>
      <w:r>
        <w:fldChar w:fldCharType="begin"/>
      </w:r>
      <w:r>
        <w:instrText xml:space="preserve"> HYPERLINK \l "_Toc9135" </w:instrText>
      </w:r>
      <w:r>
        <w:fldChar w:fldCharType="separate"/>
      </w:r>
      <w:r>
        <w:rPr>
          <w:rFonts w:hint="eastAsia" w:ascii="宋体" w:hAnsi="宋体" w:eastAsia="宋体" w:cs="宋体"/>
          <w:bCs/>
          <w:color w:val="000000"/>
          <w:sz w:val="28"/>
          <w:szCs w:val="28"/>
        </w:rPr>
        <w:t>第二节　健全完善社会救助制度</w:t>
      </w:r>
      <w:r>
        <w:rPr>
          <w:color w:val="000000"/>
          <w:sz w:val="28"/>
          <w:szCs w:val="28"/>
        </w:rPr>
        <w:tab/>
      </w:r>
      <w:r>
        <w:rPr>
          <w:color w:val="000000"/>
          <w:sz w:val="28"/>
          <w:szCs w:val="28"/>
        </w:rPr>
        <w:fldChar w:fldCharType="begin"/>
      </w:r>
      <w:r>
        <w:rPr>
          <w:color w:val="000000"/>
          <w:sz w:val="28"/>
          <w:szCs w:val="28"/>
        </w:rPr>
        <w:instrText xml:space="preserve"> PAGEREF _Toc9135 </w:instrText>
      </w:r>
      <w:r>
        <w:rPr>
          <w:color w:val="000000"/>
          <w:sz w:val="28"/>
          <w:szCs w:val="28"/>
        </w:rPr>
        <w:fldChar w:fldCharType="separate"/>
      </w:r>
      <w:r>
        <w:rPr>
          <w:color w:val="000000"/>
          <w:sz w:val="28"/>
          <w:szCs w:val="28"/>
        </w:rPr>
        <w:t>15</w:t>
      </w:r>
      <w:r>
        <w:rPr>
          <w:color w:val="000000"/>
          <w:sz w:val="28"/>
          <w:szCs w:val="28"/>
        </w:rPr>
        <w:fldChar w:fldCharType="end"/>
      </w:r>
      <w:r>
        <w:rPr>
          <w:color w:val="000000"/>
          <w:sz w:val="28"/>
          <w:szCs w:val="28"/>
        </w:rPr>
        <w:fldChar w:fldCharType="end"/>
      </w:r>
    </w:p>
    <w:p w14:paraId="598BB53B">
      <w:pPr>
        <w:pStyle w:val="11"/>
        <w:tabs>
          <w:tab w:val="right" w:leader="dot" w:pos="8844"/>
        </w:tabs>
        <w:spacing w:after="0" w:line="440" w:lineRule="exact"/>
        <w:ind w:firstLine="31680"/>
        <w:rPr>
          <w:color w:val="000000"/>
          <w:sz w:val="28"/>
          <w:szCs w:val="28"/>
        </w:rPr>
      </w:pPr>
      <w:r>
        <w:fldChar w:fldCharType="begin"/>
      </w:r>
      <w:r>
        <w:instrText xml:space="preserve"> HYPERLINK \l "_Toc21228" </w:instrText>
      </w:r>
      <w:r>
        <w:fldChar w:fldCharType="separate"/>
      </w:r>
      <w:r>
        <w:rPr>
          <w:rFonts w:hint="eastAsia" w:ascii="宋体" w:hAnsi="宋体" w:eastAsia="宋体" w:cs="宋体"/>
          <w:bCs/>
          <w:color w:val="000000"/>
          <w:sz w:val="28"/>
          <w:szCs w:val="28"/>
        </w:rPr>
        <w:t>第三节　发展儿童福利事业</w:t>
      </w:r>
      <w:r>
        <w:rPr>
          <w:color w:val="000000"/>
          <w:sz w:val="28"/>
          <w:szCs w:val="28"/>
        </w:rPr>
        <w:tab/>
      </w:r>
      <w:r>
        <w:rPr>
          <w:color w:val="000000"/>
          <w:sz w:val="28"/>
          <w:szCs w:val="28"/>
        </w:rPr>
        <w:fldChar w:fldCharType="begin"/>
      </w:r>
      <w:r>
        <w:rPr>
          <w:color w:val="000000"/>
          <w:sz w:val="28"/>
          <w:szCs w:val="28"/>
        </w:rPr>
        <w:instrText xml:space="preserve"> PAGEREF _Toc21228 </w:instrText>
      </w:r>
      <w:r>
        <w:rPr>
          <w:color w:val="000000"/>
          <w:sz w:val="28"/>
          <w:szCs w:val="28"/>
        </w:rPr>
        <w:fldChar w:fldCharType="separate"/>
      </w:r>
      <w:r>
        <w:rPr>
          <w:color w:val="000000"/>
          <w:sz w:val="28"/>
          <w:szCs w:val="28"/>
        </w:rPr>
        <w:t>20</w:t>
      </w:r>
      <w:r>
        <w:rPr>
          <w:color w:val="000000"/>
          <w:sz w:val="28"/>
          <w:szCs w:val="28"/>
        </w:rPr>
        <w:fldChar w:fldCharType="end"/>
      </w:r>
      <w:r>
        <w:rPr>
          <w:color w:val="000000"/>
          <w:sz w:val="28"/>
          <w:szCs w:val="28"/>
        </w:rPr>
        <w:fldChar w:fldCharType="end"/>
      </w:r>
    </w:p>
    <w:p w14:paraId="37A1D84D">
      <w:pPr>
        <w:pStyle w:val="11"/>
        <w:tabs>
          <w:tab w:val="right" w:leader="dot" w:pos="8844"/>
        </w:tabs>
        <w:spacing w:after="0" w:line="440" w:lineRule="exact"/>
        <w:ind w:firstLine="31680"/>
        <w:rPr>
          <w:color w:val="000000"/>
          <w:sz w:val="28"/>
          <w:szCs w:val="28"/>
        </w:rPr>
      </w:pPr>
      <w:r>
        <w:fldChar w:fldCharType="begin"/>
      </w:r>
      <w:r>
        <w:instrText xml:space="preserve"> HYPERLINK \l "_Toc22164" </w:instrText>
      </w:r>
      <w:r>
        <w:fldChar w:fldCharType="separate"/>
      </w:r>
      <w:r>
        <w:rPr>
          <w:rFonts w:hint="eastAsia" w:ascii="宋体" w:hAnsi="宋体" w:eastAsia="宋体" w:cs="宋体"/>
          <w:bCs/>
          <w:color w:val="000000"/>
          <w:sz w:val="28"/>
          <w:szCs w:val="28"/>
        </w:rPr>
        <w:t>第四节　逐步提升助残服务能力</w:t>
      </w:r>
      <w:r>
        <w:rPr>
          <w:color w:val="000000"/>
          <w:sz w:val="28"/>
          <w:szCs w:val="28"/>
        </w:rPr>
        <w:tab/>
      </w:r>
      <w:r>
        <w:rPr>
          <w:color w:val="000000"/>
          <w:sz w:val="28"/>
          <w:szCs w:val="28"/>
        </w:rPr>
        <w:fldChar w:fldCharType="begin"/>
      </w:r>
      <w:r>
        <w:rPr>
          <w:color w:val="000000"/>
          <w:sz w:val="28"/>
          <w:szCs w:val="28"/>
        </w:rPr>
        <w:instrText xml:space="preserve"> PAGEREF _Toc22164 </w:instrText>
      </w:r>
      <w:r>
        <w:rPr>
          <w:color w:val="000000"/>
          <w:sz w:val="28"/>
          <w:szCs w:val="28"/>
        </w:rPr>
        <w:fldChar w:fldCharType="separate"/>
      </w:r>
      <w:r>
        <w:rPr>
          <w:color w:val="000000"/>
          <w:sz w:val="28"/>
          <w:szCs w:val="28"/>
        </w:rPr>
        <w:t>22</w:t>
      </w:r>
      <w:r>
        <w:rPr>
          <w:color w:val="000000"/>
          <w:sz w:val="28"/>
          <w:szCs w:val="28"/>
        </w:rPr>
        <w:fldChar w:fldCharType="end"/>
      </w:r>
      <w:r>
        <w:rPr>
          <w:color w:val="000000"/>
          <w:sz w:val="28"/>
          <w:szCs w:val="28"/>
        </w:rPr>
        <w:fldChar w:fldCharType="end"/>
      </w:r>
    </w:p>
    <w:p w14:paraId="6E262D64">
      <w:pPr>
        <w:pStyle w:val="11"/>
        <w:tabs>
          <w:tab w:val="right" w:leader="dot" w:pos="8844"/>
        </w:tabs>
        <w:spacing w:after="0" w:line="440" w:lineRule="exact"/>
        <w:ind w:firstLine="31680"/>
      </w:pPr>
      <w:r>
        <w:fldChar w:fldCharType="begin"/>
      </w:r>
      <w:r>
        <w:instrText xml:space="preserve"> HYPERLINK \l "_Toc22704" </w:instrText>
      </w:r>
      <w:r>
        <w:fldChar w:fldCharType="separate"/>
      </w:r>
      <w:r>
        <w:rPr>
          <w:rFonts w:hint="eastAsia" w:ascii="宋体" w:hAnsi="宋体" w:eastAsia="宋体" w:cs="宋体"/>
          <w:bCs/>
          <w:color w:val="000000"/>
          <w:sz w:val="28"/>
          <w:szCs w:val="28"/>
        </w:rPr>
        <w:t>第五节　发挥福利彩票支持保障作用</w:t>
      </w:r>
      <w:r>
        <w:rPr>
          <w:color w:val="000000"/>
          <w:sz w:val="28"/>
          <w:szCs w:val="28"/>
        </w:rPr>
        <w:tab/>
      </w:r>
      <w:r>
        <w:rPr>
          <w:color w:val="000000"/>
          <w:sz w:val="28"/>
          <w:szCs w:val="28"/>
        </w:rPr>
        <w:fldChar w:fldCharType="begin"/>
      </w:r>
      <w:r>
        <w:rPr>
          <w:color w:val="000000"/>
          <w:sz w:val="28"/>
          <w:szCs w:val="28"/>
        </w:rPr>
        <w:instrText xml:space="preserve"> PAGEREF _Toc22704 </w:instrText>
      </w:r>
      <w:r>
        <w:rPr>
          <w:color w:val="000000"/>
          <w:sz w:val="28"/>
          <w:szCs w:val="28"/>
        </w:rPr>
        <w:fldChar w:fldCharType="separate"/>
      </w:r>
      <w:r>
        <w:rPr>
          <w:color w:val="000000"/>
          <w:sz w:val="28"/>
          <w:szCs w:val="28"/>
        </w:rPr>
        <w:t>23</w:t>
      </w:r>
      <w:r>
        <w:rPr>
          <w:color w:val="000000"/>
          <w:sz w:val="28"/>
          <w:szCs w:val="28"/>
        </w:rPr>
        <w:fldChar w:fldCharType="end"/>
      </w:r>
      <w:r>
        <w:rPr>
          <w:color w:val="000000"/>
          <w:sz w:val="28"/>
          <w:szCs w:val="28"/>
        </w:rPr>
        <w:fldChar w:fldCharType="end"/>
      </w:r>
    </w:p>
    <w:p w14:paraId="6B55AC08">
      <w:pPr>
        <w:pStyle w:val="11"/>
        <w:tabs>
          <w:tab w:val="right" w:leader="dot" w:pos="8931"/>
        </w:tabs>
        <w:spacing w:after="0" w:line="440" w:lineRule="exact"/>
        <w:ind w:left="0" w:right="-227" w:rightChars="-71" w:firstLine="705" w:firstLineChars="252"/>
      </w:pPr>
      <w:r>
        <w:rPr>
          <w:rFonts w:hint="eastAsia" w:hAnsi="宋体" w:eastAsia="宋体"/>
          <w:sz w:val="28"/>
          <w:szCs w:val="28"/>
        </w:rPr>
        <w:t>第六节</w:t>
      </w:r>
      <w:r>
        <w:rPr>
          <w:rFonts w:eastAsia="宋体"/>
          <w:sz w:val="28"/>
          <w:szCs w:val="28"/>
        </w:rPr>
        <w:t xml:space="preserve">  </w:t>
      </w:r>
      <w:r>
        <w:rPr>
          <w:rFonts w:hint="eastAsia" w:hAnsi="宋体" w:eastAsia="宋体"/>
          <w:sz w:val="28"/>
          <w:szCs w:val="28"/>
        </w:rPr>
        <w:t>做好对口帮扶工作</w:t>
      </w:r>
      <w:r>
        <w:rPr>
          <w:rFonts w:hAnsi="宋体" w:eastAsia="宋体"/>
          <w:sz w:val="28"/>
          <w:szCs w:val="28"/>
        </w:rPr>
        <w:t>...................................................</w:t>
      </w:r>
      <w:r>
        <w:rPr>
          <w:rFonts w:hAnsi="宋体" w:eastAsia="宋体"/>
          <w:spacing w:val="6"/>
          <w:sz w:val="28"/>
          <w:szCs w:val="28"/>
        </w:rPr>
        <w:t>..</w:t>
      </w:r>
      <w:r>
        <w:rPr>
          <w:rFonts w:hAnsi="宋体" w:eastAsia="宋体"/>
          <w:spacing w:val="-4"/>
          <w:sz w:val="28"/>
          <w:szCs w:val="28"/>
        </w:rPr>
        <w:t>........</w:t>
      </w:r>
      <w:r>
        <w:rPr>
          <w:rFonts w:hAnsi="宋体" w:eastAsia="宋体"/>
          <w:sz w:val="28"/>
          <w:szCs w:val="28"/>
        </w:rPr>
        <w:t>...</w:t>
      </w:r>
      <w:r>
        <w:rPr>
          <w:rFonts w:eastAsia="宋体"/>
          <w:sz w:val="28"/>
          <w:szCs w:val="28"/>
        </w:rPr>
        <w:t>24</w:t>
      </w:r>
    </w:p>
    <w:p w14:paraId="6F68E266">
      <w:pPr>
        <w:pStyle w:val="10"/>
        <w:tabs>
          <w:tab w:val="right" w:leader="dot" w:pos="8844"/>
          <w:tab w:val="clear" w:pos="8834"/>
        </w:tabs>
        <w:spacing w:after="0" w:line="440" w:lineRule="exact"/>
        <w:rPr>
          <w:rFonts w:ascii="方正黑体简体" w:eastAsia="方正黑体简体"/>
          <w:color w:val="000000"/>
          <w:sz w:val="28"/>
          <w:szCs w:val="28"/>
        </w:rPr>
      </w:pPr>
      <w:r>
        <w:fldChar w:fldCharType="begin"/>
      </w:r>
      <w:r>
        <w:instrText xml:space="preserve"> HYPERLINK \l "_Toc10127" </w:instrText>
      </w:r>
      <w:r>
        <w:fldChar w:fldCharType="separate"/>
      </w:r>
      <w:r>
        <w:rPr>
          <w:rFonts w:hint="eastAsia" w:ascii="方正黑体简体" w:eastAsia="方正黑体简体"/>
          <w:color w:val="000000"/>
          <w:sz w:val="28"/>
          <w:szCs w:val="28"/>
        </w:rPr>
        <w:t>第三章　构建基层社会治理新格局</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_Toc10127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26</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17FD0ED0">
      <w:pPr>
        <w:pStyle w:val="11"/>
        <w:tabs>
          <w:tab w:val="right" w:leader="dot" w:pos="8844"/>
        </w:tabs>
        <w:spacing w:after="0" w:line="440" w:lineRule="exact"/>
        <w:ind w:firstLine="31680"/>
        <w:rPr>
          <w:color w:val="000000"/>
          <w:sz w:val="28"/>
          <w:szCs w:val="28"/>
        </w:rPr>
      </w:pPr>
      <w:r>
        <w:fldChar w:fldCharType="begin"/>
      </w:r>
      <w:r>
        <w:instrText xml:space="preserve"> HYPERLINK \l "_Toc1545" </w:instrText>
      </w:r>
      <w:r>
        <w:fldChar w:fldCharType="separate"/>
      </w:r>
      <w:r>
        <w:rPr>
          <w:rFonts w:hint="eastAsia" w:ascii="宋体" w:hAnsi="宋体" w:eastAsia="宋体" w:cs="宋体"/>
          <w:bCs/>
          <w:color w:val="000000"/>
          <w:sz w:val="28"/>
          <w:szCs w:val="28"/>
        </w:rPr>
        <w:t>第一节　完善城乡社区治理</w:t>
      </w:r>
      <w:r>
        <w:rPr>
          <w:color w:val="000000"/>
          <w:sz w:val="28"/>
          <w:szCs w:val="28"/>
        </w:rPr>
        <w:tab/>
      </w:r>
      <w:r>
        <w:rPr>
          <w:color w:val="000000"/>
          <w:sz w:val="28"/>
          <w:szCs w:val="28"/>
        </w:rPr>
        <w:fldChar w:fldCharType="begin"/>
      </w:r>
      <w:r>
        <w:rPr>
          <w:color w:val="000000"/>
          <w:sz w:val="28"/>
          <w:szCs w:val="28"/>
        </w:rPr>
        <w:instrText xml:space="preserve"> PAGEREF _Toc1545 </w:instrText>
      </w:r>
      <w:r>
        <w:rPr>
          <w:color w:val="000000"/>
          <w:sz w:val="28"/>
          <w:szCs w:val="28"/>
        </w:rPr>
        <w:fldChar w:fldCharType="separate"/>
      </w:r>
      <w:r>
        <w:rPr>
          <w:color w:val="000000"/>
          <w:sz w:val="28"/>
          <w:szCs w:val="28"/>
        </w:rPr>
        <w:t>26</w:t>
      </w:r>
      <w:r>
        <w:rPr>
          <w:color w:val="000000"/>
          <w:sz w:val="28"/>
          <w:szCs w:val="28"/>
        </w:rPr>
        <w:fldChar w:fldCharType="end"/>
      </w:r>
      <w:r>
        <w:rPr>
          <w:color w:val="000000"/>
          <w:sz w:val="28"/>
          <w:szCs w:val="28"/>
        </w:rPr>
        <w:fldChar w:fldCharType="end"/>
      </w:r>
    </w:p>
    <w:p w14:paraId="3039579B">
      <w:pPr>
        <w:pStyle w:val="11"/>
        <w:tabs>
          <w:tab w:val="right" w:leader="dot" w:pos="8844"/>
        </w:tabs>
        <w:spacing w:after="0" w:line="440" w:lineRule="exact"/>
        <w:ind w:firstLine="31680"/>
        <w:rPr>
          <w:color w:val="000000"/>
          <w:sz w:val="28"/>
          <w:szCs w:val="28"/>
        </w:rPr>
      </w:pPr>
      <w:r>
        <w:fldChar w:fldCharType="begin"/>
      </w:r>
      <w:r>
        <w:instrText xml:space="preserve"> HYPERLINK \l "_Toc26949" </w:instrText>
      </w:r>
      <w:r>
        <w:fldChar w:fldCharType="separate"/>
      </w:r>
      <w:r>
        <w:rPr>
          <w:rFonts w:hint="eastAsia" w:ascii="宋体" w:hAnsi="宋体" w:eastAsia="宋体" w:cs="宋体"/>
          <w:bCs/>
          <w:color w:val="000000"/>
          <w:sz w:val="28"/>
          <w:szCs w:val="28"/>
        </w:rPr>
        <w:t>第二节　创新社会组织发展</w:t>
      </w:r>
      <w:r>
        <w:rPr>
          <w:color w:val="000000"/>
          <w:sz w:val="28"/>
          <w:szCs w:val="28"/>
        </w:rPr>
        <w:tab/>
      </w:r>
      <w:r>
        <w:rPr>
          <w:color w:val="000000"/>
          <w:sz w:val="28"/>
          <w:szCs w:val="28"/>
        </w:rPr>
        <w:fldChar w:fldCharType="begin"/>
      </w:r>
      <w:r>
        <w:rPr>
          <w:color w:val="000000"/>
          <w:sz w:val="28"/>
          <w:szCs w:val="28"/>
        </w:rPr>
        <w:instrText xml:space="preserve"> PAGEREF _Toc26949 </w:instrText>
      </w:r>
      <w:r>
        <w:rPr>
          <w:color w:val="000000"/>
          <w:sz w:val="28"/>
          <w:szCs w:val="28"/>
        </w:rPr>
        <w:fldChar w:fldCharType="separate"/>
      </w:r>
      <w:r>
        <w:rPr>
          <w:color w:val="000000"/>
          <w:sz w:val="28"/>
          <w:szCs w:val="28"/>
        </w:rPr>
        <w:t>29</w:t>
      </w:r>
      <w:r>
        <w:rPr>
          <w:color w:val="000000"/>
          <w:sz w:val="28"/>
          <w:szCs w:val="28"/>
        </w:rPr>
        <w:fldChar w:fldCharType="end"/>
      </w:r>
      <w:r>
        <w:rPr>
          <w:color w:val="000000"/>
          <w:sz w:val="28"/>
          <w:szCs w:val="28"/>
        </w:rPr>
        <w:fldChar w:fldCharType="end"/>
      </w:r>
    </w:p>
    <w:p w14:paraId="3164293C">
      <w:pPr>
        <w:pStyle w:val="11"/>
        <w:tabs>
          <w:tab w:val="right" w:leader="dot" w:pos="8844"/>
        </w:tabs>
        <w:spacing w:after="0" w:line="440" w:lineRule="exact"/>
        <w:ind w:firstLine="31680"/>
        <w:rPr>
          <w:color w:val="000000"/>
          <w:sz w:val="28"/>
          <w:szCs w:val="28"/>
        </w:rPr>
      </w:pPr>
      <w:r>
        <w:fldChar w:fldCharType="begin"/>
      </w:r>
      <w:r>
        <w:instrText xml:space="preserve"> HYPERLINK \l "_Toc25539" </w:instrText>
      </w:r>
      <w:r>
        <w:fldChar w:fldCharType="separate"/>
      </w:r>
      <w:r>
        <w:rPr>
          <w:rFonts w:hint="eastAsia" w:ascii="宋体" w:hAnsi="宋体" w:eastAsia="宋体" w:cs="宋体"/>
          <w:bCs/>
          <w:color w:val="000000"/>
          <w:sz w:val="28"/>
          <w:szCs w:val="28"/>
        </w:rPr>
        <w:t>第三节　健全社会工作和志愿服务体系</w:t>
      </w:r>
      <w:r>
        <w:rPr>
          <w:color w:val="000000"/>
          <w:sz w:val="28"/>
          <w:szCs w:val="28"/>
        </w:rPr>
        <w:tab/>
      </w:r>
      <w:r>
        <w:rPr>
          <w:color w:val="000000"/>
          <w:sz w:val="28"/>
          <w:szCs w:val="28"/>
        </w:rPr>
        <w:fldChar w:fldCharType="begin"/>
      </w:r>
      <w:r>
        <w:rPr>
          <w:color w:val="000000"/>
          <w:sz w:val="28"/>
          <w:szCs w:val="28"/>
        </w:rPr>
        <w:instrText xml:space="preserve"> PAGEREF _Toc25539 </w:instrText>
      </w:r>
      <w:r>
        <w:rPr>
          <w:color w:val="000000"/>
          <w:sz w:val="28"/>
          <w:szCs w:val="28"/>
        </w:rPr>
        <w:fldChar w:fldCharType="separate"/>
      </w:r>
      <w:r>
        <w:rPr>
          <w:color w:val="000000"/>
          <w:sz w:val="28"/>
          <w:szCs w:val="28"/>
        </w:rPr>
        <w:t>30</w:t>
      </w:r>
      <w:r>
        <w:rPr>
          <w:color w:val="000000"/>
          <w:sz w:val="28"/>
          <w:szCs w:val="28"/>
        </w:rPr>
        <w:fldChar w:fldCharType="end"/>
      </w:r>
      <w:r>
        <w:rPr>
          <w:color w:val="000000"/>
          <w:sz w:val="28"/>
          <w:szCs w:val="28"/>
        </w:rPr>
        <w:fldChar w:fldCharType="end"/>
      </w:r>
    </w:p>
    <w:p w14:paraId="1CAF596D">
      <w:pPr>
        <w:pStyle w:val="11"/>
        <w:tabs>
          <w:tab w:val="right" w:leader="dot" w:pos="8844"/>
        </w:tabs>
        <w:spacing w:after="0" w:line="440" w:lineRule="exact"/>
        <w:ind w:firstLine="31680"/>
        <w:rPr>
          <w:color w:val="000000"/>
          <w:sz w:val="28"/>
          <w:szCs w:val="28"/>
        </w:rPr>
      </w:pPr>
      <w:r>
        <w:fldChar w:fldCharType="begin"/>
      </w:r>
      <w:r>
        <w:instrText xml:space="preserve"> HYPERLINK \l "_Toc26406" </w:instrText>
      </w:r>
      <w:r>
        <w:fldChar w:fldCharType="separate"/>
      </w:r>
      <w:r>
        <w:rPr>
          <w:rFonts w:hint="eastAsia" w:ascii="宋体" w:hAnsi="宋体" w:eastAsia="宋体" w:cs="宋体"/>
          <w:bCs/>
          <w:color w:val="000000"/>
          <w:sz w:val="28"/>
          <w:szCs w:val="28"/>
        </w:rPr>
        <w:t>第四节　推动慈善事业健康发展</w:t>
      </w:r>
      <w:r>
        <w:rPr>
          <w:color w:val="000000"/>
          <w:sz w:val="28"/>
          <w:szCs w:val="28"/>
        </w:rPr>
        <w:tab/>
      </w:r>
      <w:r>
        <w:rPr>
          <w:color w:val="000000"/>
          <w:sz w:val="28"/>
          <w:szCs w:val="28"/>
        </w:rPr>
        <w:fldChar w:fldCharType="begin"/>
      </w:r>
      <w:r>
        <w:rPr>
          <w:color w:val="000000"/>
          <w:sz w:val="28"/>
          <w:szCs w:val="28"/>
        </w:rPr>
        <w:instrText xml:space="preserve"> PAGEREF _Toc26406 </w:instrText>
      </w:r>
      <w:r>
        <w:rPr>
          <w:color w:val="000000"/>
          <w:sz w:val="28"/>
          <w:szCs w:val="28"/>
        </w:rPr>
        <w:fldChar w:fldCharType="separate"/>
      </w:r>
      <w:r>
        <w:rPr>
          <w:color w:val="000000"/>
          <w:sz w:val="28"/>
          <w:szCs w:val="28"/>
        </w:rPr>
        <w:t>33</w:t>
      </w:r>
      <w:r>
        <w:rPr>
          <w:color w:val="000000"/>
          <w:sz w:val="28"/>
          <w:szCs w:val="28"/>
        </w:rPr>
        <w:fldChar w:fldCharType="end"/>
      </w:r>
      <w:r>
        <w:rPr>
          <w:color w:val="000000"/>
          <w:sz w:val="28"/>
          <w:szCs w:val="28"/>
        </w:rPr>
        <w:fldChar w:fldCharType="end"/>
      </w:r>
    </w:p>
    <w:p w14:paraId="71F168E6">
      <w:pPr>
        <w:pStyle w:val="11"/>
        <w:tabs>
          <w:tab w:val="right" w:leader="dot" w:pos="8844"/>
        </w:tabs>
        <w:spacing w:after="0" w:line="440" w:lineRule="exact"/>
        <w:ind w:firstLine="31680"/>
        <w:rPr>
          <w:color w:val="000000"/>
          <w:sz w:val="28"/>
          <w:szCs w:val="28"/>
        </w:rPr>
      </w:pPr>
      <w:r>
        <w:fldChar w:fldCharType="begin"/>
      </w:r>
      <w:r>
        <w:instrText xml:space="preserve"> HYPERLINK \l "_Toc9751" </w:instrText>
      </w:r>
      <w:r>
        <w:fldChar w:fldCharType="separate"/>
      </w:r>
      <w:r>
        <w:rPr>
          <w:rFonts w:hint="eastAsia" w:ascii="宋体" w:hAnsi="宋体" w:eastAsia="宋体" w:cs="宋体"/>
          <w:bCs/>
          <w:color w:val="000000"/>
          <w:sz w:val="28"/>
          <w:szCs w:val="28"/>
        </w:rPr>
        <w:t>第五节　优化区划地名管理与服务</w:t>
      </w:r>
      <w:r>
        <w:rPr>
          <w:color w:val="000000"/>
          <w:sz w:val="28"/>
          <w:szCs w:val="28"/>
        </w:rPr>
        <w:tab/>
      </w:r>
      <w:r>
        <w:rPr>
          <w:color w:val="000000"/>
          <w:sz w:val="28"/>
          <w:szCs w:val="28"/>
        </w:rPr>
        <w:fldChar w:fldCharType="begin"/>
      </w:r>
      <w:r>
        <w:rPr>
          <w:color w:val="000000"/>
          <w:sz w:val="28"/>
          <w:szCs w:val="28"/>
        </w:rPr>
        <w:instrText xml:space="preserve"> PAGEREF _Toc9751 </w:instrText>
      </w:r>
      <w:r>
        <w:rPr>
          <w:color w:val="000000"/>
          <w:sz w:val="28"/>
          <w:szCs w:val="28"/>
        </w:rPr>
        <w:fldChar w:fldCharType="separate"/>
      </w:r>
      <w:r>
        <w:rPr>
          <w:color w:val="000000"/>
          <w:sz w:val="28"/>
          <w:szCs w:val="28"/>
        </w:rPr>
        <w:t>34</w:t>
      </w:r>
      <w:r>
        <w:rPr>
          <w:color w:val="000000"/>
          <w:sz w:val="28"/>
          <w:szCs w:val="28"/>
        </w:rPr>
        <w:fldChar w:fldCharType="end"/>
      </w:r>
      <w:r>
        <w:rPr>
          <w:color w:val="000000"/>
          <w:sz w:val="28"/>
          <w:szCs w:val="28"/>
        </w:rPr>
        <w:fldChar w:fldCharType="end"/>
      </w:r>
    </w:p>
    <w:p w14:paraId="48384A64">
      <w:pPr>
        <w:pStyle w:val="10"/>
        <w:tabs>
          <w:tab w:val="right" w:leader="dot" w:pos="8844"/>
          <w:tab w:val="clear" w:pos="8834"/>
        </w:tabs>
        <w:spacing w:after="0" w:line="440" w:lineRule="exact"/>
        <w:rPr>
          <w:rFonts w:ascii="方正黑体简体" w:eastAsia="方正黑体简体"/>
          <w:color w:val="000000"/>
          <w:sz w:val="28"/>
          <w:szCs w:val="28"/>
        </w:rPr>
      </w:pPr>
      <w:r>
        <w:fldChar w:fldCharType="begin"/>
      </w:r>
      <w:r>
        <w:instrText xml:space="preserve"> HYPERLINK \l "_Toc26855" </w:instrText>
      </w:r>
      <w:r>
        <w:fldChar w:fldCharType="separate"/>
      </w:r>
      <w:r>
        <w:rPr>
          <w:rFonts w:hint="eastAsia" w:ascii="方正黑体简体" w:eastAsia="方正黑体简体"/>
          <w:color w:val="000000"/>
          <w:sz w:val="28"/>
          <w:szCs w:val="28"/>
        </w:rPr>
        <w:t>第四章　优化基本社会服务</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_Toc26855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37</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24777612">
      <w:pPr>
        <w:pStyle w:val="11"/>
        <w:tabs>
          <w:tab w:val="right" w:leader="dot" w:pos="8844"/>
        </w:tabs>
        <w:spacing w:after="0" w:line="440" w:lineRule="exact"/>
        <w:ind w:firstLine="31680"/>
        <w:rPr>
          <w:color w:val="000000"/>
          <w:sz w:val="28"/>
          <w:szCs w:val="28"/>
        </w:rPr>
      </w:pPr>
      <w:r>
        <w:fldChar w:fldCharType="begin"/>
      </w:r>
      <w:r>
        <w:instrText xml:space="preserve"> HYPERLINK \l "_Toc20672" </w:instrText>
      </w:r>
      <w:r>
        <w:fldChar w:fldCharType="separate"/>
      </w:r>
      <w:r>
        <w:rPr>
          <w:rFonts w:hint="eastAsia" w:ascii="宋体" w:hAnsi="宋体" w:eastAsia="宋体" w:cs="宋体"/>
          <w:bCs/>
          <w:color w:val="000000"/>
          <w:sz w:val="28"/>
          <w:szCs w:val="28"/>
        </w:rPr>
        <w:t>第一节　推进未成年人保护体系建设</w:t>
      </w:r>
      <w:r>
        <w:rPr>
          <w:color w:val="000000"/>
          <w:sz w:val="28"/>
          <w:szCs w:val="28"/>
        </w:rPr>
        <w:tab/>
      </w:r>
      <w:r>
        <w:rPr>
          <w:color w:val="000000"/>
          <w:sz w:val="28"/>
          <w:szCs w:val="28"/>
        </w:rPr>
        <w:fldChar w:fldCharType="begin"/>
      </w:r>
      <w:r>
        <w:rPr>
          <w:color w:val="000000"/>
          <w:sz w:val="28"/>
          <w:szCs w:val="28"/>
        </w:rPr>
        <w:instrText xml:space="preserve"> PAGEREF _Toc20672 </w:instrText>
      </w:r>
      <w:r>
        <w:rPr>
          <w:color w:val="000000"/>
          <w:sz w:val="28"/>
          <w:szCs w:val="28"/>
        </w:rPr>
        <w:fldChar w:fldCharType="separate"/>
      </w:r>
      <w:r>
        <w:rPr>
          <w:color w:val="000000"/>
          <w:sz w:val="28"/>
          <w:szCs w:val="28"/>
        </w:rPr>
        <w:t>37</w:t>
      </w:r>
      <w:r>
        <w:rPr>
          <w:color w:val="000000"/>
          <w:sz w:val="28"/>
          <w:szCs w:val="28"/>
        </w:rPr>
        <w:fldChar w:fldCharType="end"/>
      </w:r>
      <w:r>
        <w:rPr>
          <w:color w:val="000000"/>
          <w:sz w:val="28"/>
          <w:szCs w:val="28"/>
        </w:rPr>
        <w:fldChar w:fldCharType="end"/>
      </w:r>
    </w:p>
    <w:p w14:paraId="0173F308">
      <w:pPr>
        <w:pStyle w:val="11"/>
        <w:tabs>
          <w:tab w:val="right" w:leader="dot" w:pos="8844"/>
        </w:tabs>
        <w:spacing w:after="0" w:line="440" w:lineRule="exact"/>
        <w:ind w:firstLine="31680"/>
        <w:rPr>
          <w:color w:val="000000"/>
          <w:sz w:val="28"/>
          <w:szCs w:val="28"/>
        </w:rPr>
      </w:pPr>
      <w:r>
        <w:fldChar w:fldCharType="begin"/>
      </w:r>
      <w:r>
        <w:instrText xml:space="preserve"> HYPERLINK \l "_Toc15049" </w:instrText>
      </w:r>
      <w:r>
        <w:fldChar w:fldCharType="separate"/>
      </w:r>
      <w:r>
        <w:rPr>
          <w:rFonts w:hint="eastAsia" w:ascii="宋体" w:hAnsi="宋体" w:eastAsia="宋体" w:cs="宋体"/>
          <w:bCs/>
          <w:color w:val="000000"/>
          <w:sz w:val="28"/>
          <w:szCs w:val="28"/>
        </w:rPr>
        <w:t>第二节　加强婚姻登记管理和服务</w:t>
      </w:r>
      <w:r>
        <w:rPr>
          <w:color w:val="000000"/>
          <w:sz w:val="28"/>
          <w:szCs w:val="28"/>
        </w:rPr>
        <w:tab/>
      </w:r>
      <w:r>
        <w:rPr>
          <w:color w:val="000000"/>
          <w:sz w:val="28"/>
          <w:szCs w:val="28"/>
        </w:rPr>
        <w:fldChar w:fldCharType="begin"/>
      </w:r>
      <w:r>
        <w:rPr>
          <w:color w:val="000000"/>
          <w:sz w:val="28"/>
          <w:szCs w:val="28"/>
        </w:rPr>
        <w:instrText xml:space="preserve"> PAGEREF _Toc15049 </w:instrText>
      </w:r>
      <w:r>
        <w:rPr>
          <w:color w:val="000000"/>
          <w:sz w:val="28"/>
          <w:szCs w:val="28"/>
        </w:rPr>
        <w:fldChar w:fldCharType="separate"/>
      </w:r>
      <w:r>
        <w:rPr>
          <w:color w:val="000000"/>
          <w:sz w:val="28"/>
          <w:szCs w:val="28"/>
        </w:rPr>
        <w:t>38</w:t>
      </w:r>
      <w:r>
        <w:rPr>
          <w:color w:val="000000"/>
          <w:sz w:val="28"/>
          <w:szCs w:val="28"/>
        </w:rPr>
        <w:fldChar w:fldCharType="end"/>
      </w:r>
      <w:r>
        <w:rPr>
          <w:color w:val="000000"/>
          <w:sz w:val="28"/>
          <w:szCs w:val="28"/>
        </w:rPr>
        <w:fldChar w:fldCharType="end"/>
      </w:r>
    </w:p>
    <w:p w14:paraId="6D7C4000">
      <w:pPr>
        <w:pStyle w:val="11"/>
        <w:tabs>
          <w:tab w:val="right" w:leader="dot" w:pos="8844"/>
        </w:tabs>
        <w:spacing w:after="0" w:line="440" w:lineRule="exact"/>
        <w:ind w:firstLine="31680"/>
        <w:rPr>
          <w:color w:val="000000"/>
          <w:sz w:val="28"/>
          <w:szCs w:val="28"/>
        </w:rPr>
      </w:pPr>
      <w:r>
        <w:fldChar w:fldCharType="begin"/>
      </w:r>
      <w:r>
        <w:instrText xml:space="preserve"> HYPERLINK \l "_Toc16551" </w:instrText>
      </w:r>
      <w:r>
        <w:fldChar w:fldCharType="separate"/>
      </w:r>
      <w:r>
        <w:rPr>
          <w:rFonts w:hint="eastAsia" w:ascii="宋体" w:hAnsi="宋体" w:eastAsia="宋体" w:cs="宋体"/>
          <w:bCs/>
          <w:color w:val="000000"/>
          <w:sz w:val="28"/>
          <w:szCs w:val="28"/>
        </w:rPr>
        <w:t>第三节　提升殡葬管理和服务水平</w:t>
      </w:r>
      <w:r>
        <w:rPr>
          <w:color w:val="000000"/>
          <w:sz w:val="28"/>
          <w:szCs w:val="28"/>
        </w:rPr>
        <w:tab/>
      </w:r>
      <w:r>
        <w:rPr>
          <w:color w:val="000000"/>
          <w:sz w:val="28"/>
          <w:szCs w:val="28"/>
        </w:rPr>
        <w:fldChar w:fldCharType="begin"/>
      </w:r>
      <w:r>
        <w:rPr>
          <w:color w:val="000000"/>
          <w:sz w:val="28"/>
          <w:szCs w:val="28"/>
        </w:rPr>
        <w:instrText xml:space="preserve"> PAGEREF _Toc16551 </w:instrText>
      </w:r>
      <w:r>
        <w:rPr>
          <w:color w:val="000000"/>
          <w:sz w:val="28"/>
          <w:szCs w:val="28"/>
        </w:rPr>
        <w:fldChar w:fldCharType="separate"/>
      </w:r>
      <w:r>
        <w:rPr>
          <w:color w:val="000000"/>
          <w:sz w:val="28"/>
          <w:szCs w:val="28"/>
        </w:rPr>
        <w:t>39</w:t>
      </w:r>
      <w:r>
        <w:rPr>
          <w:color w:val="000000"/>
          <w:sz w:val="28"/>
          <w:szCs w:val="28"/>
        </w:rPr>
        <w:fldChar w:fldCharType="end"/>
      </w:r>
      <w:r>
        <w:rPr>
          <w:color w:val="000000"/>
          <w:sz w:val="28"/>
          <w:szCs w:val="28"/>
        </w:rPr>
        <w:fldChar w:fldCharType="end"/>
      </w:r>
    </w:p>
    <w:p w14:paraId="2CDD8B8D">
      <w:pPr>
        <w:pStyle w:val="10"/>
        <w:tabs>
          <w:tab w:val="right" w:leader="dot" w:pos="8844"/>
          <w:tab w:val="clear" w:pos="8834"/>
        </w:tabs>
        <w:spacing w:after="0" w:line="440" w:lineRule="exact"/>
        <w:rPr>
          <w:rFonts w:ascii="方正黑体简体" w:eastAsia="方正黑体简体"/>
          <w:color w:val="000000"/>
          <w:sz w:val="28"/>
          <w:szCs w:val="28"/>
        </w:rPr>
      </w:pPr>
      <w:r>
        <w:fldChar w:fldCharType="begin"/>
      </w:r>
      <w:r>
        <w:instrText xml:space="preserve"> HYPERLINK \l "_Toc10514" </w:instrText>
      </w:r>
      <w:r>
        <w:fldChar w:fldCharType="separate"/>
      </w:r>
      <w:r>
        <w:rPr>
          <w:rFonts w:hint="eastAsia" w:ascii="方正黑体简体" w:eastAsia="方正黑体简体"/>
          <w:color w:val="000000"/>
          <w:sz w:val="28"/>
          <w:szCs w:val="28"/>
        </w:rPr>
        <w:t>第五章　推动养老服务高质量发展</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_Toc10514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42</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1C7A60CD">
      <w:pPr>
        <w:pStyle w:val="11"/>
        <w:tabs>
          <w:tab w:val="right" w:leader="dot" w:pos="8844"/>
        </w:tabs>
        <w:spacing w:after="0" w:line="440" w:lineRule="exact"/>
        <w:ind w:firstLine="31680"/>
        <w:rPr>
          <w:color w:val="000000"/>
          <w:sz w:val="28"/>
          <w:szCs w:val="28"/>
        </w:rPr>
      </w:pPr>
      <w:r>
        <w:fldChar w:fldCharType="begin"/>
      </w:r>
      <w:r>
        <w:instrText xml:space="preserve"> HYPERLINK \l "_Toc28656" </w:instrText>
      </w:r>
      <w:r>
        <w:fldChar w:fldCharType="separate"/>
      </w:r>
      <w:r>
        <w:rPr>
          <w:rFonts w:hint="eastAsia" w:ascii="宋体" w:hAnsi="宋体" w:eastAsia="宋体" w:cs="宋体"/>
          <w:bCs/>
          <w:color w:val="000000"/>
          <w:sz w:val="28"/>
          <w:szCs w:val="28"/>
        </w:rPr>
        <w:t>第一节　加强养老服务保障</w:t>
      </w:r>
      <w:r>
        <w:rPr>
          <w:color w:val="000000"/>
          <w:sz w:val="28"/>
          <w:szCs w:val="28"/>
        </w:rPr>
        <w:tab/>
      </w:r>
      <w:r>
        <w:rPr>
          <w:color w:val="000000"/>
          <w:sz w:val="28"/>
          <w:szCs w:val="28"/>
        </w:rPr>
        <w:fldChar w:fldCharType="begin"/>
      </w:r>
      <w:r>
        <w:rPr>
          <w:color w:val="000000"/>
          <w:sz w:val="28"/>
          <w:szCs w:val="28"/>
        </w:rPr>
        <w:instrText xml:space="preserve"> PAGEREF _Toc28656 </w:instrText>
      </w:r>
      <w:r>
        <w:rPr>
          <w:color w:val="000000"/>
          <w:sz w:val="28"/>
          <w:szCs w:val="28"/>
        </w:rPr>
        <w:fldChar w:fldCharType="separate"/>
      </w:r>
      <w:r>
        <w:rPr>
          <w:color w:val="000000"/>
          <w:sz w:val="28"/>
          <w:szCs w:val="28"/>
        </w:rPr>
        <w:t>42</w:t>
      </w:r>
      <w:r>
        <w:rPr>
          <w:color w:val="000000"/>
          <w:sz w:val="28"/>
          <w:szCs w:val="28"/>
        </w:rPr>
        <w:fldChar w:fldCharType="end"/>
      </w:r>
      <w:r>
        <w:rPr>
          <w:color w:val="000000"/>
          <w:sz w:val="28"/>
          <w:szCs w:val="28"/>
        </w:rPr>
        <w:fldChar w:fldCharType="end"/>
      </w:r>
    </w:p>
    <w:p w14:paraId="65AFF0E5">
      <w:pPr>
        <w:pStyle w:val="11"/>
        <w:tabs>
          <w:tab w:val="right" w:leader="dot" w:pos="8844"/>
        </w:tabs>
        <w:spacing w:after="0" w:line="440" w:lineRule="exact"/>
        <w:ind w:firstLine="31680"/>
        <w:rPr>
          <w:color w:val="000000"/>
          <w:sz w:val="28"/>
          <w:szCs w:val="28"/>
        </w:rPr>
      </w:pPr>
      <w:r>
        <w:fldChar w:fldCharType="begin"/>
      </w:r>
      <w:r>
        <w:instrText xml:space="preserve"> HYPERLINK \l "_Toc4202" </w:instrText>
      </w:r>
      <w:r>
        <w:fldChar w:fldCharType="separate"/>
      </w:r>
      <w:r>
        <w:rPr>
          <w:rFonts w:hint="eastAsia" w:ascii="宋体" w:hAnsi="宋体" w:eastAsia="宋体" w:cs="宋体"/>
          <w:color w:val="000000"/>
          <w:sz w:val="28"/>
          <w:szCs w:val="28"/>
        </w:rPr>
        <w:t>第二节　优化养老服务供给</w:t>
      </w:r>
      <w:r>
        <w:rPr>
          <w:color w:val="000000"/>
          <w:sz w:val="28"/>
          <w:szCs w:val="28"/>
        </w:rPr>
        <w:tab/>
      </w:r>
      <w:r>
        <w:rPr>
          <w:color w:val="000000"/>
          <w:sz w:val="28"/>
          <w:szCs w:val="28"/>
        </w:rPr>
        <w:fldChar w:fldCharType="begin"/>
      </w:r>
      <w:r>
        <w:rPr>
          <w:color w:val="000000"/>
          <w:sz w:val="28"/>
          <w:szCs w:val="28"/>
        </w:rPr>
        <w:instrText xml:space="preserve"> PAGEREF _Toc4202 </w:instrText>
      </w:r>
      <w:r>
        <w:rPr>
          <w:color w:val="000000"/>
          <w:sz w:val="28"/>
          <w:szCs w:val="28"/>
        </w:rPr>
        <w:fldChar w:fldCharType="separate"/>
      </w:r>
      <w:r>
        <w:rPr>
          <w:color w:val="000000"/>
          <w:sz w:val="28"/>
          <w:szCs w:val="28"/>
        </w:rPr>
        <w:t>43</w:t>
      </w:r>
      <w:r>
        <w:rPr>
          <w:color w:val="000000"/>
          <w:sz w:val="28"/>
          <w:szCs w:val="28"/>
        </w:rPr>
        <w:fldChar w:fldCharType="end"/>
      </w:r>
      <w:r>
        <w:rPr>
          <w:color w:val="000000"/>
          <w:sz w:val="28"/>
          <w:szCs w:val="28"/>
        </w:rPr>
        <w:fldChar w:fldCharType="end"/>
      </w:r>
    </w:p>
    <w:p w14:paraId="420BF0CD">
      <w:pPr>
        <w:pStyle w:val="11"/>
        <w:tabs>
          <w:tab w:val="right" w:leader="dot" w:pos="8844"/>
        </w:tabs>
        <w:spacing w:after="0" w:line="440" w:lineRule="exact"/>
        <w:ind w:firstLine="31680"/>
        <w:rPr>
          <w:color w:val="000000"/>
          <w:sz w:val="28"/>
          <w:szCs w:val="28"/>
        </w:rPr>
      </w:pPr>
      <w:r>
        <w:fldChar w:fldCharType="begin"/>
      </w:r>
      <w:r>
        <w:instrText xml:space="preserve"> HYPERLINK \l "_Toc12143" </w:instrText>
      </w:r>
      <w:r>
        <w:fldChar w:fldCharType="separate"/>
      </w:r>
      <w:r>
        <w:rPr>
          <w:rFonts w:hint="eastAsia" w:ascii="宋体" w:hAnsi="宋体" w:eastAsia="宋体" w:cs="宋体"/>
          <w:bCs/>
          <w:color w:val="000000"/>
          <w:sz w:val="28"/>
          <w:szCs w:val="28"/>
        </w:rPr>
        <w:t>第三节　提升养老服务质量</w:t>
      </w:r>
      <w:r>
        <w:rPr>
          <w:color w:val="000000"/>
          <w:sz w:val="28"/>
          <w:szCs w:val="28"/>
        </w:rPr>
        <w:tab/>
      </w:r>
      <w:r>
        <w:rPr>
          <w:color w:val="000000"/>
          <w:sz w:val="28"/>
          <w:szCs w:val="28"/>
        </w:rPr>
        <w:fldChar w:fldCharType="begin"/>
      </w:r>
      <w:r>
        <w:rPr>
          <w:color w:val="000000"/>
          <w:sz w:val="28"/>
          <w:szCs w:val="28"/>
        </w:rPr>
        <w:instrText xml:space="preserve"> PAGEREF _Toc12143 </w:instrText>
      </w:r>
      <w:r>
        <w:rPr>
          <w:color w:val="000000"/>
          <w:sz w:val="28"/>
          <w:szCs w:val="28"/>
        </w:rPr>
        <w:fldChar w:fldCharType="separate"/>
      </w:r>
      <w:r>
        <w:rPr>
          <w:color w:val="000000"/>
          <w:sz w:val="28"/>
          <w:szCs w:val="28"/>
        </w:rPr>
        <w:t>46</w:t>
      </w:r>
      <w:r>
        <w:rPr>
          <w:color w:val="000000"/>
          <w:sz w:val="28"/>
          <w:szCs w:val="28"/>
        </w:rPr>
        <w:fldChar w:fldCharType="end"/>
      </w:r>
      <w:r>
        <w:rPr>
          <w:color w:val="000000"/>
          <w:sz w:val="28"/>
          <w:szCs w:val="28"/>
        </w:rPr>
        <w:fldChar w:fldCharType="end"/>
      </w:r>
    </w:p>
    <w:p w14:paraId="2F069AF8">
      <w:pPr>
        <w:pStyle w:val="11"/>
        <w:tabs>
          <w:tab w:val="right" w:leader="dot" w:pos="8844"/>
        </w:tabs>
        <w:spacing w:after="0" w:line="440" w:lineRule="exact"/>
        <w:ind w:firstLine="31680"/>
        <w:rPr>
          <w:rFonts w:ascii="黑体" w:hAnsi="黑体" w:eastAsia="黑体"/>
          <w:color w:val="000000"/>
          <w:sz w:val="28"/>
          <w:szCs w:val="28"/>
        </w:rPr>
        <w:sectPr>
          <w:footerReference r:id="rId11" w:type="default"/>
          <w:pgSz w:w="11906" w:h="16838"/>
          <w:pgMar w:top="1417" w:right="1474" w:bottom="1417" w:left="1588" w:header="851" w:footer="992" w:gutter="0"/>
          <w:pgNumType w:start="1"/>
          <w:cols w:space="425" w:num="1"/>
          <w:docGrid w:type="linesAndChars" w:linePitch="312" w:charSpace="0"/>
        </w:sectPr>
      </w:pPr>
    </w:p>
    <w:p w14:paraId="64CF00B7">
      <w:pPr>
        <w:pStyle w:val="11"/>
        <w:tabs>
          <w:tab w:val="right" w:leader="dot" w:pos="8844"/>
        </w:tabs>
        <w:spacing w:after="0" w:line="440" w:lineRule="exact"/>
        <w:ind w:firstLine="31680"/>
        <w:rPr>
          <w:color w:val="000000"/>
          <w:sz w:val="28"/>
          <w:szCs w:val="28"/>
        </w:rPr>
      </w:pPr>
      <w:r>
        <w:fldChar w:fldCharType="begin"/>
      </w:r>
      <w:r>
        <w:instrText xml:space="preserve"> HYPERLINK \l "_Toc29174" </w:instrText>
      </w:r>
      <w:r>
        <w:fldChar w:fldCharType="separate"/>
      </w:r>
      <w:r>
        <w:rPr>
          <w:rFonts w:hint="eastAsia" w:ascii="宋体" w:hAnsi="宋体" w:eastAsia="宋体" w:cs="宋体"/>
          <w:bCs/>
          <w:color w:val="000000"/>
          <w:sz w:val="28"/>
          <w:szCs w:val="28"/>
        </w:rPr>
        <w:t>第四节　壮大养老服务产业</w:t>
      </w:r>
      <w:r>
        <w:rPr>
          <w:color w:val="000000"/>
          <w:sz w:val="28"/>
          <w:szCs w:val="28"/>
        </w:rPr>
        <w:tab/>
      </w:r>
      <w:r>
        <w:rPr>
          <w:color w:val="000000"/>
          <w:sz w:val="28"/>
          <w:szCs w:val="28"/>
        </w:rPr>
        <w:fldChar w:fldCharType="begin"/>
      </w:r>
      <w:r>
        <w:rPr>
          <w:color w:val="000000"/>
          <w:sz w:val="28"/>
          <w:szCs w:val="28"/>
        </w:rPr>
        <w:instrText xml:space="preserve"> PAGEREF _Toc29174 </w:instrText>
      </w:r>
      <w:r>
        <w:rPr>
          <w:color w:val="000000"/>
          <w:sz w:val="28"/>
          <w:szCs w:val="28"/>
        </w:rPr>
        <w:fldChar w:fldCharType="separate"/>
      </w:r>
      <w:r>
        <w:rPr>
          <w:color w:val="000000"/>
          <w:sz w:val="28"/>
          <w:szCs w:val="28"/>
        </w:rPr>
        <w:t>48</w:t>
      </w:r>
      <w:r>
        <w:rPr>
          <w:color w:val="000000"/>
          <w:sz w:val="28"/>
          <w:szCs w:val="28"/>
        </w:rPr>
        <w:fldChar w:fldCharType="end"/>
      </w:r>
      <w:r>
        <w:rPr>
          <w:color w:val="000000"/>
          <w:sz w:val="28"/>
          <w:szCs w:val="28"/>
        </w:rPr>
        <w:fldChar w:fldCharType="end"/>
      </w:r>
    </w:p>
    <w:p w14:paraId="6DFEE82E">
      <w:pPr>
        <w:pStyle w:val="10"/>
        <w:tabs>
          <w:tab w:val="right" w:leader="dot" w:pos="8844"/>
          <w:tab w:val="clear" w:pos="8834"/>
        </w:tabs>
        <w:spacing w:after="0" w:line="440" w:lineRule="exact"/>
        <w:rPr>
          <w:rFonts w:ascii="方正黑体简体" w:eastAsia="方正黑体简体"/>
          <w:color w:val="000000"/>
          <w:sz w:val="28"/>
          <w:szCs w:val="28"/>
        </w:rPr>
      </w:pPr>
      <w:r>
        <w:fldChar w:fldCharType="begin"/>
      </w:r>
      <w:r>
        <w:instrText xml:space="preserve"> HYPERLINK \l "_Toc10449" </w:instrText>
      </w:r>
      <w:r>
        <w:fldChar w:fldCharType="separate"/>
      </w:r>
      <w:r>
        <w:rPr>
          <w:rFonts w:hint="eastAsia" w:ascii="方正黑体简体" w:hAnsi="仿宋_GB2312" w:eastAsia="方正黑体简体" w:cs="仿宋_GB2312"/>
          <w:color w:val="000000"/>
          <w:sz w:val="28"/>
          <w:szCs w:val="28"/>
        </w:rPr>
        <w:t>第六章　助推老区苏区振兴发展</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_Toc10449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51</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0029F319">
      <w:pPr>
        <w:pStyle w:val="11"/>
        <w:tabs>
          <w:tab w:val="right" w:leader="dot" w:pos="8844"/>
        </w:tabs>
        <w:spacing w:after="0" w:line="440" w:lineRule="exact"/>
        <w:ind w:firstLine="31680"/>
        <w:rPr>
          <w:color w:val="000000"/>
          <w:sz w:val="28"/>
          <w:szCs w:val="28"/>
        </w:rPr>
      </w:pPr>
      <w:r>
        <w:fldChar w:fldCharType="begin"/>
      </w:r>
      <w:r>
        <w:instrText xml:space="preserve"> HYPERLINK \l "_Toc12641" </w:instrText>
      </w:r>
      <w:r>
        <w:fldChar w:fldCharType="separate"/>
      </w:r>
      <w:r>
        <w:rPr>
          <w:rFonts w:hint="eastAsia" w:ascii="宋体" w:hAnsi="宋体" w:eastAsia="宋体" w:cs="宋体"/>
          <w:bCs/>
          <w:color w:val="000000"/>
          <w:sz w:val="28"/>
          <w:szCs w:val="28"/>
        </w:rPr>
        <w:t>第一节　加大对老区苏区建设扶持力度</w:t>
      </w:r>
      <w:r>
        <w:rPr>
          <w:color w:val="000000"/>
          <w:sz w:val="28"/>
          <w:szCs w:val="28"/>
        </w:rPr>
        <w:tab/>
      </w:r>
      <w:r>
        <w:rPr>
          <w:color w:val="000000"/>
          <w:sz w:val="28"/>
          <w:szCs w:val="28"/>
        </w:rPr>
        <w:fldChar w:fldCharType="begin"/>
      </w:r>
      <w:r>
        <w:rPr>
          <w:color w:val="000000"/>
          <w:sz w:val="28"/>
          <w:szCs w:val="28"/>
        </w:rPr>
        <w:instrText xml:space="preserve"> PAGEREF _Toc12641 </w:instrText>
      </w:r>
      <w:r>
        <w:rPr>
          <w:color w:val="000000"/>
          <w:sz w:val="28"/>
          <w:szCs w:val="28"/>
        </w:rPr>
        <w:fldChar w:fldCharType="separate"/>
      </w:r>
      <w:r>
        <w:rPr>
          <w:color w:val="000000"/>
          <w:sz w:val="28"/>
          <w:szCs w:val="28"/>
        </w:rPr>
        <w:t>51</w:t>
      </w:r>
      <w:r>
        <w:rPr>
          <w:color w:val="000000"/>
          <w:sz w:val="28"/>
          <w:szCs w:val="28"/>
        </w:rPr>
        <w:fldChar w:fldCharType="end"/>
      </w:r>
      <w:r>
        <w:rPr>
          <w:color w:val="000000"/>
          <w:sz w:val="28"/>
          <w:szCs w:val="28"/>
        </w:rPr>
        <w:fldChar w:fldCharType="end"/>
      </w:r>
    </w:p>
    <w:p w14:paraId="3CAD717C">
      <w:pPr>
        <w:pStyle w:val="11"/>
        <w:tabs>
          <w:tab w:val="right" w:leader="dot" w:pos="8844"/>
        </w:tabs>
        <w:spacing w:after="0" w:line="440" w:lineRule="exact"/>
        <w:ind w:firstLine="31680"/>
        <w:rPr>
          <w:color w:val="000000"/>
          <w:sz w:val="28"/>
          <w:szCs w:val="28"/>
        </w:rPr>
      </w:pPr>
      <w:r>
        <w:fldChar w:fldCharType="begin"/>
      </w:r>
      <w:r>
        <w:instrText xml:space="preserve"> HYPERLINK \l "_Toc22266" </w:instrText>
      </w:r>
      <w:r>
        <w:fldChar w:fldCharType="separate"/>
      </w:r>
      <w:r>
        <w:rPr>
          <w:rFonts w:hint="eastAsia" w:ascii="宋体" w:hAnsi="宋体" w:eastAsia="宋体" w:cs="宋体"/>
          <w:bCs/>
          <w:color w:val="000000"/>
          <w:sz w:val="28"/>
          <w:szCs w:val="28"/>
        </w:rPr>
        <w:t>第二节　落实革命“五老”人员优待工作</w:t>
      </w:r>
      <w:r>
        <w:rPr>
          <w:color w:val="000000"/>
          <w:sz w:val="28"/>
          <w:szCs w:val="28"/>
        </w:rPr>
        <w:tab/>
      </w:r>
      <w:r>
        <w:rPr>
          <w:color w:val="000000"/>
          <w:sz w:val="28"/>
          <w:szCs w:val="28"/>
        </w:rPr>
        <w:fldChar w:fldCharType="begin"/>
      </w:r>
      <w:r>
        <w:rPr>
          <w:color w:val="000000"/>
          <w:sz w:val="28"/>
          <w:szCs w:val="28"/>
        </w:rPr>
        <w:instrText xml:space="preserve"> PAGEREF _Toc22266 </w:instrText>
      </w:r>
      <w:r>
        <w:rPr>
          <w:color w:val="000000"/>
          <w:sz w:val="28"/>
          <w:szCs w:val="28"/>
        </w:rPr>
        <w:fldChar w:fldCharType="separate"/>
      </w:r>
      <w:r>
        <w:rPr>
          <w:color w:val="000000"/>
          <w:sz w:val="28"/>
          <w:szCs w:val="28"/>
        </w:rPr>
        <w:t>52</w:t>
      </w:r>
      <w:r>
        <w:rPr>
          <w:color w:val="000000"/>
          <w:sz w:val="28"/>
          <w:szCs w:val="28"/>
        </w:rPr>
        <w:fldChar w:fldCharType="end"/>
      </w:r>
      <w:r>
        <w:rPr>
          <w:color w:val="000000"/>
          <w:sz w:val="28"/>
          <w:szCs w:val="28"/>
        </w:rPr>
        <w:fldChar w:fldCharType="end"/>
      </w:r>
    </w:p>
    <w:p w14:paraId="4DEC5943">
      <w:pPr>
        <w:pStyle w:val="11"/>
        <w:tabs>
          <w:tab w:val="right" w:leader="dot" w:pos="8844"/>
        </w:tabs>
        <w:spacing w:after="0" w:line="440" w:lineRule="exact"/>
        <w:ind w:firstLine="31680"/>
        <w:rPr>
          <w:color w:val="000000"/>
          <w:sz w:val="28"/>
          <w:szCs w:val="28"/>
        </w:rPr>
      </w:pPr>
      <w:r>
        <w:fldChar w:fldCharType="begin"/>
      </w:r>
      <w:r>
        <w:instrText xml:space="preserve"> HYPERLINK \l "_Toc5185" </w:instrText>
      </w:r>
      <w:r>
        <w:fldChar w:fldCharType="separate"/>
      </w:r>
      <w:r>
        <w:rPr>
          <w:rFonts w:hint="eastAsia" w:ascii="宋体" w:hAnsi="宋体" w:eastAsia="宋体" w:cs="宋体"/>
          <w:bCs/>
          <w:color w:val="000000"/>
          <w:sz w:val="28"/>
          <w:szCs w:val="28"/>
        </w:rPr>
        <w:t>第三节　弘扬红色文化和老区精神</w:t>
      </w:r>
      <w:r>
        <w:rPr>
          <w:color w:val="000000"/>
          <w:sz w:val="28"/>
          <w:szCs w:val="28"/>
        </w:rPr>
        <w:tab/>
      </w:r>
      <w:r>
        <w:rPr>
          <w:color w:val="000000"/>
          <w:sz w:val="28"/>
          <w:szCs w:val="28"/>
        </w:rPr>
        <w:fldChar w:fldCharType="begin"/>
      </w:r>
      <w:r>
        <w:rPr>
          <w:color w:val="000000"/>
          <w:sz w:val="28"/>
          <w:szCs w:val="28"/>
        </w:rPr>
        <w:instrText xml:space="preserve"> PAGEREF _Toc5185 </w:instrText>
      </w:r>
      <w:r>
        <w:rPr>
          <w:color w:val="000000"/>
          <w:sz w:val="28"/>
          <w:szCs w:val="28"/>
        </w:rPr>
        <w:fldChar w:fldCharType="separate"/>
      </w:r>
      <w:r>
        <w:rPr>
          <w:color w:val="000000"/>
          <w:sz w:val="28"/>
          <w:szCs w:val="28"/>
        </w:rPr>
        <w:t>52</w:t>
      </w:r>
      <w:r>
        <w:rPr>
          <w:color w:val="000000"/>
          <w:sz w:val="28"/>
          <w:szCs w:val="28"/>
        </w:rPr>
        <w:fldChar w:fldCharType="end"/>
      </w:r>
      <w:r>
        <w:rPr>
          <w:color w:val="000000"/>
          <w:sz w:val="28"/>
          <w:szCs w:val="28"/>
        </w:rPr>
        <w:fldChar w:fldCharType="end"/>
      </w:r>
    </w:p>
    <w:p w14:paraId="696211C5">
      <w:pPr>
        <w:pStyle w:val="10"/>
        <w:tabs>
          <w:tab w:val="right" w:leader="dot" w:pos="8844"/>
          <w:tab w:val="clear" w:pos="8834"/>
        </w:tabs>
        <w:spacing w:after="0" w:line="440" w:lineRule="exact"/>
        <w:rPr>
          <w:rFonts w:ascii="方正黑体简体" w:eastAsia="方正黑体简体"/>
          <w:color w:val="000000"/>
          <w:sz w:val="28"/>
          <w:szCs w:val="28"/>
        </w:rPr>
      </w:pPr>
      <w:r>
        <w:fldChar w:fldCharType="begin"/>
      </w:r>
      <w:r>
        <w:instrText xml:space="preserve"> HYPERLINK \l "_Toc20073" </w:instrText>
      </w:r>
      <w:r>
        <w:fldChar w:fldCharType="separate"/>
      </w:r>
      <w:r>
        <w:rPr>
          <w:rFonts w:hint="eastAsia" w:ascii="方正黑体简体" w:eastAsia="方正黑体简体"/>
          <w:color w:val="000000"/>
          <w:sz w:val="28"/>
          <w:szCs w:val="28"/>
        </w:rPr>
        <w:t>第七章　深化泉台民政领域交流合作</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_Toc20073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54</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454A891C">
      <w:pPr>
        <w:pStyle w:val="10"/>
        <w:tabs>
          <w:tab w:val="right" w:leader="dot" w:pos="8844"/>
          <w:tab w:val="clear" w:pos="8834"/>
        </w:tabs>
        <w:spacing w:after="0" w:line="440" w:lineRule="exact"/>
        <w:rPr>
          <w:rFonts w:ascii="方正黑体简体" w:eastAsia="方正黑体简体"/>
          <w:color w:val="000000"/>
          <w:sz w:val="28"/>
          <w:szCs w:val="28"/>
        </w:rPr>
      </w:pPr>
      <w:r>
        <w:fldChar w:fldCharType="begin"/>
      </w:r>
      <w:r>
        <w:instrText xml:space="preserve"> HYPERLINK \l "_Toc5485" </w:instrText>
      </w:r>
      <w:r>
        <w:fldChar w:fldCharType="separate"/>
      </w:r>
      <w:r>
        <w:rPr>
          <w:rFonts w:hint="eastAsia" w:ascii="方正黑体简体" w:eastAsia="方正黑体简体"/>
          <w:color w:val="000000"/>
          <w:sz w:val="28"/>
          <w:szCs w:val="28"/>
        </w:rPr>
        <w:t>第八章　强化规划实施保障</w:t>
      </w:r>
      <w:r>
        <w:rPr>
          <w:rFonts w:ascii="方正黑体简体" w:eastAsia="方正黑体简体"/>
          <w:color w:val="000000"/>
          <w:sz w:val="28"/>
          <w:szCs w:val="28"/>
        </w:rPr>
        <w:tab/>
      </w:r>
      <w:r>
        <w:rPr>
          <w:rFonts w:ascii="方正黑体简体" w:eastAsia="方正黑体简体"/>
          <w:color w:val="000000"/>
          <w:sz w:val="28"/>
          <w:szCs w:val="28"/>
        </w:rPr>
        <w:fldChar w:fldCharType="begin"/>
      </w:r>
      <w:r>
        <w:rPr>
          <w:rFonts w:ascii="方正黑体简体" w:eastAsia="方正黑体简体"/>
          <w:color w:val="000000"/>
          <w:sz w:val="28"/>
          <w:szCs w:val="28"/>
        </w:rPr>
        <w:instrText xml:space="preserve"> PAGEREF _Toc5485 </w:instrText>
      </w:r>
      <w:r>
        <w:rPr>
          <w:rFonts w:ascii="方正黑体简体" w:eastAsia="方正黑体简体"/>
          <w:color w:val="000000"/>
          <w:sz w:val="28"/>
          <w:szCs w:val="28"/>
        </w:rPr>
        <w:fldChar w:fldCharType="separate"/>
      </w:r>
      <w:r>
        <w:rPr>
          <w:rFonts w:ascii="方正黑体简体" w:eastAsia="方正黑体简体"/>
          <w:color w:val="000000"/>
          <w:sz w:val="28"/>
          <w:szCs w:val="28"/>
        </w:rPr>
        <w:t>55</w:t>
      </w:r>
      <w:r>
        <w:rPr>
          <w:rFonts w:ascii="方正黑体简体" w:eastAsia="方正黑体简体"/>
          <w:color w:val="000000"/>
          <w:sz w:val="28"/>
          <w:szCs w:val="28"/>
        </w:rPr>
        <w:fldChar w:fldCharType="end"/>
      </w:r>
      <w:r>
        <w:rPr>
          <w:rFonts w:ascii="方正黑体简体" w:eastAsia="方正黑体简体"/>
          <w:color w:val="000000"/>
          <w:sz w:val="28"/>
          <w:szCs w:val="28"/>
        </w:rPr>
        <w:fldChar w:fldCharType="end"/>
      </w:r>
    </w:p>
    <w:p w14:paraId="11F91837">
      <w:pPr>
        <w:pStyle w:val="11"/>
        <w:tabs>
          <w:tab w:val="right" w:leader="dot" w:pos="8844"/>
        </w:tabs>
        <w:spacing w:after="0" w:line="440" w:lineRule="exact"/>
        <w:ind w:firstLine="31680"/>
        <w:rPr>
          <w:color w:val="000000"/>
          <w:sz w:val="28"/>
          <w:szCs w:val="28"/>
        </w:rPr>
      </w:pPr>
      <w:r>
        <w:fldChar w:fldCharType="begin"/>
      </w:r>
      <w:r>
        <w:instrText xml:space="preserve"> HYPERLINK \l "_Toc15774" </w:instrText>
      </w:r>
      <w:r>
        <w:fldChar w:fldCharType="separate"/>
      </w:r>
      <w:r>
        <w:rPr>
          <w:rFonts w:hint="eastAsia" w:ascii="宋体" w:hAnsi="宋体" w:eastAsia="宋体" w:cs="宋体"/>
          <w:color w:val="000000"/>
          <w:sz w:val="28"/>
          <w:szCs w:val="28"/>
        </w:rPr>
        <w:t>第一节　坚持党对民政事业的全面领导</w:t>
      </w:r>
      <w:r>
        <w:rPr>
          <w:color w:val="000000"/>
          <w:sz w:val="28"/>
          <w:szCs w:val="28"/>
        </w:rPr>
        <w:tab/>
      </w:r>
      <w:r>
        <w:rPr>
          <w:color w:val="000000"/>
          <w:sz w:val="28"/>
          <w:szCs w:val="28"/>
        </w:rPr>
        <w:fldChar w:fldCharType="begin"/>
      </w:r>
      <w:r>
        <w:rPr>
          <w:color w:val="000000"/>
          <w:sz w:val="28"/>
          <w:szCs w:val="28"/>
        </w:rPr>
        <w:instrText xml:space="preserve"> PAGEREF _Toc15774 </w:instrText>
      </w:r>
      <w:r>
        <w:rPr>
          <w:color w:val="000000"/>
          <w:sz w:val="28"/>
          <w:szCs w:val="28"/>
        </w:rPr>
        <w:fldChar w:fldCharType="separate"/>
      </w:r>
      <w:r>
        <w:rPr>
          <w:color w:val="000000"/>
          <w:sz w:val="28"/>
          <w:szCs w:val="28"/>
        </w:rPr>
        <w:t>55</w:t>
      </w:r>
      <w:r>
        <w:rPr>
          <w:color w:val="000000"/>
          <w:sz w:val="28"/>
          <w:szCs w:val="28"/>
        </w:rPr>
        <w:fldChar w:fldCharType="end"/>
      </w:r>
      <w:r>
        <w:rPr>
          <w:color w:val="000000"/>
          <w:sz w:val="28"/>
          <w:szCs w:val="28"/>
        </w:rPr>
        <w:fldChar w:fldCharType="end"/>
      </w:r>
    </w:p>
    <w:p w14:paraId="22F98E5A">
      <w:pPr>
        <w:pStyle w:val="11"/>
        <w:tabs>
          <w:tab w:val="right" w:leader="dot" w:pos="8844"/>
        </w:tabs>
        <w:spacing w:after="0" w:line="440" w:lineRule="exact"/>
        <w:ind w:firstLine="31680"/>
        <w:rPr>
          <w:color w:val="000000"/>
          <w:sz w:val="28"/>
          <w:szCs w:val="28"/>
        </w:rPr>
      </w:pPr>
      <w:r>
        <w:fldChar w:fldCharType="begin"/>
      </w:r>
      <w:r>
        <w:instrText xml:space="preserve"> HYPERLINK \l "_Toc29763" </w:instrText>
      </w:r>
      <w:r>
        <w:fldChar w:fldCharType="separate"/>
      </w:r>
      <w:r>
        <w:rPr>
          <w:rFonts w:hint="eastAsia" w:ascii="宋体" w:hAnsi="宋体" w:eastAsia="宋体" w:cs="宋体"/>
          <w:color w:val="000000"/>
          <w:sz w:val="28"/>
          <w:szCs w:val="28"/>
        </w:rPr>
        <w:t>第二节　完善民政法治和标准化建设</w:t>
      </w:r>
      <w:r>
        <w:rPr>
          <w:color w:val="000000"/>
          <w:sz w:val="28"/>
          <w:szCs w:val="28"/>
        </w:rPr>
        <w:tab/>
      </w:r>
      <w:r>
        <w:rPr>
          <w:color w:val="000000"/>
          <w:sz w:val="28"/>
          <w:szCs w:val="28"/>
        </w:rPr>
        <w:fldChar w:fldCharType="begin"/>
      </w:r>
      <w:r>
        <w:rPr>
          <w:color w:val="000000"/>
          <w:sz w:val="28"/>
          <w:szCs w:val="28"/>
        </w:rPr>
        <w:instrText xml:space="preserve"> PAGEREF _Toc29763 </w:instrText>
      </w:r>
      <w:r>
        <w:rPr>
          <w:color w:val="000000"/>
          <w:sz w:val="28"/>
          <w:szCs w:val="28"/>
        </w:rPr>
        <w:fldChar w:fldCharType="separate"/>
      </w:r>
      <w:r>
        <w:rPr>
          <w:color w:val="000000"/>
          <w:sz w:val="28"/>
          <w:szCs w:val="28"/>
        </w:rPr>
        <w:t>56</w:t>
      </w:r>
      <w:r>
        <w:rPr>
          <w:color w:val="000000"/>
          <w:sz w:val="28"/>
          <w:szCs w:val="28"/>
        </w:rPr>
        <w:fldChar w:fldCharType="end"/>
      </w:r>
      <w:r>
        <w:rPr>
          <w:color w:val="000000"/>
          <w:sz w:val="28"/>
          <w:szCs w:val="28"/>
        </w:rPr>
        <w:fldChar w:fldCharType="end"/>
      </w:r>
    </w:p>
    <w:p w14:paraId="0FEA8417">
      <w:pPr>
        <w:pStyle w:val="11"/>
        <w:tabs>
          <w:tab w:val="right" w:leader="dot" w:pos="8844"/>
        </w:tabs>
        <w:spacing w:after="0" w:line="440" w:lineRule="exact"/>
        <w:ind w:firstLine="31680"/>
        <w:rPr>
          <w:color w:val="000000"/>
          <w:sz w:val="28"/>
          <w:szCs w:val="28"/>
        </w:rPr>
      </w:pPr>
      <w:r>
        <w:fldChar w:fldCharType="begin"/>
      </w:r>
      <w:r>
        <w:instrText xml:space="preserve"> HYPERLINK \l "_Toc3546" </w:instrText>
      </w:r>
      <w:r>
        <w:fldChar w:fldCharType="separate"/>
      </w:r>
      <w:r>
        <w:rPr>
          <w:rFonts w:hint="eastAsia" w:ascii="宋体" w:hAnsi="宋体" w:eastAsia="宋体" w:cs="宋体"/>
          <w:bCs/>
          <w:color w:val="000000"/>
          <w:sz w:val="28"/>
          <w:szCs w:val="28"/>
        </w:rPr>
        <w:t>第三节　拓宽民政资金保障渠道</w:t>
      </w:r>
      <w:r>
        <w:rPr>
          <w:color w:val="000000"/>
          <w:sz w:val="28"/>
          <w:szCs w:val="28"/>
        </w:rPr>
        <w:tab/>
      </w:r>
      <w:r>
        <w:rPr>
          <w:color w:val="000000"/>
          <w:sz w:val="28"/>
          <w:szCs w:val="28"/>
        </w:rPr>
        <w:fldChar w:fldCharType="begin"/>
      </w:r>
      <w:r>
        <w:rPr>
          <w:color w:val="000000"/>
          <w:sz w:val="28"/>
          <w:szCs w:val="28"/>
        </w:rPr>
        <w:instrText xml:space="preserve"> PAGEREF _Toc3546 </w:instrText>
      </w:r>
      <w:r>
        <w:rPr>
          <w:color w:val="000000"/>
          <w:sz w:val="28"/>
          <w:szCs w:val="28"/>
        </w:rPr>
        <w:fldChar w:fldCharType="separate"/>
      </w:r>
      <w:r>
        <w:rPr>
          <w:color w:val="000000"/>
          <w:sz w:val="28"/>
          <w:szCs w:val="28"/>
        </w:rPr>
        <w:t>56</w:t>
      </w:r>
      <w:r>
        <w:rPr>
          <w:color w:val="000000"/>
          <w:sz w:val="28"/>
          <w:szCs w:val="28"/>
        </w:rPr>
        <w:fldChar w:fldCharType="end"/>
      </w:r>
      <w:r>
        <w:rPr>
          <w:color w:val="000000"/>
          <w:sz w:val="28"/>
          <w:szCs w:val="28"/>
        </w:rPr>
        <w:fldChar w:fldCharType="end"/>
      </w:r>
    </w:p>
    <w:p w14:paraId="0F683CAF">
      <w:pPr>
        <w:pStyle w:val="11"/>
        <w:tabs>
          <w:tab w:val="right" w:leader="dot" w:pos="8844"/>
        </w:tabs>
        <w:spacing w:after="0" w:line="440" w:lineRule="exact"/>
        <w:ind w:firstLine="31680"/>
        <w:rPr>
          <w:color w:val="000000"/>
          <w:sz w:val="28"/>
          <w:szCs w:val="28"/>
        </w:rPr>
      </w:pPr>
      <w:r>
        <w:fldChar w:fldCharType="begin"/>
      </w:r>
      <w:r>
        <w:instrText xml:space="preserve"> HYPERLINK \l "_Toc26357" </w:instrText>
      </w:r>
      <w:r>
        <w:fldChar w:fldCharType="separate"/>
      </w:r>
      <w:r>
        <w:rPr>
          <w:rFonts w:hint="eastAsia" w:ascii="宋体" w:hAnsi="宋体" w:eastAsia="宋体" w:cs="宋体"/>
          <w:color w:val="000000"/>
          <w:sz w:val="28"/>
          <w:szCs w:val="28"/>
        </w:rPr>
        <w:t>第四节　推进民政领域数字建设</w:t>
      </w:r>
      <w:r>
        <w:rPr>
          <w:color w:val="000000"/>
          <w:sz w:val="28"/>
          <w:szCs w:val="28"/>
        </w:rPr>
        <w:tab/>
      </w:r>
      <w:r>
        <w:rPr>
          <w:color w:val="000000"/>
          <w:sz w:val="28"/>
          <w:szCs w:val="28"/>
        </w:rPr>
        <w:fldChar w:fldCharType="begin"/>
      </w:r>
      <w:r>
        <w:rPr>
          <w:color w:val="000000"/>
          <w:sz w:val="28"/>
          <w:szCs w:val="28"/>
        </w:rPr>
        <w:instrText xml:space="preserve"> PAGEREF _Toc26357 </w:instrText>
      </w:r>
      <w:r>
        <w:rPr>
          <w:color w:val="000000"/>
          <w:sz w:val="28"/>
          <w:szCs w:val="28"/>
        </w:rPr>
        <w:fldChar w:fldCharType="separate"/>
      </w:r>
      <w:r>
        <w:rPr>
          <w:color w:val="000000"/>
          <w:sz w:val="28"/>
          <w:szCs w:val="28"/>
        </w:rPr>
        <w:t>57</w:t>
      </w:r>
      <w:r>
        <w:rPr>
          <w:color w:val="000000"/>
          <w:sz w:val="28"/>
          <w:szCs w:val="28"/>
        </w:rPr>
        <w:fldChar w:fldCharType="end"/>
      </w:r>
      <w:r>
        <w:rPr>
          <w:color w:val="000000"/>
          <w:sz w:val="28"/>
          <w:szCs w:val="28"/>
        </w:rPr>
        <w:fldChar w:fldCharType="end"/>
      </w:r>
    </w:p>
    <w:p w14:paraId="36100F63">
      <w:pPr>
        <w:pStyle w:val="11"/>
        <w:tabs>
          <w:tab w:val="right" w:leader="dot" w:pos="8844"/>
        </w:tabs>
        <w:spacing w:after="0" w:line="440" w:lineRule="exact"/>
        <w:ind w:firstLine="31680"/>
        <w:rPr>
          <w:color w:val="000000"/>
          <w:sz w:val="28"/>
          <w:szCs w:val="28"/>
        </w:rPr>
      </w:pPr>
      <w:r>
        <w:fldChar w:fldCharType="begin"/>
      </w:r>
      <w:r>
        <w:instrText xml:space="preserve"> HYPERLINK \l "_Toc3759" </w:instrText>
      </w:r>
      <w:r>
        <w:fldChar w:fldCharType="separate"/>
      </w:r>
      <w:r>
        <w:rPr>
          <w:rFonts w:hint="eastAsia" w:ascii="宋体" w:hAnsi="宋体" w:eastAsia="宋体" w:cs="宋体"/>
          <w:color w:val="000000"/>
          <w:sz w:val="28"/>
          <w:szCs w:val="28"/>
        </w:rPr>
        <w:t>第五节　加强民政人才队伍建设</w:t>
      </w:r>
      <w:r>
        <w:rPr>
          <w:color w:val="000000"/>
          <w:sz w:val="28"/>
          <w:szCs w:val="28"/>
        </w:rPr>
        <w:tab/>
      </w:r>
      <w:r>
        <w:rPr>
          <w:color w:val="000000"/>
          <w:sz w:val="28"/>
          <w:szCs w:val="28"/>
        </w:rPr>
        <w:fldChar w:fldCharType="begin"/>
      </w:r>
      <w:r>
        <w:rPr>
          <w:color w:val="000000"/>
          <w:sz w:val="28"/>
          <w:szCs w:val="28"/>
        </w:rPr>
        <w:instrText xml:space="preserve"> PAGEREF _Toc3759 </w:instrText>
      </w:r>
      <w:r>
        <w:rPr>
          <w:color w:val="000000"/>
          <w:sz w:val="28"/>
          <w:szCs w:val="28"/>
        </w:rPr>
        <w:fldChar w:fldCharType="separate"/>
      </w:r>
      <w:r>
        <w:rPr>
          <w:color w:val="000000"/>
          <w:sz w:val="28"/>
          <w:szCs w:val="28"/>
        </w:rPr>
        <w:t>57</w:t>
      </w:r>
      <w:r>
        <w:rPr>
          <w:color w:val="000000"/>
          <w:sz w:val="28"/>
          <w:szCs w:val="28"/>
        </w:rPr>
        <w:fldChar w:fldCharType="end"/>
      </w:r>
      <w:r>
        <w:rPr>
          <w:color w:val="000000"/>
          <w:sz w:val="28"/>
          <w:szCs w:val="28"/>
        </w:rPr>
        <w:fldChar w:fldCharType="end"/>
      </w:r>
    </w:p>
    <w:p w14:paraId="0EC7AED6">
      <w:pPr>
        <w:pStyle w:val="11"/>
        <w:tabs>
          <w:tab w:val="right" w:leader="dot" w:pos="8844"/>
        </w:tabs>
        <w:spacing w:after="0" w:line="440" w:lineRule="exact"/>
        <w:ind w:firstLine="31680"/>
        <w:rPr>
          <w:color w:val="000000"/>
          <w:sz w:val="28"/>
          <w:szCs w:val="28"/>
        </w:rPr>
      </w:pPr>
      <w:r>
        <w:fldChar w:fldCharType="begin"/>
      </w:r>
      <w:r>
        <w:instrText xml:space="preserve"> HYPERLINK \l "_Toc20559" </w:instrText>
      </w:r>
      <w:r>
        <w:fldChar w:fldCharType="separate"/>
      </w:r>
      <w:r>
        <w:rPr>
          <w:rFonts w:hint="eastAsia" w:ascii="宋体" w:hAnsi="宋体" w:eastAsia="宋体" w:cs="宋体"/>
          <w:color w:val="000000"/>
          <w:sz w:val="28"/>
          <w:szCs w:val="28"/>
        </w:rPr>
        <w:t>第六节　统筹民政领域发展与安全</w:t>
      </w:r>
      <w:r>
        <w:rPr>
          <w:color w:val="000000"/>
          <w:sz w:val="28"/>
          <w:szCs w:val="28"/>
        </w:rPr>
        <w:tab/>
      </w:r>
      <w:r>
        <w:rPr>
          <w:color w:val="000000"/>
          <w:sz w:val="28"/>
          <w:szCs w:val="28"/>
        </w:rPr>
        <w:fldChar w:fldCharType="begin"/>
      </w:r>
      <w:r>
        <w:rPr>
          <w:color w:val="000000"/>
          <w:sz w:val="28"/>
          <w:szCs w:val="28"/>
        </w:rPr>
        <w:instrText xml:space="preserve"> PAGEREF _Toc20559 </w:instrText>
      </w:r>
      <w:r>
        <w:rPr>
          <w:color w:val="000000"/>
          <w:sz w:val="28"/>
          <w:szCs w:val="28"/>
        </w:rPr>
        <w:fldChar w:fldCharType="separate"/>
      </w:r>
      <w:r>
        <w:rPr>
          <w:color w:val="000000"/>
          <w:sz w:val="28"/>
          <w:szCs w:val="28"/>
        </w:rPr>
        <w:t>58</w:t>
      </w:r>
      <w:r>
        <w:rPr>
          <w:color w:val="000000"/>
          <w:sz w:val="28"/>
          <w:szCs w:val="28"/>
        </w:rPr>
        <w:fldChar w:fldCharType="end"/>
      </w:r>
      <w:r>
        <w:rPr>
          <w:color w:val="000000"/>
          <w:sz w:val="28"/>
          <w:szCs w:val="28"/>
        </w:rPr>
        <w:fldChar w:fldCharType="end"/>
      </w:r>
    </w:p>
    <w:p w14:paraId="25315E84">
      <w:pPr>
        <w:pStyle w:val="11"/>
        <w:tabs>
          <w:tab w:val="right" w:leader="dot" w:pos="8844"/>
        </w:tabs>
        <w:spacing w:after="0" w:line="440" w:lineRule="exact"/>
        <w:ind w:firstLine="31680"/>
        <w:rPr>
          <w:color w:val="000000"/>
          <w:sz w:val="28"/>
          <w:szCs w:val="28"/>
        </w:rPr>
      </w:pPr>
      <w:r>
        <w:fldChar w:fldCharType="begin"/>
      </w:r>
      <w:r>
        <w:instrText xml:space="preserve"> HYPERLINK \l "_Toc11063" </w:instrText>
      </w:r>
      <w:r>
        <w:fldChar w:fldCharType="separate"/>
      </w:r>
      <w:r>
        <w:rPr>
          <w:rFonts w:hint="eastAsia" w:ascii="宋体" w:hAnsi="宋体" w:eastAsia="宋体" w:cs="宋体"/>
          <w:color w:val="000000"/>
          <w:sz w:val="28"/>
          <w:szCs w:val="28"/>
        </w:rPr>
        <w:t>第七节　强化规划执行监测评估</w:t>
      </w:r>
      <w:r>
        <w:rPr>
          <w:color w:val="000000"/>
          <w:sz w:val="28"/>
          <w:szCs w:val="28"/>
        </w:rPr>
        <w:tab/>
      </w:r>
      <w:r>
        <w:rPr>
          <w:color w:val="000000"/>
          <w:sz w:val="28"/>
          <w:szCs w:val="28"/>
        </w:rPr>
        <w:fldChar w:fldCharType="begin"/>
      </w:r>
      <w:r>
        <w:rPr>
          <w:color w:val="000000"/>
          <w:sz w:val="28"/>
          <w:szCs w:val="28"/>
        </w:rPr>
        <w:instrText xml:space="preserve"> PAGEREF _Toc11063 </w:instrText>
      </w:r>
      <w:r>
        <w:rPr>
          <w:color w:val="000000"/>
          <w:sz w:val="28"/>
          <w:szCs w:val="28"/>
        </w:rPr>
        <w:fldChar w:fldCharType="separate"/>
      </w:r>
      <w:r>
        <w:rPr>
          <w:color w:val="000000"/>
          <w:sz w:val="28"/>
          <w:szCs w:val="28"/>
        </w:rPr>
        <w:t>59</w:t>
      </w:r>
      <w:r>
        <w:rPr>
          <w:color w:val="000000"/>
          <w:sz w:val="28"/>
          <w:szCs w:val="28"/>
        </w:rPr>
        <w:fldChar w:fldCharType="end"/>
      </w:r>
      <w:r>
        <w:rPr>
          <w:color w:val="000000"/>
          <w:sz w:val="28"/>
          <w:szCs w:val="28"/>
        </w:rPr>
        <w:fldChar w:fldCharType="end"/>
      </w:r>
    </w:p>
    <w:p w14:paraId="4F8BF52A">
      <w:pPr>
        <w:widowControl/>
        <w:spacing w:line="440" w:lineRule="exact"/>
        <w:ind w:firstLine="31680"/>
        <w:jc w:val="center"/>
        <w:rPr>
          <w:rFonts w:ascii="黑体" w:hAnsi="黑体" w:eastAsia="黑体"/>
          <w:color w:val="000000"/>
        </w:rPr>
      </w:pPr>
      <w:r>
        <w:rPr>
          <w:rFonts w:ascii="黑体" w:hAnsi="黑体" w:eastAsia="黑体"/>
          <w:color w:val="000000"/>
          <w:sz w:val="28"/>
          <w:szCs w:val="28"/>
        </w:rPr>
        <w:fldChar w:fldCharType="end"/>
      </w:r>
    </w:p>
    <w:p w14:paraId="6EB054D1">
      <w:pPr>
        <w:pStyle w:val="24"/>
        <w:adjustRightInd w:val="0"/>
        <w:snapToGrid w:val="0"/>
        <w:spacing w:line="580" w:lineRule="exact"/>
        <w:outlineLvl w:val="0"/>
        <w:rPr>
          <w:color w:val="000000"/>
        </w:rPr>
      </w:pPr>
      <w:bookmarkStart w:id="0" w:name="_Toc19374"/>
    </w:p>
    <w:p w14:paraId="785371E3">
      <w:pPr>
        <w:ind w:firstLine="31680"/>
        <w:rPr>
          <w:color w:val="000000"/>
        </w:rPr>
      </w:pPr>
    </w:p>
    <w:p w14:paraId="0ABAE6E1">
      <w:pPr>
        <w:ind w:firstLine="31680"/>
        <w:rPr>
          <w:color w:val="000000"/>
        </w:rPr>
      </w:pPr>
    </w:p>
    <w:p w14:paraId="496E9B3C">
      <w:pPr>
        <w:tabs>
          <w:tab w:val="right" w:pos="8204"/>
        </w:tabs>
        <w:ind w:firstLine="31680"/>
        <w:jc w:val="left"/>
        <w:rPr>
          <w:color w:val="000000"/>
        </w:rPr>
        <w:sectPr>
          <w:footerReference r:id="rId12" w:type="default"/>
          <w:pgSz w:w="11906" w:h="16838"/>
          <w:pgMar w:top="1417" w:right="1474" w:bottom="1417" w:left="1588" w:header="851" w:footer="992" w:gutter="0"/>
          <w:pgNumType w:start="2"/>
          <w:cols w:space="425" w:num="1"/>
          <w:docGrid w:type="linesAndChars" w:linePitch="312" w:charSpace="0"/>
        </w:sectPr>
      </w:pPr>
      <w:r>
        <w:rPr>
          <w:color w:val="000000"/>
        </w:rPr>
        <w:tab/>
      </w:r>
    </w:p>
    <w:p w14:paraId="629B35F6">
      <w:pPr>
        <w:pStyle w:val="24"/>
        <w:widowControl w:val="0"/>
        <w:adjustRightInd w:val="0"/>
        <w:snapToGrid w:val="0"/>
        <w:spacing w:line="580" w:lineRule="exact"/>
        <w:outlineLvl w:val="0"/>
        <w:rPr>
          <w:rFonts w:ascii="方正小标宋简体" w:eastAsia="方正小标宋简体"/>
          <w:color w:val="000000"/>
          <w:sz w:val="44"/>
        </w:rPr>
      </w:pPr>
      <w:bookmarkStart w:id="1" w:name="_Toc13319"/>
      <w:r>
        <w:rPr>
          <w:rFonts w:hint="eastAsia" w:ascii="方正小标宋简体" w:eastAsia="方正小标宋简体"/>
          <w:color w:val="000000"/>
          <w:sz w:val="44"/>
        </w:rPr>
        <w:t>前　言</w:t>
      </w:r>
      <w:bookmarkEnd w:id="0"/>
      <w:bookmarkEnd w:id="1"/>
    </w:p>
    <w:p w14:paraId="346995ED">
      <w:pPr>
        <w:adjustRightInd w:val="0"/>
        <w:snapToGrid w:val="0"/>
        <w:spacing w:line="580" w:lineRule="exact"/>
        <w:ind w:firstLine="0" w:firstLineChars="0"/>
        <w:jc w:val="center"/>
        <w:rPr>
          <w:rFonts w:ascii="黑体" w:hAnsi="黑体" w:eastAsia="黑体"/>
          <w:color w:val="000000"/>
        </w:rPr>
      </w:pPr>
    </w:p>
    <w:p w14:paraId="42DB9907">
      <w:pPr>
        <w:adjustRightInd w:val="0"/>
        <w:snapToGrid w:val="0"/>
        <w:spacing w:line="580" w:lineRule="exact"/>
        <w:ind w:firstLine="31680"/>
        <w:rPr>
          <w:color w:val="000000"/>
        </w:rPr>
      </w:pPr>
      <w:r>
        <w:rPr>
          <w:rFonts w:hint="eastAsia"/>
          <w:color w:val="000000"/>
        </w:rPr>
        <w:t>民政工作关系民生、连着民心，是社会建设的兜底性、基础性工作。</w:t>
      </w:r>
    </w:p>
    <w:p w14:paraId="4BDFF9C5">
      <w:pPr>
        <w:adjustRightInd w:val="0"/>
        <w:snapToGrid w:val="0"/>
        <w:spacing w:line="580" w:lineRule="exact"/>
        <w:ind w:firstLine="31680"/>
        <w:rPr>
          <w:color w:val="000000"/>
        </w:rPr>
      </w:pPr>
      <w:r>
        <w:rPr>
          <w:rFonts w:hint="eastAsia"/>
          <w:color w:val="000000"/>
        </w:rPr>
        <w:t>为推动泉州市民政事业在“十四五”时期更好履行基本民生保障、基层社会治理、基本社会服务等职责，不断增进民生福祉，服务全方位高质量发展超越，依据《民政部“十四五”民政事业发展规划》《中共福建省委关于制定福建省国民经济和社会发展第十四个五年规划和二○三五年远景目标的建议》《福建省国民经济和社会发展第十四个五年规划和二○三五年远景目标纲要》《福建省“十四五”民政事业发展专项规划》《中共泉州市委关于制定泉州市国民经济和社会发展第十四个五年规划和二○三五年远景目标的建议》《泉州市国民经济和社会发展第十四个五年规划和二○三五年远景目标纲要》，制定本规划。</w:t>
      </w:r>
    </w:p>
    <w:p w14:paraId="3C35750F">
      <w:pPr>
        <w:adjustRightInd w:val="0"/>
        <w:snapToGrid w:val="0"/>
        <w:spacing w:line="580" w:lineRule="exact"/>
        <w:ind w:firstLine="31680"/>
        <w:rPr>
          <w:color w:val="000000"/>
        </w:rPr>
      </w:pPr>
      <w:r>
        <w:rPr>
          <w:rFonts w:hint="eastAsia"/>
          <w:color w:val="000000"/>
        </w:rPr>
        <w:t>本规划主要阐述规划期内市委、市政府对民政事业发展的战略意图和施政方向，明确民政事业发展的总体要求、主要任务和保障措施，是制定相关政策和安排重点建设项目的重要依据。本规划以</w:t>
      </w:r>
      <w:r>
        <w:rPr>
          <w:color w:val="000000"/>
        </w:rPr>
        <w:t>2020</w:t>
      </w:r>
      <w:r>
        <w:rPr>
          <w:rFonts w:hint="eastAsia"/>
          <w:color w:val="000000"/>
        </w:rPr>
        <w:t>年为基期，规划期为</w:t>
      </w:r>
      <w:r>
        <w:rPr>
          <w:color w:val="000000"/>
        </w:rPr>
        <w:t>2021</w:t>
      </w:r>
      <w:r>
        <w:rPr>
          <w:rFonts w:hint="eastAsia"/>
          <w:color w:val="000000"/>
        </w:rPr>
        <w:t>年至</w:t>
      </w:r>
      <w:r>
        <w:rPr>
          <w:color w:val="000000"/>
        </w:rPr>
        <w:t>2025</w:t>
      </w:r>
      <w:r>
        <w:rPr>
          <w:rFonts w:hint="eastAsia"/>
          <w:color w:val="000000"/>
        </w:rPr>
        <w:t>年。</w:t>
      </w:r>
    </w:p>
    <w:p w14:paraId="4FC3C43D">
      <w:pPr>
        <w:adjustRightInd w:val="0"/>
        <w:snapToGrid w:val="0"/>
        <w:spacing w:line="580" w:lineRule="exact"/>
        <w:ind w:firstLine="31680"/>
        <w:jc w:val="left"/>
        <w:rPr>
          <w:color w:val="000000"/>
        </w:rPr>
      </w:pPr>
      <w:r>
        <w:rPr>
          <w:color w:val="000000"/>
        </w:rPr>
        <w:br w:type="page"/>
      </w:r>
    </w:p>
    <w:p w14:paraId="5E65BBCA">
      <w:pPr>
        <w:pStyle w:val="24"/>
        <w:widowControl w:val="0"/>
        <w:spacing w:line="580" w:lineRule="exact"/>
        <w:outlineLvl w:val="0"/>
        <w:rPr>
          <w:rFonts w:ascii="方正小标宋简体" w:eastAsia="方正小标宋简体"/>
          <w:color w:val="000000"/>
          <w:sz w:val="44"/>
        </w:rPr>
      </w:pPr>
      <w:bookmarkStart w:id="2" w:name="_Toc2921"/>
      <w:bookmarkStart w:id="3" w:name="_Toc27868"/>
      <w:r>
        <w:rPr>
          <w:rFonts w:hint="eastAsia" w:ascii="方正小标宋简体" w:eastAsia="方正小标宋简体"/>
          <w:color w:val="000000"/>
          <w:sz w:val="44"/>
        </w:rPr>
        <w:t>第一章　推进新时代民政事业高质量发展</w:t>
      </w:r>
      <w:bookmarkEnd w:id="2"/>
      <w:bookmarkEnd w:id="3"/>
    </w:p>
    <w:p w14:paraId="5E51922D">
      <w:pPr>
        <w:pStyle w:val="24"/>
        <w:widowControl w:val="0"/>
        <w:spacing w:line="580" w:lineRule="exact"/>
        <w:outlineLvl w:val="0"/>
        <w:rPr>
          <w:color w:val="000000"/>
        </w:rPr>
      </w:pPr>
    </w:p>
    <w:p w14:paraId="6817F971">
      <w:pPr>
        <w:spacing w:line="580" w:lineRule="exact"/>
        <w:ind w:firstLine="31680"/>
        <w:rPr>
          <w:color w:val="000000"/>
        </w:rPr>
      </w:pPr>
      <w:r>
        <w:rPr>
          <w:rFonts w:hint="eastAsia"/>
          <w:color w:val="000000"/>
        </w:rPr>
        <w:t>“十四五”时期，民政事业发展迈入全面现代化建设的新阶段，既迎来新的机遇，也面临新的挑战。民政部门要立足新发展阶段、贯彻新发展理念、积极服务并深度融入新发展格局，抢抓新机遇、迎接新挑战，谱写新时代泉州民政事业发展新篇章。</w:t>
      </w:r>
    </w:p>
    <w:p w14:paraId="4C1B5DF3">
      <w:pPr>
        <w:spacing w:line="580" w:lineRule="exact"/>
        <w:ind w:firstLine="31680"/>
        <w:rPr>
          <w:color w:val="000000"/>
        </w:rPr>
      </w:pPr>
    </w:p>
    <w:p w14:paraId="573A1C17">
      <w:pPr>
        <w:pStyle w:val="25"/>
        <w:widowControl w:val="0"/>
        <w:spacing w:line="580" w:lineRule="exact"/>
        <w:outlineLvl w:val="1"/>
        <w:rPr>
          <w:rFonts w:ascii="方正黑体简体" w:hAnsi="宋体" w:eastAsia="方正黑体简体" w:cs="宋体"/>
          <w:b w:val="0"/>
          <w:color w:val="000000"/>
        </w:rPr>
      </w:pPr>
      <w:bookmarkStart w:id="4" w:name="_Toc23566"/>
      <w:bookmarkStart w:id="5" w:name="_Toc30863"/>
      <w:r>
        <w:rPr>
          <w:rFonts w:hint="eastAsia" w:ascii="方正黑体简体" w:hAnsi="宋体" w:eastAsia="方正黑体简体" w:cs="宋体"/>
          <w:b w:val="0"/>
          <w:color w:val="000000"/>
        </w:rPr>
        <w:t>第一节　发展基础</w:t>
      </w:r>
      <w:bookmarkEnd w:id="4"/>
      <w:bookmarkEnd w:id="5"/>
    </w:p>
    <w:p w14:paraId="61C7B396">
      <w:pPr>
        <w:ind w:firstLine="31680"/>
        <w:rPr>
          <w:color w:val="000000"/>
        </w:rPr>
      </w:pPr>
    </w:p>
    <w:p w14:paraId="5EF3FED1">
      <w:pPr>
        <w:spacing w:line="580" w:lineRule="exact"/>
        <w:ind w:firstLine="31680"/>
        <w:rPr>
          <w:color w:val="000000"/>
        </w:rPr>
      </w:pPr>
      <w:r>
        <w:rPr>
          <w:rFonts w:hint="eastAsia"/>
          <w:color w:val="000000"/>
        </w:rPr>
        <w:t>“十三五”期间，全市民政部门坚持以习近平新时代中国特色社会主义思想为指导，按照党中央、国务院决策部署，省委、省政府和市委、市政府的工作要求，聚焦脱贫攻坚，聚焦特殊群体，聚焦群众关切，</w:t>
      </w:r>
      <w:r>
        <w:rPr>
          <w:rFonts w:hint="eastAsia" w:ascii="仿宋_GB2312" w:cs="仿宋"/>
          <w:color w:val="000000"/>
          <w:szCs w:val="32"/>
        </w:rPr>
        <w:t>顺利完成规划主要目标任务，</w:t>
      </w:r>
      <w:r>
        <w:rPr>
          <w:rFonts w:hint="eastAsia"/>
          <w:color w:val="000000"/>
        </w:rPr>
        <w:t>民政事业发展取得新进展，为民政事业持续健康发展奠定了坚实基础。</w:t>
      </w:r>
    </w:p>
    <w:p w14:paraId="45A5F9EC">
      <w:pPr>
        <w:adjustRightInd w:val="0"/>
        <w:snapToGrid w:val="0"/>
        <w:spacing w:line="580" w:lineRule="exact"/>
        <w:ind w:firstLine="31680"/>
        <w:rPr>
          <w:color w:val="000000"/>
        </w:rPr>
      </w:pPr>
      <w:r>
        <w:rPr>
          <w:rFonts w:hint="eastAsia"/>
          <w:b/>
          <w:color w:val="000000"/>
        </w:rPr>
        <w:t>基本民生保障日趋完善。</w:t>
      </w:r>
      <w:r>
        <w:rPr>
          <w:rFonts w:hint="eastAsia"/>
          <w:color w:val="000000"/>
        </w:rPr>
        <w:t>全市所有县（市、区）（含泉州开发区、泉州台商投资区，下同）实现低保、特困人员供养和临时救助标准城乡一体化，同时已于</w:t>
      </w:r>
      <w:r>
        <w:rPr>
          <w:color w:val="000000"/>
        </w:rPr>
        <w:t>2017</w:t>
      </w:r>
      <w:r>
        <w:rPr>
          <w:rFonts w:hint="eastAsia"/>
          <w:color w:val="000000"/>
        </w:rPr>
        <w:t>年实现与市定扶贫标准的“两线合一”，提前</w:t>
      </w:r>
      <w:r>
        <w:rPr>
          <w:color w:val="000000"/>
        </w:rPr>
        <w:t>1</w:t>
      </w:r>
      <w:r>
        <w:rPr>
          <w:rFonts w:hint="eastAsia"/>
          <w:color w:val="000000"/>
        </w:rPr>
        <w:t>年完成市委、市政府兜底扶贫任务。临时救助审批权限已全部下放至乡镇（街道），分档分级救助格局基本建成。扎实开展农村低保安居房建设项目，</w:t>
      </w:r>
      <w:r>
        <w:rPr>
          <w:color w:val="000000"/>
        </w:rPr>
        <w:t>2016-2020</w:t>
      </w:r>
      <w:r>
        <w:rPr>
          <w:rFonts w:hint="eastAsia"/>
          <w:color w:val="000000"/>
        </w:rPr>
        <w:t>年，共资助</w:t>
      </w:r>
      <w:r>
        <w:rPr>
          <w:color w:val="000000"/>
        </w:rPr>
        <w:t>1212</w:t>
      </w:r>
      <w:r>
        <w:rPr>
          <w:rFonts w:hint="eastAsia"/>
          <w:color w:val="000000"/>
        </w:rPr>
        <w:t>户农村困难群众完成安居房建设，已全部搬入新居。全面落实“救急难”工作，我市于</w:t>
      </w:r>
      <w:r>
        <w:rPr>
          <w:color w:val="000000"/>
        </w:rPr>
        <w:t>2017</w:t>
      </w:r>
      <w:r>
        <w:rPr>
          <w:rFonts w:hint="eastAsia"/>
          <w:color w:val="000000"/>
        </w:rPr>
        <w:t>年被列为全省唯一的“救急难”市级试点单位，社会救助综合施救平台已完成建设并投入试运行，泉港区、晋江市分别被确定为全国和全省综合试点单位，试点工作卓有成效。老区建设方面，累计投入</w:t>
      </w:r>
      <w:r>
        <w:rPr>
          <w:color w:val="000000"/>
        </w:rPr>
        <w:t>7249</w:t>
      </w:r>
      <w:r>
        <w:rPr>
          <w:rFonts w:hint="eastAsia"/>
          <w:color w:val="000000"/>
        </w:rPr>
        <w:t>万元，扶持老区基础设施、农业、水利、公共文化设施和革命遗址保护修缮等项目</w:t>
      </w:r>
      <w:r>
        <w:rPr>
          <w:color w:val="000000"/>
        </w:rPr>
        <w:t>993</w:t>
      </w:r>
      <w:r>
        <w:rPr>
          <w:rFonts w:hint="eastAsia"/>
          <w:color w:val="000000"/>
        </w:rPr>
        <w:t>个，有效保障了老区脱贫攻坚工作。</w:t>
      </w:r>
      <w:r>
        <w:rPr>
          <w:color w:val="000000"/>
        </w:rPr>
        <w:t>127</w:t>
      </w:r>
      <w:r>
        <w:rPr>
          <w:rFonts w:hint="eastAsia"/>
          <w:color w:val="000000"/>
        </w:rPr>
        <w:t>个建档立卡贫困老区村已全部脱贫，革命“五老”人员定期生活补助标准均高于省定标准。留守儿童和困境儿童关爱保护体系和基层工作网络初步建成，乡镇儿童督导员实现全覆盖，村（居）儿童主任配备率</w:t>
      </w:r>
      <w:r>
        <w:rPr>
          <w:color w:val="000000"/>
        </w:rPr>
        <w:t>100%</w:t>
      </w:r>
      <w:r>
        <w:rPr>
          <w:rFonts w:hint="eastAsia"/>
          <w:color w:val="000000"/>
        </w:rPr>
        <w:t>。孤儿保障标准持续提高，留守儿童监护责任和户籍登记有效落实，留守儿童减至</w:t>
      </w:r>
      <w:r>
        <w:rPr>
          <w:color w:val="000000"/>
        </w:rPr>
        <w:t>3333</w:t>
      </w:r>
      <w:r>
        <w:rPr>
          <w:rFonts w:hint="eastAsia"/>
          <w:color w:val="000000"/>
        </w:rPr>
        <w:t>人，残疾人两项补贴累计发放</w:t>
      </w:r>
      <w:r>
        <w:rPr>
          <w:color w:val="000000"/>
        </w:rPr>
        <w:t>4.86</w:t>
      </w:r>
      <w:r>
        <w:rPr>
          <w:rFonts w:hint="eastAsia"/>
          <w:color w:val="000000"/>
        </w:rPr>
        <w:t>亿元。</w:t>
      </w:r>
    </w:p>
    <w:p w14:paraId="14F08B42">
      <w:pPr>
        <w:adjustRightInd w:val="0"/>
        <w:snapToGrid w:val="0"/>
        <w:spacing w:line="580" w:lineRule="exact"/>
        <w:ind w:firstLine="31680"/>
        <w:rPr>
          <w:color w:val="000000"/>
        </w:rPr>
      </w:pPr>
      <w:r>
        <w:rPr>
          <w:rFonts w:hint="eastAsia"/>
          <w:b/>
          <w:color w:val="000000"/>
        </w:rPr>
        <w:t>基层社会治理不断深化。</w:t>
      </w:r>
      <w:r>
        <w:rPr>
          <w:rFonts w:hint="eastAsia"/>
          <w:color w:val="000000"/>
        </w:rPr>
        <w:t>通过探索实践，着力破解基层社会治理难题，百姓的获得感幸福感不断增强，基层社会治理和服务能力不断提升。积极推进社区服务设施建设，城乡社区综合服务设施覆盖率分别达</w:t>
      </w:r>
      <w:r>
        <w:rPr>
          <w:color w:val="000000"/>
        </w:rPr>
        <w:t>100%</w:t>
      </w:r>
      <w:r>
        <w:rPr>
          <w:rFonts w:hint="eastAsia"/>
          <w:color w:val="000000"/>
        </w:rPr>
        <w:t>、</w:t>
      </w:r>
      <w:r>
        <w:rPr>
          <w:color w:val="000000"/>
        </w:rPr>
        <w:t>90%</w:t>
      </w:r>
      <w:r>
        <w:rPr>
          <w:rFonts w:hint="eastAsia"/>
          <w:color w:val="000000"/>
        </w:rPr>
        <w:t>，完成</w:t>
      </w:r>
      <w:r>
        <w:rPr>
          <w:color w:val="000000"/>
        </w:rPr>
        <w:t>162</w:t>
      </w:r>
      <w:r>
        <w:rPr>
          <w:rFonts w:hint="eastAsia"/>
          <w:color w:val="000000"/>
        </w:rPr>
        <w:t>个“共建共享”新型示范社区、</w:t>
      </w:r>
      <w:r>
        <w:rPr>
          <w:color w:val="000000"/>
        </w:rPr>
        <w:t>120</w:t>
      </w:r>
      <w:r>
        <w:rPr>
          <w:rFonts w:hint="eastAsia"/>
          <w:color w:val="000000"/>
        </w:rPr>
        <w:t>个农村社区建设示范村和</w:t>
      </w:r>
      <w:r>
        <w:rPr>
          <w:color w:val="000000"/>
        </w:rPr>
        <w:t>12</w:t>
      </w:r>
      <w:r>
        <w:rPr>
          <w:rFonts w:hint="eastAsia"/>
          <w:color w:val="000000"/>
        </w:rPr>
        <w:t>个城乡社区社会工作服务站试点建设。村（居）委会选举一次性成功率</w:t>
      </w:r>
      <w:r>
        <w:rPr>
          <w:color w:val="000000"/>
        </w:rPr>
        <w:t>100%</w:t>
      </w:r>
      <w:r>
        <w:rPr>
          <w:rFonts w:hint="eastAsia"/>
          <w:color w:val="000000"/>
        </w:rPr>
        <w:t>，“一肩挑”比例</w:t>
      </w:r>
      <w:r>
        <w:rPr>
          <w:color w:val="000000"/>
        </w:rPr>
        <w:t>41%</w:t>
      </w:r>
      <w:r>
        <w:rPr>
          <w:rFonts w:hint="eastAsia"/>
          <w:color w:val="000000"/>
        </w:rPr>
        <w:t>。社区民主管理制度日趋完善，干部队伍结构进一步优化，社区治理和服务水平持续提升。推进社会组织统一社会信用代码制度建设，已录入市级社会组织电子证照</w:t>
      </w:r>
      <w:r>
        <w:rPr>
          <w:color w:val="000000"/>
        </w:rPr>
        <w:t>4848</w:t>
      </w:r>
      <w:r>
        <w:rPr>
          <w:rFonts w:hint="eastAsia"/>
          <w:color w:val="000000"/>
        </w:rPr>
        <w:t>条，赋予社会组织统一信用代码</w:t>
      </w:r>
      <w:r>
        <w:rPr>
          <w:color w:val="000000"/>
        </w:rPr>
        <w:t>779</w:t>
      </w:r>
      <w:r>
        <w:rPr>
          <w:rFonts w:hint="eastAsia"/>
          <w:color w:val="000000"/>
        </w:rPr>
        <w:t>条，覆盖率达</w:t>
      </w:r>
      <w:r>
        <w:rPr>
          <w:color w:val="000000"/>
        </w:rPr>
        <w:t>100%</w:t>
      </w:r>
      <w:r>
        <w:rPr>
          <w:rFonts w:hint="eastAsia"/>
          <w:color w:val="000000"/>
        </w:rPr>
        <w:t>。成立中共泉州市委社会组织综合委员会，指导</w:t>
      </w:r>
      <w:r>
        <w:rPr>
          <w:color w:val="000000"/>
        </w:rPr>
        <w:t>129</w:t>
      </w:r>
      <w:r>
        <w:rPr>
          <w:rFonts w:hint="eastAsia"/>
          <w:color w:val="000000"/>
        </w:rPr>
        <w:t>家社会组织的党建工作，实现党组织应建尽建，基本完成行业协会商会与行政机关脱钩工作。完善社会组织退出机制，依法撤销</w:t>
      </w:r>
      <w:r>
        <w:rPr>
          <w:color w:val="000000"/>
        </w:rPr>
        <w:t>35</w:t>
      </w:r>
      <w:r>
        <w:rPr>
          <w:rFonts w:hint="eastAsia"/>
          <w:color w:val="000000"/>
        </w:rPr>
        <w:t>家“僵尸型”社会组织。完成第三批市级社会组织等级评估工作，实行社会组织证书“三证合一”。进一步推动社会组织诚信建设，强化了信用约束。公布社会组织异常名录和失信黑名单，</w:t>
      </w:r>
      <w:r>
        <w:rPr>
          <w:color w:val="000000"/>
        </w:rPr>
        <w:t>97</w:t>
      </w:r>
      <w:r>
        <w:rPr>
          <w:rFonts w:hint="eastAsia"/>
          <w:color w:val="000000"/>
        </w:rPr>
        <w:t>家社会组织被列入异常名录、</w:t>
      </w:r>
      <w:r>
        <w:rPr>
          <w:color w:val="000000"/>
        </w:rPr>
        <w:t>33</w:t>
      </w:r>
      <w:r>
        <w:rPr>
          <w:rFonts w:hint="eastAsia"/>
          <w:color w:val="000000"/>
        </w:rPr>
        <w:t>家社会组织被列入失信黑名单。我市社会工作发展增速，社会认知度不断提高，工作基础逐步夯实，持证数量稳步增长。</w:t>
      </w:r>
      <w:r>
        <w:rPr>
          <w:color w:val="000000"/>
        </w:rPr>
        <w:t>2016</w:t>
      </w:r>
      <w:r>
        <w:rPr>
          <w:rFonts w:hint="eastAsia"/>
          <w:color w:val="000000"/>
        </w:rPr>
        <w:t>年，泉州市被评为“全国社会工作服务示范地区”。目前已有持证社会工作者</w:t>
      </w:r>
      <w:r>
        <w:rPr>
          <w:color w:val="000000"/>
        </w:rPr>
        <w:t>2620</w:t>
      </w:r>
      <w:r>
        <w:rPr>
          <w:rFonts w:hint="eastAsia"/>
          <w:color w:val="000000"/>
        </w:rPr>
        <w:t>名，持证社工数居全省前列。</w:t>
      </w:r>
    </w:p>
    <w:p w14:paraId="7F11EA5D">
      <w:pPr>
        <w:adjustRightInd w:val="0"/>
        <w:snapToGrid w:val="0"/>
        <w:spacing w:line="580" w:lineRule="exact"/>
        <w:ind w:firstLine="31680"/>
        <w:rPr>
          <w:color w:val="000000"/>
        </w:rPr>
      </w:pPr>
      <w:r>
        <w:rPr>
          <w:rFonts w:hint="eastAsia"/>
          <w:b/>
          <w:color w:val="000000"/>
        </w:rPr>
        <w:t>基本社会服务加快提升。</w:t>
      </w:r>
      <w:r>
        <w:rPr>
          <w:rFonts w:hint="eastAsia"/>
          <w:color w:val="000000"/>
        </w:rPr>
        <w:t>通过养老政策、养老保障、养老设施和养老服务等</w:t>
      </w:r>
      <w:r>
        <w:rPr>
          <w:color w:val="000000"/>
        </w:rPr>
        <w:t>4</w:t>
      </w:r>
      <w:r>
        <w:rPr>
          <w:rFonts w:hint="eastAsia"/>
          <w:color w:val="000000"/>
        </w:rPr>
        <w:t>方面的补短板，搭建了泉州养老政策体系。在全省率先建立特困（低保）失能老人护理补助制度。全市养老床位突破</w:t>
      </w:r>
      <w:r>
        <w:rPr>
          <w:color w:val="000000"/>
        </w:rPr>
        <w:t>4</w:t>
      </w:r>
      <w:r>
        <w:rPr>
          <w:rFonts w:hint="eastAsia"/>
          <w:color w:val="000000"/>
        </w:rPr>
        <w:t>万张，农村居家养老服务站（幸福院）达</w:t>
      </w:r>
      <w:r>
        <w:rPr>
          <w:color w:val="000000"/>
        </w:rPr>
        <w:t>1912</w:t>
      </w:r>
      <w:r>
        <w:rPr>
          <w:rFonts w:hint="eastAsia"/>
          <w:color w:val="000000"/>
        </w:rPr>
        <w:t>个，街道和重点乡镇居家社区养老服务照料中心</w:t>
      </w:r>
      <w:r>
        <w:rPr>
          <w:color w:val="000000"/>
        </w:rPr>
        <w:t>91</w:t>
      </w:r>
      <w:r>
        <w:rPr>
          <w:rFonts w:hint="eastAsia"/>
          <w:color w:val="000000"/>
        </w:rPr>
        <w:t>个，推动“互联网</w:t>
      </w:r>
      <w:r>
        <w:rPr>
          <w:color w:val="000000"/>
        </w:rPr>
        <w:t>+</w:t>
      </w:r>
      <w:r>
        <w:rPr>
          <w:rFonts w:hint="eastAsia"/>
          <w:color w:val="000000"/>
        </w:rPr>
        <w:t>居家养老”新服务模式，通过政府购买服务、运营补助、以奖代补等方式鼓励社会力量参与、支持养老服务。基本形成以居家养老为基础、社区为依托、机构为补充医养相结合覆盖城乡的全方位养老服务体系。殡葬改革方面，全市殡葬火化率</w:t>
      </w:r>
      <w:r>
        <w:rPr>
          <w:color w:val="000000"/>
        </w:rPr>
        <w:t>100%</w:t>
      </w:r>
      <w:r>
        <w:rPr>
          <w:rFonts w:hint="eastAsia"/>
          <w:color w:val="000000"/>
        </w:rPr>
        <w:t>，节地生态安葬率</w:t>
      </w:r>
      <w:r>
        <w:rPr>
          <w:color w:val="000000"/>
        </w:rPr>
        <w:t>89%</w:t>
      </w:r>
      <w:r>
        <w:rPr>
          <w:rFonts w:hint="eastAsia"/>
          <w:color w:val="000000"/>
        </w:rPr>
        <w:t>，城乡困难群众基本殡葬服务费实现全免，惠民殡葬覆盖面不断扩大，全市公益性骨灰楼堂达</w:t>
      </w:r>
      <w:r>
        <w:rPr>
          <w:color w:val="000000"/>
        </w:rPr>
        <w:t>1811</w:t>
      </w:r>
      <w:r>
        <w:rPr>
          <w:rFonts w:hint="eastAsia"/>
          <w:color w:val="000000"/>
        </w:rPr>
        <w:t>个，推进丧俗改革，引导移风易俗理念转变，倡导文明祭扫方式，推广普及厚养薄葬理念，</w:t>
      </w:r>
      <w:r>
        <w:rPr>
          <w:color w:val="000000"/>
        </w:rPr>
        <w:t>8</w:t>
      </w:r>
      <w:r>
        <w:rPr>
          <w:rFonts w:hint="eastAsia"/>
          <w:color w:val="000000"/>
        </w:rPr>
        <w:t>个县（市、区）已施行文明治丧与惠民殡葬相结合的政策，殡葬新风俗、新理念、新方式风气渐浓。</w:t>
      </w:r>
    </w:p>
    <w:p w14:paraId="5A71540B">
      <w:pPr>
        <w:adjustRightInd w:val="0"/>
        <w:snapToGrid w:val="0"/>
        <w:spacing w:line="580" w:lineRule="exact"/>
        <w:ind w:firstLine="31680"/>
        <w:rPr>
          <w:color w:val="000000"/>
        </w:rPr>
      </w:pPr>
      <w:r>
        <w:rPr>
          <w:rFonts w:hint="eastAsia"/>
          <w:color w:val="000000"/>
        </w:rPr>
        <w:t>“十三五”时期，泉州经济发展水平迈上新台阶，民政事业发展经济基础更加坚实，政府对民生领域保障力度持续加大。民政事业发展与人民群众日益增长的美好生活需要相比，在社会救助、养老服务、儿童福利、未成年人保护、残疾康复、精神卫生、殡葬服务等基本民生保障和基本社会服务领域还存在短板，需要加快补齐；基层社会治理方式有待进一步改进，社会力量参与不足，社会组织、社会工作者、志愿者、基层社区、社会公益慈善资源等优势和作用还需进一步发挥；城乡区域间民政服务设施建设和服务能力不平衡的问题还比较突出，农村和欠发达地区的基本民生保障需要加强；支撑民政事业持续健康发展的法制化、标准化、信息化建设水平仍需提升。推进新时代民政事业高质量发展任务依然艰巨。</w:t>
      </w:r>
    </w:p>
    <w:p w14:paraId="55D85066">
      <w:pPr>
        <w:spacing w:line="580" w:lineRule="exact"/>
        <w:ind w:firstLine="0" w:firstLineChars="0"/>
        <w:jc w:val="left"/>
        <w:rPr>
          <w:color w:val="000000"/>
        </w:rPr>
      </w:pPr>
      <w:r>
        <w:rPr>
          <w:color w:val="000000"/>
        </w:rPr>
        <w:br w:type="page"/>
      </w:r>
    </w:p>
    <w:tbl>
      <w:tblPr>
        <w:tblStyle w:val="13"/>
        <w:tblW w:w="9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3437"/>
        <w:gridCol w:w="1095"/>
        <w:gridCol w:w="945"/>
        <w:gridCol w:w="2385"/>
        <w:gridCol w:w="1262"/>
      </w:tblGrid>
      <w:tr w14:paraId="3832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9827" w:type="dxa"/>
            <w:gridSpan w:val="6"/>
            <w:vAlign w:val="center"/>
          </w:tcPr>
          <w:p w14:paraId="20E99CC4">
            <w:pPr>
              <w:spacing w:line="280" w:lineRule="exact"/>
              <w:ind w:firstLine="0" w:firstLineChars="0"/>
              <w:jc w:val="center"/>
              <w:rPr>
                <w:rFonts w:eastAsia="方正仿宋简体"/>
                <w:b/>
                <w:color w:val="000000"/>
                <w:sz w:val="28"/>
                <w:szCs w:val="28"/>
              </w:rPr>
            </w:pPr>
            <w:r>
              <w:rPr>
                <w:rFonts w:hint="eastAsia" w:eastAsia="方正仿宋简体"/>
                <w:b/>
                <w:color w:val="000000"/>
                <w:sz w:val="28"/>
                <w:szCs w:val="28"/>
              </w:rPr>
              <w:t>专栏</w:t>
            </w:r>
            <w:r>
              <w:rPr>
                <w:rFonts w:eastAsia="方正仿宋简体"/>
                <w:b/>
                <w:color w:val="000000"/>
                <w:sz w:val="28"/>
                <w:szCs w:val="28"/>
              </w:rPr>
              <w:t>1</w:t>
            </w:r>
            <w:r>
              <w:rPr>
                <w:rFonts w:hint="eastAsia" w:eastAsia="方正仿宋简体"/>
                <w:b/>
                <w:color w:val="000000"/>
                <w:sz w:val="28"/>
                <w:szCs w:val="28"/>
              </w:rPr>
              <w:t>：</w:t>
            </w:r>
            <w:r>
              <w:rPr>
                <w:rFonts w:eastAsia="方正仿宋简体"/>
                <w:b/>
                <w:color w:val="000000"/>
                <w:sz w:val="28"/>
                <w:szCs w:val="28"/>
              </w:rPr>
              <w:t>“</w:t>
            </w:r>
            <w:r>
              <w:rPr>
                <w:rFonts w:hint="eastAsia" w:eastAsia="方正仿宋简体"/>
                <w:b/>
                <w:color w:val="000000"/>
                <w:sz w:val="28"/>
                <w:szCs w:val="28"/>
              </w:rPr>
              <w:t>十三五</w:t>
            </w:r>
            <w:r>
              <w:rPr>
                <w:rFonts w:eastAsia="方正仿宋简体"/>
                <w:b/>
                <w:color w:val="000000"/>
                <w:sz w:val="28"/>
                <w:szCs w:val="28"/>
              </w:rPr>
              <w:t>”</w:t>
            </w:r>
            <w:r>
              <w:rPr>
                <w:rFonts w:hint="eastAsia" w:eastAsia="方正仿宋简体"/>
                <w:b/>
                <w:color w:val="000000"/>
                <w:sz w:val="28"/>
                <w:szCs w:val="28"/>
              </w:rPr>
              <w:t>期间民政事业发展主要指标完成情况</w:t>
            </w:r>
          </w:p>
        </w:tc>
      </w:tr>
      <w:tr w14:paraId="7BB9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4559F0D1">
            <w:pPr>
              <w:spacing w:line="280" w:lineRule="exact"/>
              <w:ind w:firstLine="0" w:firstLineChars="0"/>
              <w:jc w:val="center"/>
              <w:rPr>
                <w:rFonts w:eastAsia="方正仿宋简体"/>
                <w:color w:val="000000"/>
                <w:sz w:val="24"/>
              </w:rPr>
            </w:pPr>
            <w:r>
              <w:rPr>
                <w:rFonts w:hint="eastAsia" w:eastAsia="方正仿宋简体"/>
                <w:color w:val="000000"/>
                <w:spacing w:val="-17"/>
                <w:sz w:val="24"/>
                <w:szCs w:val="24"/>
              </w:rPr>
              <w:t>序号</w:t>
            </w:r>
          </w:p>
        </w:tc>
        <w:tc>
          <w:tcPr>
            <w:tcW w:w="3437" w:type="dxa"/>
            <w:vAlign w:val="center"/>
          </w:tcPr>
          <w:p w14:paraId="0619377C">
            <w:pPr>
              <w:spacing w:line="280" w:lineRule="exact"/>
              <w:ind w:firstLine="0" w:firstLineChars="0"/>
              <w:jc w:val="center"/>
              <w:rPr>
                <w:rFonts w:eastAsia="方正仿宋简体"/>
                <w:color w:val="000000"/>
                <w:sz w:val="24"/>
              </w:rPr>
            </w:pPr>
            <w:r>
              <w:rPr>
                <w:rFonts w:hint="eastAsia" w:eastAsia="方正仿宋简体"/>
                <w:color w:val="000000"/>
                <w:sz w:val="24"/>
                <w:szCs w:val="24"/>
              </w:rPr>
              <w:t>项目和指标</w:t>
            </w:r>
          </w:p>
        </w:tc>
        <w:tc>
          <w:tcPr>
            <w:tcW w:w="1095" w:type="dxa"/>
            <w:vAlign w:val="center"/>
          </w:tcPr>
          <w:p w14:paraId="74DBE912">
            <w:pPr>
              <w:spacing w:line="280" w:lineRule="exact"/>
              <w:ind w:firstLine="0" w:firstLineChars="0"/>
              <w:jc w:val="center"/>
              <w:rPr>
                <w:rFonts w:eastAsia="方正仿宋简体"/>
                <w:color w:val="000000"/>
                <w:sz w:val="24"/>
              </w:rPr>
            </w:pPr>
            <w:r>
              <w:rPr>
                <w:rFonts w:hint="eastAsia" w:eastAsia="方正仿宋简体"/>
                <w:color w:val="000000"/>
                <w:sz w:val="24"/>
                <w:szCs w:val="24"/>
              </w:rPr>
              <w:t>计量</w:t>
            </w:r>
          </w:p>
          <w:p w14:paraId="76B4BED4">
            <w:pPr>
              <w:spacing w:line="280" w:lineRule="exact"/>
              <w:ind w:firstLine="0" w:firstLineChars="0"/>
              <w:jc w:val="center"/>
              <w:rPr>
                <w:rFonts w:eastAsia="方正仿宋简体"/>
                <w:color w:val="000000"/>
                <w:sz w:val="24"/>
              </w:rPr>
            </w:pPr>
            <w:r>
              <w:rPr>
                <w:rFonts w:hint="eastAsia" w:eastAsia="方正仿宋简体"/>
                <w:color w:val="000000"/>
                <w:sz w:val="24"/>
                <w:szCs w:val="24"/>
              </w:rPr>
              <w:t>单位</w:t>
            </w:r>
          </w:p>
        </w:tc>
        <w:tc>
          <w:tcPr>
            <w:tcW w:w="945" w:type="dxa"/>
            <w:vAlign w:val="center"/>
          </w:tcPr>
          <w:p w14:paraId="7EC1FF4D">
            <w:pPr>
              <w:spacing w:line="280" w:lineRule="exact"/>
              <w:ind w:firstLine="0" w:firstLineChars="0"/>
              <w:jc w:val="center"/>
              <w:rPr>
                <w:rFonts w:eastAsia="方正仿宋简体"/>
                <w:color w:val="000000"/>
                <w:sz w:val="24"/>
              </w:rPr>
            </w:pPr>
            <w:r>
              <w:rPr>
                <w:rFonts w:eastAsia="方正仿宋简体"/>
                <w:color w:val="000000"/>
                <w:sz w:val="24"/>
                <w:szCs w:val="24"/>
              </w:rPr>
              <w:t>2015</w:t>
            </w:r>
            <w:r>
              <w:rPr>
                <w:rFonts w:hint="eastAsia" w:eastAsia="方正仿宋简体"/>
                <w:color w:val="000000"/>
                <w:sz w:val="24"/>
                <w:szCs w:val="24"/>
              </w:rPr>
              <w:t>年</w:t>
            </w:r>
          </w:p>
        </w:tc>
        <w:tc>
          <w:tcPr>
            <w:tcW w:w="2385" w:type="dxa"/>
            <w:vAlign w:val="center"/>
          </w:tcPr>
          <w:p w14:paraId="23AE2300">
            <w:pPr>
              <w:spacing w:line="280" w:lineRule="exact"/>
              <w:ind w:firstLine="0" w:firstLineChars="0"/>
              <w:jc w:val="center"/>
              <w:rPr>
                <w:rFonts w:eastAsia="方正仿宋简体"/>
                <w:color w:val="000000"/>
                <w:sz w:val="24"/>
              </w:rPr>
            </w:pPr>
            <w:r>
              <w:rPr>
                <w:rFonts w:eastAsia="方正仿宋简体"/>
                <w:color w:val="000000"/>
                <w:sz w:val="24"/>
                <w:szCs w:val="24"/>
              </w:rPr>
              <w:t>2020</w:t>
            </w:r>
            <w:r>
              <w:rPr>
                <w:rFonts w:hint="eastAsia" w:eastAsia="方正仿宋简体"/>
                <w:color w:val="000000"/>
                <w:sz w:val="24"/>
                <w:szCs w:val="24"/>
              </w:rPr>
              <w:t>年目标值</w:t>
            </w:r>
          </w:p>
        </w:tc>
        <w:tc>
          <w:tcPr>
            <w:tcW w:w="1262" w:type="dxa"/>
            <w:vAlign w:val="center"/>
          </w:tcPr>
          <w:p w14:paraId="298DA189">
            <w:pPr>
              <w:spacing w:line="280" w:lineRule="exact"/>
              <w:ind w:firstLine="0" w:firstLineChars="0"/>
              <w:jc w:val="center"/>
              <w:rPr>
                <w:rFonts w:eastAsia="方正仿宋简体"/>
                <w:color w:val="000000"/>
                <w:sz w:val="24"/>
                <w:szCs w:val="24"/>
              </w:rPr>
            </w:pPr>
            <w:r>
              <w:rPr>
                <w:rFonts w:eastAsia="方正仿宋简体"/>
                <w:color w:val="000000"/>
                <w:sz w:val="24"/>
                <w:szCs w:val="24"/>
              </w:rPr>
              <w:t>2020</w:t>
            </w:r>
            <w:r>
              <w:rPr>
                <w:rFonts w:hint="eastAsia" w:eastAsia="方正仿宋简体"/>
                <w:color w:val="000000"/>
                <w:sz w:val="24"/>
                <w:szCs w:val="24"/>
              </w:rPr>
              <w:t>年</w:t>
            </w:r>
          </w:p>
          <w:p w14:paraId="5E30766C">
            <w:pPr>
              <w:spacing w:line="280" w:lineRule="exact"/>
              <w:ind w:firstLine="0" w:firstLineChars="0"/>
              <w:jc w:val="center"/>
              <w:rPr>
                <w:rFonts w:eastAsia="方正仿宋简体"/>
                <w:color w:val="000000"/>
                <w:sz w:val="24"/>
              </w:rPr>
            </w:pPr>
            <w:r>
              <w:rPr>
                <w:rFonts w:hint="eastAsia" w:eastAsia="方正仿宋简体"/>
                <w:color w:val="000000"/>
                <w:sz w:val="24"/>
                <w:szCs w:val="24"/>
              </w:rPr>
              <w:t>完成情况</w:t>
            </w:r>
          </w:p>
        </w:tc>
      </w:tr>
      <w:tr w14:paraId="6E37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61E31429">
            <w:pPr>
              <w:spacing w:line="280" w:lineRule="exact"/>
              <w:ind w:firstLine="0" w:firstLineChars="0"/>
              <w:jc w:val="center"/>
              <w:rPr>
                <w:rFonts w:eastAsia="方正仿宋简体"/>
                <w:color w:val="000000"/>
                <w:sz w:val="24"/>
              </w:rPr>
            </w:pPr>
            <w:r>
              <w:rPr>
                <w:rFonts w:eastAsia="方正仿宋简体"/>
                <w:color w:val="000000"/>
                <w:sz w:val="24"/>
                <w:szCs w:val="24"/>
              </w:rPr>
              <w:t>1</w:t>
            </w:r>
          </w:p>
        </w:tc>
        <w:tc>
          <w:tcPr>
            <w:tcW w:w="3437" w:type="dxa"/>
            <w:vAlign w:val="center"/>
          </w:tcPr>
          <w:p w14:paraId="5D6C9FAA">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城市低保标准</w:t>
            </w:r>
          </w:p>
        </w:tc>
        <w:tc>
          <w:tcPr>
            <w:tcW w:w="1095" w:type="dxa"/>
            <w:vAlign w:val="center"/>
          </w:tcPr>
          <w:p w14:paraId="0B7C3E07">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元</w:t>
            </w:r>
            <w:r>
              <w:rPr>
                <w:rFonts w:eastAsia="方正仿宋简体"/>
                <w:color w:val="000000"/>
                <w:sz w:val="24"/>
                <w:szCs w:val="24"/>
              </w:rPr>
              <w:t>/</w:t>
            </w:r>
            <w:r>
              <w:rPr>
                <w:rFonts w:hint="eastAsia" w:eastAsia="方正仿宋简体"/>
                <w:color w:val="000000"/>
                <w:sz w:val="24"/>
                <w:szCs w:val="24"/>
              </w:rPr>
              <w:t>年</w:t>
            </w:r>
          </w:p>
        </w:tc>
        <w:tc>
          <w:tcPr>
            <w:tcW w:w="945" w:type="dxa"/>
            <w:vAlign w:val="center"/>
          </w:tcPr>
          <w:p w14:paraId="1ADE7DD6">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5924</w:t>
            </w:r>
          </w:p>
        </w:tc>
        <w:tc>
          <w:tcPr>
            <w:tcW w:w="2385" w:type="dxa"/>
            <w:vAlign w:val="center"/>
          </w:tcPr>
          <w:p w14:paraId="2DB14717">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按当地最低工资标准</w:t>
            </w:r>
            <w:r>
              <w:rPr>
                <w:rFonts w:eastAsia="方正仿宋简体"/>
                <w:color w:val="000000"/>
                <w:sz w:val="24"/>
                <w:szCs w:val="24"/>
              </w:rPr>
              <w:t>40%</w:t>
            </w:r>
            <w:r>
              <w:rPr>
                <w:rFonts w:hint="eastAsia" w:eastAsia="方正仿宋简体"/>
                <w:color w:val="000000"/>
                <w:sz w:val="24"/>
                <w:szCs w:val="24"/>
              </w:rPr>
              <w:t>确定</w:t>
            </w:r>
          </w:p>
        </w:tc>
        <w:tc>
          <w:tcPr>
            <w:tcW w:w="1262" w:type="dxa"/>
            <w:vAlign w:val="center"/>
          </w:tcPr>
          <w:p w14:paraId="518FA6FF">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9005</w:t>
            </w:r>
          </w:p>
        </w:tc>
      </w:tr>
      <w:tr w14:paraId="746B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0D2196D2">
            <w:pPr>
              <w:spacing w:line="360" w:lineRule="exact"/>
              <w:ind w:firstLine="0" w:firstLineChars="0"/>
              <w:jc w:val="center"/>
              <w:rPr>
                <w:rFonts w:eastAsia="方正仿宋简体"/>
                <w:color w:val="000000"/>
                <w:sz w:val="24"/>
              </w:rPr>
            </w:pPr>
            <w:r>
              <w:rPr>
                <w:rFonts w:eastAsia="方正仿宋简体"/>
                <w:color w:val="000000"/>
                <w:sz w:val="24"/>
                <w:szCs w:val="24"/>
              </w:rPr>
              <w:t>2</w:t>
            </w:r>
          </w:p>
        </w:tc>
        <w:tc>
          <w:tcPr>
            <w:tcW w:w="3437" w:type="dxa"/>
            <w:vAlign w:val="center"/>
          </w:tcPr>
          <w:p w14:paraId="4201B53D">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农村低保标准</w:t>
            </w:r>
          </w:p>
        </w:tc>
        <w:tc>
          <w:tcPr>
            <w:tcW w:w="1095" w:type="dxa"/>
            <w:vAlign w:val="center"/>
          </w:tcPr>
          <w:p w14:paraId="26D63F66">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元</w:t>
            </w:r>
            <w:r>
              <w:rPr>
                <w:rFonts w:eastAsia="方正仿宋简体"/>
                <w:color w:val="000000"/>
                <w:sz w:val="24"/>
                <w:szCs w:val="24"/>
              </w:rPr>
              <w:t>/</w:t>
            </w:r>
            <w:r>
              <w:rPr>
                <w:rFonts w:hint="eastAsia" w:eastAsia="方正仿宋简体"/>
                <w:color w:val="000000"/>
                <w:sz w:val="24"/>
                <w:szCs w:val="24"/>
              </w:rPr>
              <w:t>年</w:t>
            </w:r>
          </w:p>
        </w:tc>
        <w:tc>
          <w:tcPr>
            <w:tcW w:w="945" w:type="dxa"/>
            <w:vAlign w:val="center"/>
          </w:tcPr>
          <w:p w14:paraId="78607471">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3885</w:t>
            </w:r>
          </w:p>
        </w:tc>
        <w:tc>
          <w:tcPr>
            <w:tcW w:w="2385" w:type="dxa"/>
            <w:vAlign w:val="center"/>
          </w:tcPr>
          <w:p w14:paraId="28714F48">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逐步提高农村低保标准，确保</w:t>
            </w:r>
            <w:r>
              <w:rPr>
                <w:rFonts w:eastAsia="方正仿宋简体"/>
                <w:color w:val="000000"/>
                <w:sz w:val="24"/>
                <w:szCs w:val="24"/>
              </w:rPr>
              <w:t>2018</w:t>
            </w:r>
            <w:r>
              <w:rPr>
                <w:rFonts w:hint="eastAsia" w:eastAsia="方正仿宋简体"/>
                <w:color w:val="000000"/>
                <w:sz w:val="24"/>
                <w:szCs w:val="24"/>
              </w:rPr>
              <w:t>年前低保标准和扶贫标准</w:t>
            </w:r>
            <w:r>
              <w:rPr>
                <w:rFonts w:eastAsia="方正仿宋简体"/>
                <w:color w:val="000000"/>
                <w:sz w:val="24"/>
                <w:szCs w:val="24"/>
              </w:rPr>
              <w:t>“</w:t>
            </w:r>
            <w:r>
              <w:rPr>
                <w:rFonts w:hint="eastAsia" w:eastAsia="方正仿宋简体"/>
                <w:color w:val="000000"/>
                <w:sz w:val="24"/>
                <w:szCs w:val="24"/>
              </w:rPr>
              <w:t>两线合一</w:t>
            </w:r>
            <w:r>
              <w:rPr>
                <w:rFonts w:eastAsia="方正仿宋简体"/>
                <w:color w:val="000000"/>
                <w:sz w:val="24"/>
                <w:szCs w:val="24"/>
              </w:rPr>
              <w:t>”</w:t>
            </w:r>
          </w:p>
        </w:tc>
        <w:tc>
          <w:tcPr>
            <w:tcW w:w="1262" w:type="dxa"/>
            <w:vAlign w:val="center"/>
          </w:tcPr>
          <w:p w14:paraId="722D5FBC">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8840</w:t>
            </w:r>
          </w:p>
        </w:tc>
      </w:tr>
      <w:tr w14:paraId="42C5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52C312D1">
            <w:pPr>
              <w:spacing w:line="280" w:lineRule="exact"/>
              <w:ind w:firstLine="0" w:firstLineChars="0"/>
              <w:jc w:val="center"/>
              <w:rPr>
                <w:rFonts w:eastAsia="方正仿宋简体"/>
                <w:color w:val="000000"/>
                <w:sz w:val="24"/>
              </w:rPr>
            </w:pPr>
            <w:r>
              <w:rPr>
                <w:rFonts w:eastAsia="方正仿宋简体"/>
                <w:color w:val="000000"/>
                <w:sz w:val="24"/>
                <w:szCs w:val="24"/>
              </w:rPr>
              <w:t>3</w:t>
            </w:r>
          </w:p>
        </w:tc>
        <w:tc>
          <w:tcPr>
            <w:tcW w:w="3437" w:type="dxa"/>
            <w:vAlign w:val="center"/>
          </w:tcPr>
          <w:p w14:paraId="1B729665">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城市</w:t>
            </w:r>
            <w:r>
              <w:rPr>
                <w:rFonts w:eastAsia="方正仿宋简体"/>
                <w:color w:val="000000"/>
                <w:sz w:val="24"/>
                <w:szCs w:val="24"/>
              </w:rPr>
              <w:t>“</w:t>
            </w:r>
            <w:r>
              <w:rPr>
                <w:rFonts w:hint="eastAsia" w:eastAsia="方正仿宋简体"/>
                <w:color w:val="000000"/>
                <w:sz w:val="24"/>
                <w:szCs w:val="24"/>
              </w:rPr>
              <w:t>三无人员</w:t>
            </w:r>
            <w:r>
              <w:rPr>
                <w:rFonts w:eastAsia="方正仿宋简体"/>
                <w:color w:val="000000"/>
                <w:sz w:val="24"/>
                <w:szCs w:val="24"/>
              </w:rPr>
              <w:t>”</w:t>
            </w:r>
            <w:r>
              <w:rPr>
                <w:rFonts w:hint="eastAsia" w:eastAsia="方正仿宋简体"/>
                <w:color w:val="000000"/>
                <w:sz w:val="24"/>
                <w:szCs w:val="24"/>
              </w:rPr>
              <w:t>供养标准</w:t>
            </w:r>
          </w:p>
        </w:tc>
        <w:tc>
          <w:tcPr>
            <w:tcW w:w="1095" w:type="dxa"/>
            <w:vAlign w:val="center"/>
          </w:tcPr>
          <w:p w14:paraId="5EE4ACCD">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元</w:t>
            </w:r>
            <w:r>
              <w:rPr>
                <w:rFonts w:eastAsia="方正仿宋简体"/>
                <w:color w:val="000000"/>
                <w:sz w:val="24"/>
                <w:szCs w:val="24"/>
              </w:rPr>
              <w:t>/</w:t>
            </w:r>
            <w:r>
              <w:rPr>
                <w:rFonts w:hint="eastAsia" w:eastAsia="方正仿宋简体"/>
                <w:color w:val="000000"/>
                <w:sz w:val="24"/>
                <w:szCs w:val="24"/>
              </w:rPr>
              <w:t>年</w:t>
            </w:r>
          </w:p>
        </w:tc>
        <w:tc>
          <w:tcPr>
            <w:tcW w:w="945" w:type="dxa"/>
            <w:vAlign w:val="center"/>
          </w:tcPr>
          <w:p w14:paraId="3A47AB50">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8088</w:t>
            </w:r>
          </w:p>
        </w:tc>
        <w:tc>
          <w:tcPr>
            <w:tcW w:w="2385" w:type="dxa"/>
            <w:vAlign w:val="center"/>
          </w:tcPr>
          <w:p w14:paraId="7E15C5C1">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不低于上年度城乡居民人均消费支出</w:t>
            </w:r>
            <w:r>
              <w:rPr>
                <w:rFonts w:eastAsia="方正仿宋简体"/>
                <w:color w:val="000000"/>
                <w:sz w:val="24"/>
                <w:szCs w:val="24"/>
              </w:rPr>
              <w:t>70%</w:t>
            </w:r>
          </w:p>
        </w:tc>
        <w:tc>
          <w:tcPr>
            <w:tcW w:w="1262" w:type="dxa"/>
            <w:vMerge w:val="restart"/>
            <w:vAlign w:val="center"/>
          </w:tcPr>
          <w:p w14:paraId="00FA56DE">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18591.7</w:t>
            </w:r>
          </w:p>
        </w:tc>
      </w:tr>
      <w:tr w14:paraId="150C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03" w:type="dxa"/>
            <w:vAlign w:val="center"/>
          </w:tcPr>
          <w:p w14:paraId="498A029A">
            <w:pPr>
              <w:spacing w:line="280" w:lineRule="exact"/>
              <w:ind w:firstLine="0" w:firstLineChars="0"/>
              <w:jc w:val="center"/>
              <w:rPr>
                <w:rFonts w:eastAsia="方正仿宋简体"/>
                <w:color w:val="000000"/>
                <w:sz w:val="24"/>
              </w:rPr>
            </w:pPr>
            <w:r>
              <w:rPr>
                <w:rFonts w:eastAsia="方正仿宋简体"/>
                <w:color w:val="000000"/>
                <w:sz w:val="24"/>
              </w:rPr>
              <w:t>4</w:t>
            </w:r>
          </w:p>
        </w:tc>
        <w:tc>
          <w:tcPr>
            <w:tcW w:w="3437" w:type="dxa"/>
            <w:vAlign w:val="center"/>
          </w:tcPr>
          <w:p w14:paraId="086F64F0">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农村五保供养标准</w:t>
            </w:r>
          </w:p>
        </w:tc>
        <w:tc>
          <w:tcPr>
            <w:tcW w:w="1095" w:type="dxa"/>
            <w:vAlign w:val="center"/>
          </w:tcPr>
          <w:p w14:paraId="0F69AFC3">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元</w:t>
            </w:r>
            <w:r>
              <w:rPr>
                <w:rFonts w:eastAsia="方正仿宋简体"/>
                <w:color w:val="000000"/>
                <w:sz w:val="24"/>
                <w:szCs w:val="24"/>
              </w:rPr>
              <w:t>/</w:t>
            </w:r>
            <w:r>
              <w:rPr>
                <w:rFonts w:hint="eastAsia" w:eastAsia="方正仿宋简体"/>
                <w:color w:val="000000"/>
                <w:sz w:val="24"/>
                <w:szCs w:val="24"/>
              </w:rPr>
              <w:t>年</w:t>
            </w:r>
          </w:p>
        </w:tc>
        <w:tc>
          <w:tcPr>
            <w:tcW w:w="945" w:type="dxa"/>
            <w:vAlign w:val="center"/>
          </w:tcPr>
          <w:p w14:paraId="4A853301">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7294</w:t>
            </w:r>
          </w:p>
        </w:tc>
        <w:tc>
          <w:tcPr>
            <w:tcW w:w="2385" w:type="dxa"/>
            <w:vAlign w:val="center"/>
          </w:tcPr>
          <w:p w14:paraId="318E306C">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不低于上年度城乡居民人均消费支出</w:t>
            </w:r>
            <w:r>
              <w:rPr>
                <w:rFonts w:eastAsia="方正仿宋简体"/>
                <w:color w:val="000000"/>
                <w:sz w:val="24"/>
                <w:szCs w:val="24"/>
              </w:rPr>
              <w:t>70%</w:t>
            </w:r>
          </w:p>
        </w:tc>
        <w:tc>
          <w:tcPr>
            <w:tcW w:w="1262" w:type="dxa"/>
            <w:vMerge w:val="continue"/>
            <w:vAlign w:val="center"/>
          </w:tcPr>
          <w:p w14:paraId="0F4EA578">
            <w:pPr>
              <w:adjustRightInd w:val="0"/>
              <w:snapToGrid w:val="0"/>
              <w:spacing w:line="360" w:lineRule="exact"/>
              <w:ind w:firstLine="0" w:firstLineChars="0"/>
              <w:jc w:val="center"/>
              <w:rPr>
                <w:rFonts w:eastAsia="方正仿宋简体"/>
                <w:color w:val="000000"/>
                <w:sz w:val="24"/>
                <w:szCs w:val="24"/>
              </w:rPr>
            </w:pPr>
          </w:p>
        </w:tc>
      </w:tr>
      <w:tr w14:paraId="0144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03" w:type="dxa"/>
            <w:vAlign w:val="center"/>
          </w:tcPr>
          <w:p w14:paraId="177793DF">
            <w:pPr>
              <w:spacing w:line="280" w:lineRule="exact"/>
              <w:ind w:firstLine="0" w:firstLineChars="0"/>
              <w:jc w:val="center"/>
              <w:rPr>
                <w:rFonts w:eastAsia="方正仿宋简体"/>
                <w:color w:val="000000"/>
                <w:sz w:val="24"/>
              </w:rPr>
            </w:pPr>
            <w:r>
              <w:rPr>
                <w:rFonts w:eastAsia="方正仿宋简体"/>
                <w:color w:val="000000"/>
                <w:sz w:val="24"/>
              </w:rPr>
              <w:t>5</w:t>
            </w:r>
          </w:p>
        </w:tc>
        <w:tc>
          <w:tcPr>
            <w:tcW w:w="3437" w:type="dxa"/>
            <w:tcBorders>
              <w:top w:val="nil"/>
            </w:tcBorders>
            <w:vAlign w:val="center"/>
          </w:tcPr>
          <w:p w14:paraId="32D928D0">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每千名老年人拥有养老床位数</w:t>
            </w:r>
          </w:p>
          <w:p w14:paraId="65F13CFD">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其中：护理型床位比例</w:t>
            </w:r>
          </w:p>
        </w:tc>
        <w:tc>
          <w:tcPr>
            <w:tcW w:w="1095" w:type="dxa"/>
            <w:tcBorders>
              <w:top w:val="nil"/>
            </w:tcBorders>
            <w:vAlign w:val="center"/>
          </w:tcPr>
          <w:p w14:paraId="158578F3">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张</w:t>
            </w:r>
          </w:p>
          <w:p w14:paraId="32E0EEF4">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w:t>
            </w:r>
          </w:p>
        </w:tc>
        <w:tc>
          <w:tcPr>
            <w:tcW w:w="945" w:type="dxa"/>
            <w:tcBorders>
              <w:top w:val="nil"/>
            </w:tcBorders>
            <w:vAlign w:val="center"/>
          </w:tcPr>
          <w:p w14:paraId="4D39EADD">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30.94</w:t>
            </w:r>
          </w:p>
          <w:p w14:paraId="2EA27676">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w:t>
            </w:r>
          </w:p>
        </w:tc>
        <w:tc>
          <w:tcPr>
            <w:tcW w:w="2385" w:type="dxa"/>
            <w:tcBorders>
              <w:top w:val="nil"/>
            </w:tcBorders>
            <w:vAlign w:val="center"/>
          </w:tcPr>
          <w:p w14:paraId="76D001B1">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35</w:t>
            </w:r>
          </w:p>
          <w:p w14:paraId="5334AF0C">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30</w:t>
            </w:r>
          </w:p>
        </w:tc>
        <w:tc>
          <w:tcPr>
            <w:tcW w:w="1262" w:type="dxa"/>
            <w:tcBorders>
              <w:top w:val="nil"/>
            </w:tcBorders>
            <w:vAlign w:val="center"/>
          </w:tcPr>
          <w:p w14:paraId="6E1AD1D3">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38</w:t>
            </w:r>
          </w:p>
          <w:p w14:paraId="488BDC74">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54.8</w:t>
            </w:r>
          </w:p>
        </w:tc>
      </w:tr>
      <w:tr w14:paraId="793A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155817F2">
            <w:pPr>
              <w:spacing w:line="280" w:lineRule="exact"/>
              <w:ind w:firstLine="0" w:firstLineChars="0"/>
              <w:jc w:val="center"/>
              <w:rPr>
                <w:rFonts w:eastAsia="方正仿宋简体"/>
                <w:color w:val="000000"/>
                <w:sz w:val="24"/>
              </w:rPr>
            </w:pPr>
            <w:r>
              <w:rPr>
                <w:rFonts w:eastAsia="方正仿宋简体"/>
                <w:color w:val="000000"/>
                <w:sz w:val="24"/>
              </w:rPr>
              <w:t>6</w:t>
            </w:r>
          </w:p>
        </w:tc>
        <w:tc>
          <w:tcPr>
            <w:tcW w:w="3437" w:type="dxa"/>
            <w:vAlign w:val="center"/>
          </w:tcPr>
          <w:p w14:paraId="54FB7283">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建制村养老服务设施覆盖率</w:t>
            </w:r>
          </w:p>
        </w:tc>
        <w:tc>
          <w:tcPr>
            <w:tcW w:w="1095" w:type="dxa"/>
            <w:vAlign w:val="center"/>
          </w:tcPr>
          <w:p w14:paraId="4C63D980">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w:t>
            </w:r>
          </w:p>
        </w:tc>
        <w:tc>
          <w:tcPr>
            <w:tcW w:w="945" w:type="dxa"/>
            <w:vAlign w:val="center"/>
          </w:tcPr>
          <w:p w14:paraId="310D09B9">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w:t>
            </w:r>
          </w:p>
        </w:tc>
        <w:tc>
          <w:tcPr>
            <w:tcW w:w="2385" w:type="dxa"/>
            <w:vAlign w:val="center"/>
          </w:tcPr>
          <w:p w14:paraId="63549FC5">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60</w:t>
            </w:r>
          </w:p>
        </w:tc>
        <w:tc>
          <w:tcPr>
            <w:tcW w:w="1262" w:type="dxa"/>
            <w:vAlign w:val="center"/>
          </w:tcPr>
          <w:p w14:paraId="00A1357C">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100</w:t>
            </w:r>
          </w:p>
        </w:tc>
      </w:tr>
      <w:tr w14:paraId="6E86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675EC056">
            <w:pPr>
              <w:spacing w:line="280" w:lineRule="exact"/>
              <w:ind w:firstLine="0" w:firstLineChars="0"/>
              <w:jc w:val="center"/>
              <w:rPr>
                <w:rFonts w:eastAsia="方正仿宋简体"/>
                <w:color w:val="000000"/>
                <w:sz w:val="24"/>
              </w:rPr>
            </w:pPr>
            <w:r>
              <w:rPr>
                <w:rFonts w:eastAsia="方正仿宋简体"/>
                <w:color w:val="000000"/>
                <w:sz w:val="24"/>
                <w:szCs w:val="24"/>
              </w:rPr>
              <w:t>7</w:t>
            </w:r>
          </w:p>
        </w:tc>
        <w:tc>
          <w:tcPr>
            <w:tcW w:w="3437" w:type="dxa"/>
            <w:vAlign w:val="center"/>
          </w:tcPr>
          <w:p w14:paraId="3BD9228D">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每万人社会组织</w:t>
            </w:r>
          </w:p>
        </w:tc>
        <w:tc>
          <w:tcPr>
            <w:tcW w:w="1095" w:type="dxa"/>
            <w:vAlign w:val="center"/>
          </w:tcPr>
          <w:p w14:paraId="7A314980">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个</w:t>
            </w:r>
          </w:p>
        </w:tc>
        <w:tc>
          <w:tcPr>
            <w:tcW w:w="945" w:type="dxa"/>
            <w:vAlign w:val="center"/>
          </w:tcPr>
          <w:p w14:paraId="0AB0696D">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6.12</w:t>
            </w:r>
          </w:p>
        </w:tc>
        <w:tc>
          <w:tcPr>
            <w:tcW w:w="2385" w:type="dxa"/>
            <w:vAlign w:val="center"/>
          </w:tcPr>
          <w:p w14:paraId="6E0E9153">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10</w:t>
            </w:r>
          </w:p>
        </w:tc>
        <w:tc>
          <w:tcPr>
            <w:tcW w:w="1262" w:type="dxa"/>
            <w:vAlign w:val="center"/>
          </w:tcPr>
          <w:p w14:paraId="4FD4242F">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9.1</w:t>
            </w:r>
          </w:p>
        </w:tc>
      </w:tr>
      <w:tr w14:paraId="281C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749CF24F">
            <w:pPr>
              <w:spacing w:line="400" w:lineRule="exact"/>
              <w:ind w:firstLine="0" w:firstLineChars="0"/>
              <w:jc w:val="center"/>
              <w:rPr>
                <w:rFonts w:eastAsia="方正仿宋简体"/>
                <w:color w:val="000000"/>
                <w:sz w:val="24"/>
              </w:rPr>
            </w:pPr>
            <w:r>
              <w:rPr>
                <w:rFonts w:eastAsia="方正仿宋简体"/>
                <w:color w:val="000000"/>
                <w:sz w:val="24"/>
                <w:szCs w:val="24"/>
              </w:rPr>
              <w:t>8</w:t>
            </w:r>
          </w:p>
        </w:tc>
        <w:tc>
          <w:tcPr>
            <w:tcW w:w="3437" w:type="dxa"/>
            <w:vAlign w:val="center"/>
          </w:tcPr>
          <w:p w14:paraId="2A069BAD">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城市社区综合服务设施覆盖率</w:t>
            </w:r>
          </w:p>
        </w:tc>
        <w:tc>
          <w:tcPr>
            <w:tcW w:w="1095" w:type="dxa"/>
            <w:vAlign w:val="center"/>
          </w:tcPr>
          <w:p w14:paraId="673881EC">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w:t>
            </w:r>
          </w:p>
        </w:tc>
        <w:tc>
          <w:tcPr>
            <w:tcW w:w="945" w:type="dxa"/>
            <w:vAlign w:val="center"/>
          </w:tcPr>
          <w:p w14:paraId="2979A41B">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92</w:t>
            </w:r>
          </w:p>
        </w:tc>
        <w:tc>
          <w:tcPr>
            <w:tcW w:w="2385" w:type="dxa"/>
            <w:vAlign w:val="center"/>
          </w:tcPr>
          <w:p w14:paraId="6223014A">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98</w:t>
            </w:r>
          </w:p>
        </w:tc>
        <w:tc>
          <w:tcPr>
            <w:tcW w:w="1262" w:type="dxa"/>
            <w:vAlign w:val="center"/>
          </w:tcPr>
          <w:p w14:paraId="4350D26F">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100</w:t>
            </w:r>
          </w:p>
        </w:tc>
      </w:tr>
      <w:tr w14:paraId="76E2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47CE2AC5">
            <w:pPr>
              <w:spacing w:line="400" w:lineRule="exact"/>
              <w:ind w:firstLine="0" w:firstLineChars="0"/>
              <w:jc w:val="center"/>
              <w:rPr>
                <w:rFonts w:eastAsia="方正仿宋简体"/>
                <w:color w:val="000000"/>
                <w:sz w:val="24"/>
              </w:rPr>
            </w:pPr>
            <w:r>
              <w:rPr>
                <w:rFonts w:eastAsia="方正仿宋简体"/>
                <w:color w:val="000000"/>
                <w:sz w:val="24"/>
                <w:szCs w:val="24"/>
              </w:rPr>
              <w:t>9</w:t>
            </w:r>
          </w:p>
        </w:tc>
        <w:tc>
          <w:tcPr>
            <w:tcW w:w="3437" w:type="dxa"/>
            <w:vAlign w:val="center"/>
          </w:tcPr>
          <w:p w14:paraId="227AF1FF">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殡葬火化率</w:t>
            </w:r>
          </w:p>
        </w:tc>
        <w:tc>
          <w:tcPr>
            <w:tcW w:w="1095" w:type="dxa"/>
            <w:vAlign w:val="center"/>
          </w:tcPr>
          <w:p w14:paraId="73C1F7AD">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w:t>
            </w:r>
          </w:p>
        </w:tc>
        <w:tc>
          <w:tcPr>
            <w:tcW w:w="945" w:type="dxa"/>
            <w:vAlign w:val="center"/>
          </w:tcPr>
          <w:p w14:paraId="6C25F3F0">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99.2</w:t>
            </w:r>
          </w:p>
        </w:tc>
        <w:tc>
          <w:tcPr>
            <w:tcW w:w="2385" w:type="dxa"/>
            <w:vAlign w:val="center"/>
          </w:tcPr>
          <w:p w14:paraId="4890F62B">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99.3</w:t>
            </w:r>
          </w:p>
        </w:tc>
        <w:tc>
          <w:tcPr>
            <w:tcW w:w="1262" w:type="dxa"/>
            <w:vAlign w:val="center"/>
          </w:tcPr>
          <w:p w14:paraId="3985B9C6">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100</w:t>
            </w:r>
          </w:p>
        </w:tc>
      </w:tr>
      <w:tr w14:paraId="1025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686B7A1A">
            <w:pPr>
              <w:spacing w:line="400" w:lineRule="exact"/>
              <w:ind w:firstLine="0" w:firstLineChars="0"/>
              <w:jc w:val="center"/>
              <w:rPr>
                <w:rFonts w:eastAsia="方正仿宋简体"/>
                <w:color w:val="000000"/>
                <w:sz w:val="24"/>
              </w:rPr>
            </w:pPr>
            <w:r>
              <w:rPr>
                <w:rFonts w:eastAsia="方正仿宋简体"/>
                <w:color w:val="000000"/>
                <w:sz w:val="24"/>
                <w:szCs w:val="24"/>
              </w:rPr>
              <w:t>10</w:t>
            </w:r>
          </w:p>
        </w:tc>
        <w:tc>
          <w:tcPr>
            <w:tcW w:w="3437" w:type="dxa"/>
            <w:vAlign w:val="center"/>
          </w:tcPr>
          <w:p w14:paraId="3966C60C">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节地生态安葬率</w:t>
            </w:r>
          </w:p>
        </w:tc>
        <w:tc>
          <w:tcPr>
            <w:tcW w:w="1095" w:type="dxa"/>
            <w:vAlign w:val="center"/>
          </w:tcPr>
          <w:p w14:paraId="49D444DC">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w:t>
            </w:r>
          </w:p>
        </w:tc>
        <w:tc>
          <w:tcPr>
            <w:tcW w:w="945" w:type="dxa"/>
            <w:vAlign w:val="center"/>
          </w:tcPr>
          <w:p w14:paraId="39D99629">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w:t>
            </w:r>
          </w:p>
        </w:tc>
        <w:tc>
          <w:tcPr>
            <w:tcW w:w="2385" w:type="dxa"/>
            <w:vAlign w:val="center"/>
          </w:tcPr>
          <w:p w14:paraId="411421BD">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50</w:t>
            </w:r>
          </w:p>
        </w:tc>
        <w:tc>
          <w:tcPr>
            <w:tcW w:w="1262" w:type="dxa"/>
            <w:vAlign w:val="center"/>
          </w:tcPr>
          <w:p w14:paraId="2D18AAF9">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89</w:t>
            </w:r>
          </w:p>
        </w:tc>
      </w:tr>
      <w:tr w14:paraId="405C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51FD8436">
            <w:pPr>
              <w:spacing w:line="280" w:lineRule="exact"/>
              <w:ind w:firstLine="0" w:firstLineChars="0"/>
              <w:jc w:val="center"/>
              <w:rPr>
                <w:rFonts w:eastAsia="方正仿宋简体"/>
                <w:color w:val="000000"/>
                <w:sz w:val="24"/>
                <w:szCs w:val="24"/>
              </w:rPr>
            </w:pPr>
            <w:r>
              <w:rPr>
                <w:rFonts w:eastAsia="方正仿宋简体"/>
                <w:color w:val="000000"/>
                <w:sz w:val="24"/>
                <w:szCs w:val="24"/>
              </w:rPr>
              <w:t>11</w:t>
            </w:r>
          </w:p>
        </w:tc>
        <w:tc>
          <w:tcPr>
            <w:tcW w:w="3437" w:type="dxa"/>
            <w:vAlign w:val="center"/>
          </w:tcPr>
          <w:p w14:paraId="39FB118D">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专业社会工作人才人员数（持证社工）</w:t>
            </w:r>
          </w:p>
        </w:tc>
        <w:tc>
          <w:tcPr>
            <w:tcW w:w="1095" w:type="dxa"/>
            <w:vAlign w:val="center"/>
          </w:tcPr>
          <w:p w14:paraId="699D188F">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人</w:t>
            </w:r>
          </w:p>
        </w:tc>
        <w:tc>
          <w:tcPr>
            <w:tcW w:w="945" w:type="dxa"/>
            <w:vAlign w:val="center"/>
          </w:tcPr>
          <w:p w14:paraId="01101A92">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1020</w:t>
            </w:r>
          </w:p>
        </w:tc>
        <w:tc>
          <w:tcPr>
            <w:tcW w:w="2385" w:type="dxa"/>
            <w:vAlign w:val="center"/>
          </w:tcPr>
          <w:p w14:paraId="49A1DCE9">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1800</w:t>
            </w:r>
          </w:p>
        </w:tc>
        <w:tc>
          <w:tcPr>
            <w:tcW w:w="1262" w:type="dxa"/>
            <w:vAlign w:val="center"/>
          </w:tcPr>
          <w:p w14:paraId="645B82DE">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2620</w:t>
            </w:r>
          </w:p>
        </w:tc>
      </w:tr>
      <w:tr w14:paraId="6A3D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03" w:type="dxa"/>
            <w:vAlign w:val="center"/>
          </w:tcPr>
          <w:p w14:paraId="416805A1">
            <w:pPr>
              <w:spacing w:line="280" w:lineRule="exact"/>
              <w:ind w:firstLine="0" w:firstLineChars="0"/>
              <w:jc w:val="center"/>
              <w:rPr>
                <w:rFonts w:eastAsia="方正仿宋简体"/>
                <w:color w:val="000000"/>
                <w:sz w:val="24"/>
                <w:szCs w:val="24"/>
              </w:rPr>
            </w:pPr>
            <w:r>
              <w:rPr>
                <w:rFonts w:eastAsia="方正仿宋简体"/>
                <w:color w:val="000000"/>
                <w:sz w:val="24"/>
                <w:szCs w:val="24"/>
              </w:rPr>
              <w:t>12</w:t>
            </w:r>
          </w:p>
        </w:tc>
        <w:tc>
          <w:tcPr>
            <w:tcW w:w="3437" w:type="dxa"/>
            <w:vAlign w:val="center"/>
          </w:tcPr>
          <w:p w14:paraId="6D1AAFC0">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福利彩票</w:t>
            </w:r>
            <w:r>
              <w:rPr>
                <w:rFonts w:eastAsia="方正仿宋简体"/>
                <w:color w:val="000000"/>
                <w:sz w:val="24"/>
                <w:szCs w:val="24"/>
              </w:rPr>
              <w:t>5</w:t>
            </w:r>
            <w:r>
              <w:rPr>
                <w:rFonts w:hint="eastAsia" w:eastAsia="方正仿宋简体"/>
                <w:color w:val="000000"/>
                <w:sz w:val="24"/>
                <w:szCs w:val="24"/>
              </w:rPr>
              <w:t>年累计发行量</w:t>
            </w:r>
          </w:p>
        </w:tc>
        <w:tc>
          <w:tcPr>
            <w:tcW w:w="1095" w:type="dxa"/>
            <w:vAlign w:val="center"/>
          </w:tcPr>
          <w:p w14:paraId="4FF41110">
            <w:pPr>
              <w:adjustRightInd w:val="0"/>
              <w:snapToGrid w:val="0"/>
              <w:spacing w:line="360" w:lineRule="exact"/>
              <w:ind w:firstLine="0" w:firstLineChars="0"/>
              <w:jc w:val="center"/>
              <w:rPr>
                <w:rFonts w:eastAsia="方正仿宋简体"/>
                <w:color w:val="000000"/>
                <w:sz w:val="24"/>
                <w:szCs w:val="24"/>
              </w:rPr>
            </w:pPr>
            <w:r>
              <w:rPr>
                <w:rFonts w:hint="eastAsia" w:eastAsia="方正仿宋简体"/>
                <w:color w:val="000000"/>
                <w:sz w:val="24"/>
                <w:szCs w:val="24"/>
              </w:rPr>
              <w:t>亿元</w:t>
            </w:r>
          </w:p>
        </w:tc>
        <w:tc>
          <w:tcPr>
            <w:tcW w:w="945" w:type="dxa"/>
            <w:vAlign w:val="center"/>
          </w:tcPr>
          <w:p w14:paraId="52426CB7">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57.34</w:t>
            </w:r>
          </w:p>
        </w:tc>
        <w:tc>
          <w:tcPr>
            <w:tcW w:w="2385" w:type="dxa"/>
            <w:vAlign w:val="center"/>
          </w:tcPr>
          <w:p w14:paraId="759596C6">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60</w:t>
            </w:r>
          </w:p>
        </w:tc>
        <w:tc>
          <w:tcPr>
            <w:tcW w:w="1262" w:type="dxa"/>
            <w:vAlign w:val="center"/>
          </w:tcPr>
          <w:p w14:paraId="5868D05F">
            <w:pPr>
              <w:adjustRightInd w:val="0"/>
              <w:snapToGrid w:val="0"/>
              <w:spacing w:line="360" w:lineRule="exact"/>
              <w:ind w:firstLine="0" w:firstLineChars="0"/>
              <w:jc w:val="center"/>
              <w:rPr>
                <w:rFonts w:eastAsia="方正仿宋简体"/>
                <w:color w:val="000000"/>
                <w:sz w:val="24"/>
                <w:szCs w:val="24"/>
              </w:rPr>
            </w:pPr>
            <w:r>
              <w:rPr>
                <w:rFonts w:eastAsia="方正仿宋简体"/>
                <w:color w:val="000000"/>
                <w:sz w:val="24"/>
                <w:szCs w:val="24"/>
              </w:rPr>
              <w:t>52.8</w:t>
            </w:r>
          </w:p>
        </w:tc>
      </w:tr>
    </w:tbl>
    <w:p w14:paraId="456B7995">
      <w:pPr>
        <w:pStyle w:val="25"/>
        <w:widowControl w:val="0"/>
        <w:spacing w:line="580" w:lineRule="exact"/>
        <w:outlineLvl w:val="1"/>
        <w:rPr>
          <w:rFonts w:ascii="宋体" w:hAnsi="宋体" w:eastAsia="宋体" w:cs="宋体"/>
          <w:color w:val="000000"/>
        </w:rPr>
      </w:pPr>
      <w:bookmarkStart w:id="6" w:name="_Toc29357"/>
      <w:bookmarkStart w:id="7" w:name="_Toc30960"/>
    </w:p>
    <w:p w14:paraId="02D43E7B">
      <w:pPr>
        <w:pStyle w:val="25"/>
        <w:widowControl w:val="0"/>
        <w:spacing w:line="580" w:lineRule="exact"/>
        <w:outlineLvl w:val="1"/>
        <w:rPr>
          <w:rFonts w:ascii="方正黑体简体" w:hAnsi="宋体" w:eastAsia="方正黑体简体" w:cs="宋体"/>
          <w:b w:val="0"/>
          <w:color w:val="000000"/>
        </w:rPr>
      </w:pPr>
      <w:r>
        <w:rPr>
          <w:rFonts w:hint="eastAsia" w:ascii="方正黑体简体" w:hAnsi="宋体" w:eastAsia="方正黑体简体" w:cs="宋体"/>
          <w:b w:val="0"/>
          <w:color w:val="000000"/>
        </w:rPr>
        <w:t>第二节　面临形势与挑战</w:t>
      </w:r>
      <w:bookmarkEnd w:id="6"/>
      <w:bookmarkEnd w:id="7"/>
    </w:p>
    <w:p w14:paraId="71856075">
      <w:pPr>
        <w:ind w:firstLine="31680"/>
        <w:rPr>
          <w:color w:val="000000"/>
        </w:rPr>
      </w:pPr>
    </w:p>
    <w:p w14:paraId="47B350D3">
      <w:pPr>
        <w:adjustRightInd w:val="0"/>
        <w:snapToGrid w:val="0"/>
        <w:spacing w:line="580" w:lineRule="exact"/>
        <w:ind w:firstLine="31680"/>
        <w:rPr>
          <w:color w:val="000000"/>
        </w:rPr>
      </w:pPr>
      <w:r>
        <w:rPr>
          <w:rFonts w:hint="eastAsia"/>
          <w:color w:val="000000"/>
        </w:rPr>
        <w:t>习近平总书记在福建考察时提出“一个篇章”的总目标、“四个更大”的新要求和“四项重点任务”，赋予我省全方位推进高质量发展超越的重大历史使命。随着我市经济社会的发展，政府对民生领域保障力度将持续加大，党对民政事业的领导更加坚强有力，民政事业发展的基础更加坚实。</w:t>
      </w:r>
    </w:p>
    <w:p w14:paraId="37C865A8">
      <w:pPr>
        <w:adjustRightInd w:val="0"/>
        <w:snapToGrid w:val="0"/>
        <w:spacing w:line="580" w:lineRule="exact"/>
        <w:ind w:firstLine="31680"/>
        <w:rPr>
          <w:color w:val="000000"/>
        </w:rPr>
      </w:pPr>
      <w:r>
        <w:rPr>
          <w:rFonts w:hint="eastAsia"/>
          <w:color w:val="000000"/>
        </w:rPr>
        <w:t>“十四五”时期是新时代民政事业高质量发展的重大战略机遇期。在看到一系列发展机遇的同时，我们也面临一些挑战，需要民政系统肩负起新时代赋予的更重职责。</w:t>
      </w:r>
    </w:p>
    <w:p w14:paraId="18EEA538">
      <w:pPr>
        <w:adjustRightInd w:val="0"/>
        <w:snapToGrid w:val="0"/>
        <w:spacing w:line="580" w:lineRule="exact"/>
        <w:ind w:firstLine="31680"/>
        <w:rPr>
          <w:color w:val="000000"/>
        </w:rPr>
      </w:pPr>
      <w:r>
        <w:rPr>
          <w:rFonts w:hint="eastAsia"/>
          <w:b/>
          <w:color w:val="000000"/>
        </w:rPr>
        <w:t>从城乡融合发展看，</w:t>
      </w:r>
      <w:r>
        <w:rPr>
          <w:rFonts w:hint="eastAsia"/>
          <w:bCs/>
          <w:color w:val="000000"/>
        </w:rPr>
        <w:t>随着</w:t>
      </w:r>
      <w:r>
        <w:rPr>
          <w:rFonts w:hint="eastAsia"/>
          <w:color w:val="000000"/>
        </w:rPr>
        <w:t>城镇化与乡村振兴深度融合，城乡区域发展空间格局深刻变化。全面打赢脱贫攻坚战后，推动巩固拓展脱贫攻坚兜底保障成果同乡村振兴有效衔接、探索建立解决相对贫困问题长效机制成为民政领域新的课题。在城镇稳定下来的大量新市民家庭如何参与和融入社区共建共享共治，如何更好满足群众需求，成为更加现实、更加迫切的基层治理问题。各县（市、区）民政事业发展水平仍存在差距，薄弱县（市、区）民政服务水平仍需提升。需要审慎稳妥优化行政区划设置，提升城市和城市群综合承载和资源优化配置能力。</w:t>
      </w:r>
    </w:p>
    <w:p w14:paraId="5193DF2F">
      <w:pPr>
        <w:adjustRightInd w:val="0"/>
        <w:snapToGrid w:val="0"/>
        <w:spacing w:line="580" w:lineRule="exact"/>
        <w:ind w:firstLine="31680"/>
        <w:rPr>
          <w:color w:val="000000"/>
        </w:rPr>
      </w:pPr>
      <w:r>
        <w:rPr>
          <w:rFonts w:hint="eastAsia"/>
          <w:b/>
          <w:color w:val="000000"/>
        </w:rPr>
        <w:t>从人口结构变化看，</w:t>
      </w:r>
      <w:r>
        <w:rPr>
          <w:rFonts w:hint="eastAsia"/>
          <w:color w:val="000000"/>
        </w:rPr>
        <w:t>养老、育幼、扶弱等工作的战略位势进一步提高。人口老龄化加快，高龄人口、失能或部分失能人口快速增加，对公共服务供给的能力和水平都提出了更高要求。基本养老、儿童福利和救助保护、精神卫生和残疾人康复等事业的社会关注度越来越高。当前社会服务供给结构和空间分布不够合理，具体表现为养老机构的普通床位供过于求，护理床位和服务社区居家的医养结合服务供不应求；优质社会服务资源集中在城市，农村和偏远山区量少质低。儿童福利和未成年人保护，</w:t>
      </w:r>
      <w:r>
        <w:rPr>
          <w:rFonts w:hint="eastAsia" w:ascii="仿宋_GB2312" w:cs="宋体"/>
          <w:color w:val="000000"/>
          <w:spacing w:val="-6"/>
          <w:szCs w:val="32"/>
        </w:rPr>
        <w:t>精神卫生和残疾人康复等事业</w:t>
      </w:r>
      <w:r>
        <w:rPr>
          <w:rFonts w:hint="eastAsia"/>
          <w:color w:val="000000"/>
        </w:rPr>
        <w:t>机构设备、人员、经费投入短板突出，未能满足特殊群体养、治、教、康需求。</w:t>
      </w:r>
    </w:p>
    <w:p w14:paraId="0DE2A3F1">
      <w:pPr>
        <w:adjustRightInd w:val="0"/>
        <w:snapToGrid w:val="0"/>
        <w:spacing w:line="580" w:lineRule="exact"/>
        <w:ind w:firstLine="31680"/>
        <w:rPr>
          <w:color w:val="000000"/>
        </w:rPr>
      </w:pPr>
      <w:r>
        <w:rPr>
          <w:rFonts w:hint="eastAsia"/>
          <w:b/>
          <w:color w:val="000000"/>
        </w:rPr>
        <w:t>从新冠肺炎疫情影响看，</w:t>
      </w:r>
      <w:r>
        <w:rPr>
          <w:rFonts w:hint="eastAsia"/>
          <w:color w:val="000000"/>
        </w:rPr>
        <w:t>社会救助兜底保障能力、民政机构服务能力、城乡社区治理能力在疫情应对中得到锻炼和提升，民政服务机构防控内感染、建立社会福利与医疗卫生机构联动机制、加强群防群治等方面经验，需要转化为安全发展常态化工作机制并应用推广，不断提升抵御防范风险能力。</w:t>
      </w:r>
    </w:p>
    <w:p w14:paraId="3AE4B59F">
      <w:pPr>
        <w:adjustRightInd w:val="0"/>
        <w:snapToGrid w:val="0"/>
        <w:spacing w:line="580" w:lineRule="exact"/>
        <w:ind w:firstLine="31680"/>
        <w:rPr>
          <w:color w:val="000000"/>
        </w:rPr>
      </w:pPr>
      <w:r>
        <w:rPr>
          <w:rFonts w:hint="eastAsia"/>
          <w:color w:val="000000"/>
        </w:rPr>
        <w:t>未来</w:t>
      </w:r>
      <w:r>
        <w:rPr>
          <w:color w:val="000000"/>
        </w:rPr>
        <w:t>5</w:t>
      </w:r>
      <w:r>
        <w:rPr>
          <w:rFonts w:hint="eastAsia"/>
          <w:color w:val="000000"/>
        </w:rPr>
        <w:t>年，机遇和挑战并存，全市各级民政部门要强化机遇意识和风险意识，把握发展规律，准确识变、科学应变、主动求变，善于在危机中育先机、于变局中开新局，不断在新发展阶段取得更大成绩。</w:t>
      </w:r>
    </w:p>
    <w:p w14:paraId="0D12670E">
      <w:pPr>
        <w:adjustRightInd w:val="0"/>
        <w:snapToGrid w:val="0"/>
        <w:spacing w:line="580" w:lineRule="exact"/>
        <w:ind w:firstLine="31680"/>
        <w:rPr>
          <w:color w:val="000000"/>
        </w:rPr>
      </w:pPr>
    </w:p>
    <w:p w14:paraId="1164D952">
      <w:pPr>
        <w:pStyle w:val="25"/>
        <w:widowControl w:val="0"/>
        <w:spacing w:line="580" w:lineRule="exact"/>
        <w:outlineLvl w:val="1"/>
        <w:rPr>
          <w:rFonts w:ascii="方正黑体简体" w:hAnsi="宋体" w:eastAsia="方正黑体简体" w:cs="宋体"/>
          <w:b w:val="0"/>
          <w:color w:val="000000"/>
        </w:rPr>
      </w:pPr>
      <w:bookmarkStart w:id="8" w:name="_Toc31821"/>
      <w:bookmarkStart w:id="9" w:name="_Toc11234"/>
      <w:r>
        <w:rPr>
          <w:rFonts w:hint="eastAsia" w:ascii="方正黑体简体" w:hAnsi="宋体" w:eastAsia="方正黑体简体" w:cs="宋体"/>
          <w:b w:val="0"/>
          <w:color w:val="000000"/>
        </w:rPr>
        <w:t>第三节　总体思路</w:t>
      </w:r>
      <w:bookmarkEnd w:id="8"/>
      <w:bookmarkEnd w:id="9"/>
    </w:p>
    <w:p w14:paraId="05F8C298">
      <w:pPr>
        <w:ind w:firstLine="31680"/>
        <w:rPr>
          <w:color w:val="000000"/>
        </w:rPr>
      </w:pPr>
    </w:p>
    <w:p w14:paraId="2350FCA8">
      <w:pPr>
        <w:adjustRightInd w:val="0"/>
        <w:snapToGrid w:val="0"/>
        <w:spacing w:line="580" w:lineRule="exact"/>
        <w:ind w:firstLine="31680"/>
        <w:rPr>
          <w:color w:val="000000"/>
        </w:rPr>
      </w:pPr>
      <w:r>
        <w:rPr>
          <w:rFonts w:hint="eastAsia" w:ascii="仿宋_GB2312"/>
          <w:color w:val="000000"/>
          <w:szCs w:val="32"/>
        </w:rPr>
        <w:t>以习近平新时代中国特色社会主义思想为指导，深入贯彻党的十九大和十九届二中、三中、四中、五中、六中全会精神，全面落实习近平总书记对民</w:t>
      </w:r>
      <w:r>
        <w:rPr>
          <w:rFonts w:hint="eastAsia" w:ascii="仿宋_GB2312"/>
          <w:color w:val="000000"/>
          <w:spacing w:val="-8"/>
          <w:szCs w:val="32"/>
        </w:rPr>
        <w:t>政工作重要指示批示和来闽考察重要讲话精神，增强“四个意识”、坚定“四个自信”、做到“两个维护”，按照党中央、国务院</w:t>
      </w:r>
      <w:r>
        <w:rPr>
          <w:rFonts w:hint="eastAsia" w:ascii="仿宋_GB2312" w:cs="仿宋"/>
          <w:color w:val="000000"/>
          <w:szCs w:val="32"/>
        </w:rPr>
        <w:t>关于推动民政事业持续健康发展的决策部署</w:t>
      </w:r>
      <w:r>
        <w:rPr>
          <w:rFonts w:hint="eastAsia" w:ascii="仿宋_GB2312"/>
          <w:color w:val="000000"/>
          <w:spacing w:val="-8"/>
          <w:szCs w:val="32"/>
        </w:rPr>
        <w:t>和省委、</w:t>
      </w:r>
      <w:r>
        <w:rPr>
          <w:rFonts w:hint="eastAsia" w:ascii="仿宋_GB2312" w:cs="仿宋"/>
          <w:color w:val="000000"/>
          <w:szCs w:val="32"/>
        </w:rPr>
        <w:t>省政府以及市委、市政府有关工作要求，加强</w:t>
      </w:r>
      <w:r>
        <w:rPr>
          <w:rFonts w:hint="eastAsia" w:ascii="仿宋_GB2312"/>
          <w:color w:val="000000"/>
          <w:spacing w:val="-8"/>
          <w:szCs w:val="32"/>
        </w:rPr>
        <w:t>党对民政工</w:t>
      </w:r>
      <w:r>
        <w:rPr>
          <w:rFonts w:hint="eastAsia" w:ascii="仿宋_GB2312"/>
          <w:color w:val="000000"/>
          <w:szCs w:val="32"/>
        </w:rPr>
        <w:t>作的领导，发挥新发展阶段民政工作兜底性、基础性作用，贯彻新发展理念中对民政部门以人民为中心、推动共同富裕的新要求，寻找构建新发展格局中民政工作的着力点，推动民政工作现代化，坚持以改革创新为根本动力，践行“民政为民、民政爱民”工作理念，更好履行基本民生保障、基层社会治理、基本社会服务等职责，顺利开启新时代民政事业发展新征程，为持续增进民生福祉、全方位推进高质量发展超越作出新的贡献</w:t>
      </w:r>
      <w:r>
        <w:rPr>
          <w:rFonts w:hint="eastAsia"/>
          <w:color w:val="000000"/>
        </w:rPr>
        <w:t>，紧抓群众关切的热点焦点，创新体制机制，激发社会参与活力，契合人民需求、反映时代特征、体现泉州特色，为推进我市“十四五”时期民政事业高质量发展提供有力支撑。</w:t>
      </w:r>
    </w:p>
    <w:p w14:paraId="3BD82E8D">
      <w:pPr>
        <w:adjustRightInd w:val="0"/>
        <w:snapToGrid w:val="0"/>
        <w:spacing w:line="580" w:lineRule="exact"/>
        <w:ind w:firstLine="31680"/>
        <w:rPr>
          <w:color w:val="000000"/>
        </w:rPr>
      </w:pPr>
      <w:r>
        <w:rPr>
          <w:rFonts w:hint="eastAsia"/>
          <w:color w:val="000000"/>
        </w:rPr>
        <w:t>“十四五”时期，民政事业发展必须坚持以下原则：</w:t>
      </w:r>
    </w:p>
    <w:p w14:paraId="665EA76C">
      <w:pPr>
        <w:adjustRightInd w:val="0"/>
        <w:snapToGrid w:val="0"/>
        <w:spacing w:line="580" w:lineRule="exact"/>
        <w:ind w:firstLine="31680"/>
        <w:rPr>
          <w:color w:val="000000"/>
        </w:rPr>
      </w:pPr>
      <w:r>
        <w:rPr>
          <w:rFonts w:hint="eastAsia"/>
          <w:b/>
          <w:color w:val="000000"/>
        </w:rPr>
        <w:t>坚持党的全面领导。</w:t>
      </w:r>
      <w:r>
        <w:rPr>
          <w:rFonts w:hint="eastAsia"/>
          <w:color w:val="000000"/>
        </w:rPr>
        <w:t>健全完善党领导民政工作的体制机制，切实把习近平总书记对民政工作的重要指示批示精神，省委、省政府的工作要求落实落细落到位，确保民政事业始终沿着正确的政治方向前进。</w:t>
      </w:r>
    </w:p>
    <w:p w14:paraId="47F1D6F5">
      <w:pPr>
        <w:adjustRightInd w:val="0"/>
        <w:snapToGrid w:val="0"/>
        <w:spacing w:line="580" w:lineRule="exact"/>
        <w:ind w:firstLine="31680"/>
        <w:rPr>
          <w:color w:val="000000"/>
        </w:rPr>
      </w:pPr>
      <w:r>
        <w:rPr>
          <w:rFonts w:hint="eastAsia"/>
          <w:b/>
          <w:color w:val="000000"/>
        </w:rPr>
        <w:t>坚持以人民为中心。</w:t>
      </w:r>
      <w:r>
        <w:rPr>
          <w:rFonts w:hint="eastAsia"/>
          <w:color w:val="000000"/>
        </w:rPr>
        <w:t>把解决人民群众急难愁盼的现实问题作为发展民政事业的出发点和落脚点，在激发人民群众内生动力的同时，尽力而为、量力而行，办好民生实事，促进社会公平，增进民生福祉，不断满足人民对美好生活的向往。</w:t>
      </w:r>
    </w:p>
    <w:p w14:paraId="3667E767">
      <w:pPr>
        <w:adjustRightInd w:val="0"/>
        <w:snapToGrid w:val="0"/>
        <w:spacing w:line="580" w:lineRule="exact"/>
        <w:ind w:firstLine="31680"/>
        <w:rPr>
          <w:color w:val="000000"/>
        </w:rPr>
      </w:pPr>
      <w:r>
        <w:rPr>
          <w:rFonts w:hint="eastAsia"/>
          <w:b/>
          <w:color w:val="000000"/>
        </w:rPr>
        <w:t>坚持共建共治共享。</w:t>
      </w:r>
      <w:r>
        <w:rPr>
          <w:rFonts w:hint="eastAsia"/>
          <w:color w:val="000000"/>
        </w:rPr>
        <w:t>充分发挥社会组织、社会工作者、志愿者等社会力量作用，统筹政府、社会、市场等多方资源支持参与民政事业，全面提升城乡社区组织服务能力，增加基本公共服务供给，编密织牢维护社会和谐稳定的基层防线。</w:t>
      </w:r>
    </w:p>
    <w:p w14:paraId="4D44840F">
      <w:pPr>
        <w:adjustRightInd w:val="0"/>
        <w:snapToGrid w:val="0"/>
        <w:spacing w:line="580" w:lineRule="exact"/>
        <w:ind w:firstLine="31680"/>
        <w:rPr>
          <w:color w:val="000000"/>
        </w:rPr>
      </w:pPr>
      <w:r>
        <w:rPr>
          <w:rFonts w:hint="eastAsia"/>
          <w:b/>
          <w:color w:val="000000"/>
        </w:rPr>
        <w:t>坚持统筹协调推进。</w:t>
      </w:r>
      <w:r>
        <w:rPr>
          <w:rFonts w:hint="eastAsia"/>
          <w:color w:val="000000"/>
        </w:rPr>
        <w:t>主动融入区域协调、创新驱动、乡村振兴发展战略和闽台融合发展大局，统筹推进城乡区域、老区苏区民政事业发展。加强内外联动，打通环节通道，形成“一盘棋”、拧成一股绳，推动民政事业行稳致远。</w:t>
      </w:r>
    </w:p>
    <w:p w14:paraId="462BCE60">
      <w:pPr>
        <w:adjustRightInd w:val="0"/>
        <w:snapToGrid w:val="0"/>
        <w:spacing w:line="580" w:lineRule="exact"/>
        <w:ind w:firstLine="31680"/>
        <w:rPr>
          <w:color w:val="000000"/>
        </w:rPr>
      </w:pPr>
      <w:r>
        <w:rPr>
          <w:rFonts w:hint="eastAsia"/>
          <w:b/>
          <w:color w:val="000000"/>
        </w:rPr>
        <w:t>坚持体制机制创新。</w:t>
      </w:r>
      <w:r>
        <w:rPr>
          <w:rFonts w:hint="eastAsia"/>
          <w:color w:val="000000"/>
        </w:rPr>
        <w:t>深化民政领域“放管服”改革，抓住党委政府关注、人民群众关切的痛点难点堵点，加强理念、模式、政策、平台、技术等多维创新，构建更加开放、更具活力、更有利于科学发展的民政工作体制机制。</w:t>
      </w:r>
    </w:p>
    <w:p w14:paraId="5C5F436F">
      <w:pPr>
        <w:adjustRightInd w:val="0"/>
        <w:snapToGrid w:val="0"/>
        <w:spacing w:line="550" w:lineRule="exact"/>
        <w:ind w:firstLine="31680"/>
        <w:rPr>
          <w:color w:val="000000"/>
        </w:rPr>
      </w:pPr>
    </w:p>
    <w:p w14:paraId="2E2E6838">
      <w:pPr>
        <w:pStyle w:val="25"/>
        <w:widowControl w:val="0"/>
        <w:spacing w:line="550" w:lineRule="exact"/>
        <w:outlineLvl w:val="1"/>
        <w:rPr>
          <w:rFonts w:ascii="方正黑体简体" w:hAnsi="宋体" w:eastAsia="方正黑体简体" w:cs="宋体"/>
          <w:b w:val="0"/>
          <w:color w:val="000000"/>
        </w:rPr>
      </w:pPr>
      <w:bookmarkStart w:id="10" w:name="_Toc4314"/>
      <w:bookmarkStart w:id="11" w:name="_Toc19464"/>
      <w:r>
        <w:rPr>
          <w:rFonts w:hint="eastAsia" w:ascii="方正黑体简体" w:hAnsi="宋体" w:eastAsia="方正黑体简体" w:cs="宋体"/>
          <w:b w:val="0"/>
          <w:color w:val="000000"/>
        </w:rPr>
        <w:t>第四节　发展目标</w:t>
      </w:r>
      <w:bookmarkEnd w:id="10"/>
      <w:bookmarkEnd w:id="11"/>
    </w:p>
    <w:p w14:paraId="144051B0">
      <w:pPr>
        <w:spacing w:line="550" w:lineRule="exact"/>
        <w:ind w:firstLine="31680"/>
        <w:rPr>
          <w:color w:val="000000"/>
        </w:rPr>
      </w:pPr>
    </w:p>
    <w:p w14:paraId="55B997A4">
      <w:pPr>
        <w:adjustRightInd w:val="0"/>
        <w:snapToGrid w:val="0"/>
        <w:spacing w:line="550" w:lineRule="exact"/>
        <w:ind w:firstLine="31680"/>
        <w:rPr>
          <w:rFonts w:ascii="仿宋_GB2312"/>
          <w:color w:val="000000"/>
          <w:szCs w:val="32"/>
        </w:rPr>
      </w:pPr>
      <w:r>
        <w:rPr>
          <w:rFonts w:hint="eastAsia" w:ascii="仿宋_GB2312"/>
          <w:color w:val="000000"/>
          <w:spacing w:val="-6"/>
          <w:szCs w:val="32"/>
        </w:rPr>
        <w:t>“十四五”时期，民政事业发展的总体目标是：民政系统党的建设进一步加强</w:t>
      </w:r>
      <w:r>
        <w:rPr>
          <w:rFonts w:hint="eastAsia" w:ascii="仿宋_GB2312" w:cs="仿宋"/>
          <w:bCs/>
          <w:color w:val="000000"/>
          <w:spacing w:val="-6"/>
          <w:szCs w:val="32"/>
        </w:rPr>
        <w:t>，民政相关制度更加成熟定型，</w:t>
      </w:r>
      <w:r>
        <w:rPr>
          <w:rFonts w:hint="eastAsia" w:ascii="仿宋_GB2312"/>
          <w:color w:val="000000"/>
          <w:spacing w:val="-6"/>
          <w:szCs w:val="32"/>
        </w:rPr>
        <w:t>基本民生保障更加有力，基层社会治理更加健全，</w:t>
      </w:r>
      <w:r>
        <w:rPr>
          <w:rFonts w:hint="eastAsia" w:ascii="仿宋_GB2312" w:cs="仿宋"/>
          <w:bCs/>
          <w:color w:val="000000"/>
          <w:spacing w:val="-6"/>
          <w:szCs w:val="32"/>
        </w:rPr>
        <w:t>基本社会服务更加有效，</w:t>
      </w:r>
      <w:r>
        <w:rPr>
          <w:rFonts w:hint="eastAsia" w:ascii="仿宋_GB2312"/>
          <w:color w:val="000000"/>
          <w:spacing w:val="-6"/>
          <w:szCs w:val="32"/>
        </w:rPr>
        <w:t>群众获得感、幸福感、安全感更强，民政在社会建设中的作用得到更全面发挥，民政事业现代化新征程实现顺利开局。</w:t>
      </w:r>
    </w:p>
    <w:p w14:paraId="7BD94F36">
      <w:pPr>
        <w:spacing w:line="550" w:lineRule="exact"/>
        <w:ind w:firstLine="31680"/>
        <w:rPr>
          <w:bCs/>
          <w:color w:val="000000"/>
          <w:spacing w:val="-6"/>
          <w:szCs w:val="32"/>
        </w:rPr>
      </w:pPr>
      <w:r>
        <w:rPr>
          <w:rFonts w:ascii="方正楷体_GBK" w:hAnsi="方正楷体_GBK" w:eastAsia="方正楷体_GBK" w:cs="方正楷体_GBK"/>
          <w:color w:val="000000"/>
        </w:rPr>
        <w:t>——</w:t>
      </w:r>
      <w:r>
        <w:rPr>
          <w:rFonts w:hint="eastAsia"/>
          <w:b/>
          <w:bCs/>
          <w:color w:val="000000"/>
          <w:szCs w:val="32"/>
        </w:rPr>
        <w:t>基本民生保障更加有力。</w:t>
      </w:r>
      <w:r>
        <w:rPr>
          <w:rFonts w:hint="eastAsia" w:ascii="仿宋_GB2312" w:hAnsi="仿宋_GB2312" w:cs="仿宋_GB2312"/>
          <w:color w:val="000000"/>
          <w:spacing w:val="-6"/>
          <w:szCs w:val="32"/>
        </w:rPr>
        <w:t>实现巩固拓展脱贫攻坚兜底保障成果同乡村振兴有效衔接，</w:t>
      </w:r>
      <w:r>
        <w:rPr>
          <w:rFonts w:hint="eastAsia" w:ascii="仿宋_GB2312" w:cs="仿宋"/>
          <w:bCs/>
          <w:color w:val="000000"/>
          <w:spacing w:val="-6"/>
          <w:szCs w:val="32"/>
        </w:rPr>
        <w:t>社会救助体系进一步完善，</w:t>
      </w:r>
      <w:r>
        <w:rPr>
          <w:rFonts w:hint="eastAsia"/>
          <w:color w:val="000000"/>
        </w:rPr>
        <w:t>基本生活救助标准与最低工资标准增长实现联动，比例由</w:t>
      </w:r>
      <w:r>
        <w:rPr>
          <w:color w:val="000000"/>
        </w:rPr>
        <w:t>2020</w:t>
      </w:r>
      <w:r>
        <w:rPr>
          <w:rFonts w:hint="eastAsia"/>
          <w:color w:val="000000"/>
        </w:rPr>
        <w:t>年的</w:t>
      </w:r>
      <w:r>
        <w:rPr>
          <w:color w:val="000000"/>
        </w:rPr>
        <w:t>44.5%</w:t>
      </w:r>
      <w:r>
        <w:rPr>
          <w:rFonts w:hint="eastAsia"/>
          <w:color w:val="000000"/>
        </w:rPr>
        <w:t>稳步提高到</w:t>
      </w:r>
      <w:r>
        <w:rPr>
          <w:color w:val="000000"/>
        </w:rPr>
        <w:t>2025</w:t>
      </w:r>
      <w:r>
        <w:rPr>
          <w:rFonts w:hint="eastAsia"/>
          <w:color w:val="000000"/>
        </w:rPr>
        <w:t>年的</w:t>
      </w:r>
      <w:r>
        <w:rPr>
          <w:color w:val="000000"/>
        </w:rPr>
        <w:t>47.5%</w:t>
      </w:r>
      <w:r>
        <w:rPr>
          <w:rFonts w:hint="eastAsia"/>
          <w:color w:val="000000"/>
        </w:rPr>
        <w:t>。</w:t>
      </w:r>
      <w:r>
        <w:rPr>
          <w:rFonts w:hint="eastAsia" w:ascii="仿宋_GB2312" w:cs="仿宋"/>
          <w:bCs/>
          <w:color w:val="000000"/>
          <w:spacing w:val="-6"/>
          <w:szCs w:val="32"/>
        </w:rPr>
        <w:t>不断加强孤儿和事实无人抚养儿童基本生活保障，残疾人“两项补贴”等相关保障措施更加完善，“</w:t>
      </w:r>
      <w:r>
        <w:rPr>
          <w:rFonts w:hint="eastAsia" w:ascii="仿宋_GB2312"/>
          <w:color w:val="000000"/>
          <w:spacing w:val="-6"/>
          <w:szCs w:val="32"/>
        </w:rPr>
        <w:t>老</w:t>
      </w:r>
      <w:r>
        <w:rPr>
          <w:rFonts w:hint="eastAsia"/>
          <w:color w:val="000000"/>
          <w:spacing w:val="-6"/>
          <w:szCs w:val="32"/>
        </w:rPr>
        <w:t>区优先、适当倾斜</w:t>
      </w:r>
      <w:r>
        <w:rPr>
          <w:color w:val="000000"/>
          <w:spacing w:val="-6"/>
          <w:szCs w:val="32"/>
        </w:rPr>
        <w:t>”</w:t>
      </w:r>
      <w:r>
        <w:rPr>
          <w:rFonts w:hint="eastAsia"/>
          <w:color w:val="000000"/>
          <w:spacing w:val="-6"/>
          <w:szCs w:val="32"/>
        </w:rPr>
        <w:t>原则充分得到体现，</w:t>
      </w:r>
      <w:r>
        <w:rPr>
          <w:rFonts w:hint="eastAsia"/>
          <w:bCs/>
          <w:color w:val="000000"/>
          <w:spacing w:val="-6"/>
          <w:szCs w:val="32"/>
        </w:rPr>
        <w:t>福利彩票支持基本民生保障的能力和水平进一步提升。在</w:t>
      </w:r>
      <w:r>
        <w:rPr>
          <w:bCs/>
          <w:color w:val="000000"/>
          <w:spacing w:val="-6"/>
          <w:szCs w:val="32"/>
        </w:rPr>
        <w:t>“</w:t>
      </w:r>
      <w:r>
        <w:rPr>
          <w:rFonts w:hint="eastAsia"/>
          <w:bCs/>
          <w:color w:val="000000"/>
          <w:spacing w:val="-6"/>
          <w:szCs w:val="32"/>
        </w:rPr>
        <w:t>十四五</w:t>
      </w:r>
      <w:r>
        <w:rPr>
          <w:bCs/>
          <w:color w:val="000000"/>
          <w:spacing w:val="-6"/>
          <w:szCs w:val="32"/>
        </w:rPr>
        <w:t>”</w:t>
      </w:r>
      <w:r>
        <w:rPr>
          <w:rFonts w:hint="eastAsia"/>
          <w:bCs/>
          <w:color w:val="000000"/>
          <w:spacing w:val="-6"/>
          <w:szCs w:val="32"/>
        </w:rPr>
        <w:t>期间，实现生活不能自理特困人员集中供养率达到</w:t>
      </w:r>
      <w:r>
        <w:rPr>
          <w:bCs/>
          <w:color w:val="000000"/>
          <w:spacing w:val="-6"/>
          <w:szCs w:val="32"/>
        </w:rPr>
        <w:t>60%</w:t>
      </w:r>
      <w:r>
        <w:rPr>
          <w:rFonts w:hint="eastAsia"/>
          <w:bCs/>
          <w:color w:val="000000"/>
          <w:spacing w:val="-6"/>
          <w:szCs w:val="32"/>
        </w:rPr>
        <w:t>。</w:t>
      </w:r>
    </w:p>
    <w:p w14:paraId="56C1D615">
      <w:pPr>
        <w:ind w:firstLine="31680"/>
        <w:rPr>
          <w:color w:val="000000"/>
          <w:spacing w:val="-6"/>
          <w:kern w:val="0"/>
          <w:szCs w:val="32"/>
        </w:rPr>
      </w:pPr>
      <w:r>
        <w:rPr>
          <w:rFonts w:eastAsia="方正楷体_GBK"/>
          <w:color w:val="000000"/>
        </w:rPr>
        <w:t>——</w:t>
      </w:r>
      <w:r>
        <w:rPr>
          <w:rFonts w:hint="eastAsia"/>
          <w:b/>
          <w:bCs/>
          <w:color w:val="000000"/>
          <w:szCs w:val="32"/>
        </w:rPr>
        <w:t>基层社会治理更加完善。</w:t>
      </w:r>
      <w:r>
        <w:rPr>
          <w:rFonts w:hint="eastAsia"/>
          <w:color w:val="000000"/>
          <w:spacing w:val="-6"/>
          <w:szCs w:val="32"/>
        </w:rPr>
        <w:t>党组织领导的自治、法治、德治相结合的城乡基层治理体系更加健全，力争社区居民委员会直接选举率达到</w:t>
      </w:r>
      <w:r>
        <w:rPr>
          <w:color w:val="000000"/>
          <w:spacing w:val="-6"/>
          <w:szCs w:val="32"/>
        </w:rPr>
        <w:t>30%</w:t>
      </w:r>
      <w:r>
        <w:rPr>
          <w:rFonts w:hint="eastAsia"/>
          <w:color w:val="000000"/>
          <w:spacing w:val="-6"/>
          <w:szCs w:val="32"/>
        </w:rPr>
        <w:t>以上。</w:t>
      </w:r>
      <w:r>
        <w:rPr>
          <w:rFonts w:hint="eastAsia"/>
          <w:color w:val="000000"/>
          <w:spacing w:val="-6"/>
          <w:kern w:val="0"/>
          <w:szCs w:val="32"/>
        </w:rPr>
        <w:t>社会组织、慈善组织、慈善信托、社会工作专业人才、志愿者队伍的发展水平与经济社会发展水平相适应，力争</w:t>
      </w:r>
      <w:r>
        <w:rPr>
          <w:rFonts w:hint="eastAsia"/>
          <w:color w:val="000000"/>
          <w:spacing w:val="-6"/>
          <w:szCs w:val="32"/>
        </w:rPr>
        <w:t>建设</w:t>
      </w:r>
      <w:r>
        <w:rPr>
          <w:color w:val="000000"/>
          <w:spacing w:val="-6"/>
          <w:szCs w:val="32"/>
        </w:rPr>
        <w:t>10</w:t>
      </w:r>
      <w:r>
        <w:rPr>
          <w:rFonts w:hint="eastAsia"/>
          <w:color w:val="000000"/>
          <w:spacing w:val="-6"/>
          <w:szCs w:val="32"/>
        </w:rPr>
        <w:t>个市级社会工作专业人才，社会工作人才总量达</w:t>
      </w:r>
      <w:r>
        <w:rPr>
          <w:color w:val="000000"/>
          <w:spacing w:val="-6"/>
          <w:szCs w:val="32"/>
        </w:rPr>
        <w:t>20000</w:t>
      </w:r>
      <w:r>
        <w:rPr>
          <w:rFonts w:hint="eastAsia"/>
          <w:color w:val="000000"/>
          <w:spacing w:val="-6"/>
          <w:szCs w:val="32"/>
        </w:rPr>
        <w:t>人，持证社工达</w:t>
      </w:r>
      <w:r>
        <w:rPr>
          <w:color w:val="000000"/>
          <w:spacing w:val="-6"/>
          <w:szCs w:val="32"/>
        </w:rPr>
        <w:t>8000</w:t>
      </w:r>
      <w:r>
        <w:rPr>
          <w:rFonts w:hint="eastAsia"/>
          <w:color w:val="000000"/>
          <w:spacing w:val="-6"/>
          <w:szCs w:val="32"/>
        </w:rPr>
        <w:t>人。社区、社会组织、社会工作</w:t>
      </w:r>
      <w:r>
        <w:rPr>
          <w:color w:val="000000"/>
          <w:spacing w:val="-6"/>
          <w:szCs w:val="32"/>
        </w:rPr>
        <w:t>“</w:t>
      </w:r>
      <w:r>
        <w:rPr>
          <w:rFonts w:hint="eastAsia"/>
          <w:color w:val="000000"/>
          <w:spacing w:val="-6"/>
          <w:szCs w:val="32"/>
        </w:rPr>
        <w:t>三社联动</w:t>
      </w:r>
      <w:r>
        <w:rPr>
          <w:color w:val="000000"/>
          <w:spacing w:val="-6"/>
          <w:szCs w:val="32"/>
        </w:rPr>
        <w:t>”</w:t>
      </w:r>
      <w:r>
        <w:rPr>
          <w:rFonts w:hint="eastAsia"/>
          <w:color w:val="000000"/>
          <w:spacing w:val="-6"/>
          <w:szCs w:val="32"/>
        </w:rPr>
        <w:t>协同推进，实现城乡社区综合服务设施覆盖率</w:t>
      </w:r>
      <w:r>
        <w:rPr>
          <w:color w:val="000000"/>
          <w:spacing w:val="-6"/>
          <w:szCs w:val="32"/>
        </w:rPr>
        <w:t>100%</w:t>
      </w:r>
      <w:r>
        <w:rPr>
          <w:rFonts w:hint="eastAsia"/>
          <w:color w:val="000000"/>
          <w:spacing w:val="-6"/>
          <w:szCs w:val="32"/>
        </w:rPr>
        <w:t>。慈善事业发展更加规范有序和富有活力，行政区划设置更加科学，行政区域界线管理更加规范。</w:t>
      </w:r>
    </w:p>
    <w:p w14:paraId="42C272BC">
      <w:pPr>
        <w:adjustRightInd w:val="0"/>
        <w:snapToGrid w:val="0"/>
        <w:ind w:firstLine="31680"/>
        <w:rPr>
          <w:color w:val="000000"/>
          <w:spacing w:val="-6"/>
          <w:szCs w:val="32"/>
        </w:rPr>
      </w:pPr>
      <w:r>
        <w:rPr>
          <w:rFonts w:eastAsia="方正楷体_GBK"/>
          <w:b/>
          <w:bCs/>
          <w:color w:val="000000"/>
        </w:rPr>
        <w:t>——</w:t>
      </w:r>
      <w:r>
        <w:rPr>
          <w:rFonts w:hint="eastAsia"/>
          <w:b/>
          <w:bCs/>
          <w:color w:val="000000"/>
          <w:szCs w:val="32"/>
        </w:rPr>
        <w:t>基本社会服务更加优质。</w:t>
      </w:r>
      <w:r>
        <w:rPr>
          <w:rFonts w:hint="eastAsia"/>
          <w:color w:val="000000"/>
          <w:spacing w:val="-6"/>
          <w:szCs w:val="32"/>
        </w:rPr>
        <w:t>养老服务全面提质增效，居家社区机构相协调、医养康养相结合的养老服务体系更加完善，力争所有乡镇（街道）至少建有</w:t>
      </w:r>
      <w:r>
        <w:rPr>
          <w:color w:val="000000"/>
          <w:spacing w:val="-6"/>
          <w:szCs w:val="32"/>
        </w:rPr>
        <w:t>1</w:t>
      </w:r>
      <w:r>
        <w:rPr>
          <w:rFonts w:hint="eastAsia"/>
          <w:color w:val="000000"/>
          <w:spacing w:val="-6"/>
          <w:szCs w:val="32"/>
        </w:rPr>
        <w:t>所具备全托、日托、上门服务等综合功能的养老服务机构。儿童福利服务体系进一步健全，未成年人保护工作机制更加系统完备。婚姻收养登记服务优质便捷，基本殡葬服务更加惠民利民，地名管理更加科学有效。</w:t>
      </w:r>
    </w:p>
    <w:p w14:paraId="6EBD7393">
      <w:pPr>
        <w:adjustRightInd w:val="0"/>
        <w:snapToGrid w:val="0"/>
        <w:ind w:firstLine="31680"/>
        <w:rPr>
          <w:color w:val="000000"/>
          <w:spacing w:val="-6"/>
          <w:szCs w:val="32"/>
        </w:rPr>
      </w:pPr>
      <w:r>
        <w:rPr>
          <w:rFonts w:hint="eastAsia"/>
          <w:color w:val="000000"/>
          <w:szCs w:val="32"/>
        </w:rPr>
        <w:t>展望</w:t>
      </w:r>
      <w:r>
        <w:rPr>
          <w:color w:val="000000"/>
          <w:szCs w:val="32"/>
        </w:rPr>
        <w:t>2035</w:t>
      </w:r>
      <w:r>
        <w:rPr>
          <w:rFonts w:hint="eastAsia"/>
          <w:color w:val="000000"/>
          <w:szCs w:val="32"/>
        </w:rPr>
        <w:t>年，基本民生保障、基层社会治理、基本社会服务体系更加完善，人民基本生活和平等参与权利得到充分保障，现代基层治理格局基本形成，城乡社区充满活力又和谐有序，基本社会服务均等化基本实现。</w:t>
      </w:r>
    </w:p>
    <w:tbl>
      <w:tblPr>
        <w:tblStyle w:val="13"/>
        <w:tblW w:w="9977" w:type="dxa"/>
        <w:jc w:val="center"/>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38"/>
        <w:gridCol w:w="2190"/>
        <w:gridCol w:w="780"/>
        <w:gridCol w:w="950"/>
        <w:gridCol w:w="885"/>
        <w:gridCol w:w="951"/>
        <w:gridCol w:w="880"/>
        <w:gridCol w:w="879"/>
        <w:gridCol w:w="797"/>
        <w:gridCol w:w="1127"/>
      </w:tblGrid>
      <w:tr w14:paraId="24B3CAD3">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94" w:hRule="atLeast"/>
          <w:jc w:val="center"/>
        </w:trPr>
        <w:tc>
          <w:tcPr>
            <w:tcW w:w="9977" w:type="dxa"/>
            <w:gridSpan w:val="10"/>
            <w:tcMar>
              <w:left w:w="108" w:type="dxa"/>
              <w:right w:w="108" w:type="dxa"/>
            </w:tcMar>
            <w:vAlign w:val="center"/>
          </w:tcPr>
          <w:p w14:paraId="3BA80B75">
            <w:pPr>
              <w:spacing w:line="340" w:lineRule="exact"/>
              <w:ind w:firstLine="0" w:firstLineChars="0"/>
              <w:jc w:val="center"/>
              <w:rPr>
                <w:rFonts w:eastAsia="方正仿宋简体"/>
                <w:b/>
                <w:bCs/>
                <w:color w:val="000000"/>
                <w:sz w:val="28"/>
                <w:szCs w:val="28"/>
              </w:rPr>
            </w:pPr>
            <w:r>
              <w:rPr>
                <w:rFonts w:hint="eastAsia" w:eastAsia="方正仿宋简体"/>
                <w:b/>
                <w:color w:val="000000"/>
                <w:sz w:val="28"/>
                <w:szCs w:val="28"/>
              </w:rPr>
              <w:t>专栏</w:t>
            </w:r>
            <w:r>
              <w:rPr>
                <w:rFonts w:eastAsia="方正仿宋简体"/>
                <w:b/>
                <w:color w:val="000000"/>
                <w:sz w:val="28"/>
                <w:szCs w:val="28"/>
              </w:rPr>
              <w:t>2</w:t>
            </w:r>
            <w:r>
              <w:rPr>
                <w:rFonts w:hint="eastAsia" w:eastAsia="方正仿宋简体"/>
                <w:b/>
                <w:color w:val="000000"/>
                <w:sz w:val="28"/>
                <w:szCs w:val="28"/>
              </w:rPr>
              <w:t>：</w:t>
            </w:r>
            <w:r>
              <w:rPr>
                <w:rFonts w:eastAsia="方正仿宋简体"/>
                <w:b/>
                <w:color w:val="000000"/>
                <w:sz w:val="28"/>
                <w:szCs w:val="28"/>
              </w:rPr>
              <w:t>“</w:t>
            </w:r>
            <w:r>
              <w:rPr>
                <w:rFonts w:hint="eastAsia" w:eastAsia="方正仿宋简体"/>
                <w:b/>
                <w:color w:val="000000"/>
                <w:sz w:val="28"/>
                <w:szCs w:val="28"/>
              </w:rPr>
              <w:t>十四五</w:t>
            </w:r>
            <w:r>
              <w:rPr>
                <w:rFonts w:eastAsia="方正仿宋简体"/>
                <w:b/>
                <w:color w:val="000000"/>
                <w:sz w:val="28"/>
                <w:szCs w:val="28"/>
              </w:rPr>
              <w:t>”</w:t>
            </w:r>
            <w:r>
              <w:rPr>
                <w:rFonts w:hint="eastAsia" w:eastAsia="方正仿宋简体"/>
                <w:b/>
                <w:color w:val="000000"/>
                <w:sz w:val="28"/>
                <w:szCs w:val="28"/>
              </w:rPr>
              <w:t>期间民政事业发展主要指标</w:t>
            </w:r>
          </w:p>
        </w:tc>
      </w:tr>
      <w:tr w14:paraId="4A73F273">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8" w:hRule="atLeast"/>
          <w:jc w:val="center"/>
        </w:trPr>
        <w:tc>
          <w:tcPr>
            <w:tcW w:w="538" w:type="dxa"/>
            <w:vMerge w:val="restart"/>
            <w:tcMar>
              <w:left w:w="108" w:type="dxa"/>
              <w:right w:w="108" w:type="dxa"/>
            </w:tcMar>
            <w:vAlign w:val="center"/>
          </w:tcPr>
          <w:p w14:paraId="47B155D9">
            <w:pPr>
              <w:spacing w:line="340" w:lineRule="exact"/>
              <w:ind w:firstLine="0" w:firstLineChars="0"/>
              <w:jc w:val="center"/>
              <w:rPr>
                <w:rFonts w:eastAsia="方正仿宋简体"/>
                <w:b/>
                <w:bCs/>
                <w:color w:val="000000"/>
                <w:sz w:val="21"/>
                <w:szCs w:val="21"/>
              </w:rPr>
            </w:pPr>
            <w:r>
              <w:rPr>
                <w:rFonts w:hint="eastAsia" w:eastAsia="方正仿宋简体"/>
                <w:b/>
                <w:bCs/>
                <w:color w:val="000000"/>
                <w:sz w:val="21"/>
                <w:szCs w:val="21"/>
              </w:rPr>
              <w:t>序号</w:t>
            </w:r>
          </w:p>
        </w:tc>
        <w:tc>
          <w:tcPr>
            <w:tcW w:w="2190" w:type="dxa"/>
            <w:vMerge w:val="restart"/>
            <w:tcMar>
              <w:left w:w="108" w:type="dxa"/>
              <w:right w:w="108" w:type="dxa"/>
            </w:tcMar>
            <w:vAlign w:val="center"/>
          </w:tcPr>
          <w:p w14:paraId="237B184F">
            <w:pPr>
              <w:spacing w:line="340" w:lineRule="exact"/>
              <w:ind w:firstLine="0" w:firstLineChars="0"/>
              <w:jc w:val="center"/>
              <w:rPr>
                <w:rFonts w:eastAsia="方正仿宋简体"/>
                <w:b/>
                <w:bCs/>
                <w:color w:val="000000"/>
                <w:sz w:val="21"/>
                <w:szCs w:val="21"/>
              </w:rPr>
            </w:pPr>
            <w:r>
              <w:rPr>
                <w:rFonts w:hint="eastAsia" w:eastAsia="方正仿宋简体"/>
                <w:b/>
                <w:bCs/>
                <w:color w:val="000000"/>
                <w:sz w:val="21"/>
                <w:szCs w:val="21"/>
              </w:rPr>
              <w:t>主要指标</w:t>
            </w:r>
          </w:p>
        </w:tc>
        <w:tc>
          <w:tcPr>
            <w:tcW w:w="780" w:type="dxa"/>
            <w:vMerge w:val="restart"/>
            <w:tcMar>
              <w:left w:w="108" w:type="dxa"/>
              <w:right w:w="108" w:type="dxa"/>
            </w:tcMar>
            <w:vAlign w:val="center"/>
          </w:tcPr>
          <w:p w14:paraId="4317AA05">
            <w:pPr>
              <w:spacing w:line="340" w:lineRule="exact"/>
              <w:ind w:firstLine="0" w:firstLineChars="0"/>
              <w:jc w:val="center"/>
              <w:rPr>
                <w:rFonts w:eastAsia="方正仿宋简体"/>
                <w:b/>
                <w:bCs/>
                <w:color w:val="000000"/>
                <w:sz w:val="21"/>
                <w:szCs w:val="21"/>
              </w:rPr>
            </w:pPr>
            <w:r>
              <w:rPr>
                <w:rFonts w:hint="eastAsia" w:eastAsia="方正仿宋简体"/>
                <w:b/>
                <w:bCs/>
                <w:color w:val="000000"/>
                <w:sz w:val="21"/>
                <w:szCs w:val="21"/>
              </w:rPr>
              <w:t>单位</w:t>
            </w:r>
          </w:p>
        </w:tc>
        <w:tc>
          <w:tcPr>
            <w:tcW w:w="950" w:type="dxa"/>
            <w:vMerge w:val="restart"/>
            <w:tcMar>
              <w:left w:w="108" w:type="dxa"/>
              <w:right w:w="108" w:type="dxa"/>
            </w:tcMar>
            <w:vAlign w:val="center"/>
          </w:tcPr>
          <w:p w14:paraId="32292BF5">
            <w:pPr>
              <w:spacing w:line="340" w:lineRule="exact"/>
              <w:ind w:firstLine="0" w:firstLineChars="0"/>
              <w:jc w:val="center"/>
              <w:rPr>
                <w:rFonts w:eastAsia="方正仿宋简体"/>
                <w:b/>
                <w:bCs/>
                <w:color w:val="000000"/>
                <w:sz w:val="21"/>
                <w:szCs w:val="21"/>
              </w:rPr>
            </w:pPr>
            <w:r>
              <w:rPr>
                <w:rFonts w:eastAsia="方正仿宋简体"/>
                <w:b/>
                <w:bCs/>
                <w:color w:val="000000"/>
                <w:kern w:val="0"/>
                <w:sz w:val="21"/>
                <w:szCs w:val="21"/>
              </w:rPr>
              <w:t>2020</w:t>
            </w:r>
            <w:r>
              <w:rPr>
                <w:rFonts w:hint="eastAsia" w:eastAsia="方正仿宋简体"/>
                <w:b/>
                <w:bCs/>
                <w:color w:val="000000"/>
                <w:kern w:val="0"/>
                <w:sz w:val="21"/>
                <w:szCs w:val="21"/>
              </w:rPr>
              <w:t>年</w:t>
            </w:r>
          </w:p>
        </w:tc>
        <w:tc>
          <w:tcPr>
            <w:tcW w:w="4392" w:type="dxa"/>
            <w:gridSpan w:val="5"/>
            <w:tcMar>
              <w:left w:w="108" w:type="dxa"/>
              <w:right w:w="108" w:type="dxa"/>
            </w:tcMar>
            <w:vAlign w:val="center"/>
          </w:tcPr>
          <w:p w14:paraId="662FECB4">
            <w:pPr>
              <w:spacing w:line="340" w:lineRule="exact"/>
              <w:ind w:left="-96" w:right="-96" w:firstLine="0" w:firstLineChars="0"/>
              <w:jc w:val="center"/>
              <w:rPr>
                <w:rFonts w:eastAsia="方正仿宋简体"/>
                <w:b/>
                <w:bCs/>
                <w:color w:val="000000"/>
                <w:kern w:val="0"/>
                <w:sz w:val="21"/>
                <w:szCs w:val="21"/>
              </w:rPr>
            </w:pPr>
            <w:r>
              <w:rPr>
                <w:rFonts w:hint="eastAsia" w:eastAsia="方正仿宋简体"/>
                <w:b/>
                <w:bCs/>
                <w:color w:val="000000"/>
                <w:kern w:val="0"/>
                <w:sz w:val="21"/>
                <w:szCs w:val="21"/>
              </w:rPr>
              <w:t>年度目标值</w:t>
            </w:r>
          </w:p>
        </w:tc>
        <w:tc>
          <w:tcPr>
            <w:tcW w:w="1127" w:type="dxa"/>
            <w:vMerge w:val="restart"/>
            <w:tcMar>
              <w:left w:w="108" w:type="dxa"/>
              <w:right w:w="108" w:type="dxa"/>
            </w:tcMar>
            <w:vAlign w:val="center"/>
          </w:tcPr>
          <w:p w14:paraId="6FD7DAFF">
            <w:pPr>
              <w:spacing w:line="340" w:lineRule="exact"/>
              <w:ind w:firstLine="0" w:firstLineChars="0"/>
              <w:jc w:val="center"/>
              <w:rPr>
                <w:rFonts w:eastAsia="方正仿宋简体"/>
                <w:b/>
                <w:bCs/>
                <w:color w:val="000000"/>
                <w:sz w:val="21"/>
                <w:szCs w:val="21"/>
              </w:rPr>
            </w:pPr>
            <w:r>
              <w:rPr>
                <w:rFonts w:hint="eastAsia" w:eastAsia="方正仿宋简体"/>
                <w:b/>
                <w:bCs/>
                <w:color w:val="000000"/>
                <w:sz w:val="21"/>
                <w:szCs w:val="21"/>
              </w:rPr>
              <w:t>指标属性</w:t>
            </w:r>
          </w:p>
        </w:tc>
      </w:tr>
      <w:tr w14:paraId="405D952C">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40" w:hRule="atLeast"/>
          <w:jc w:val="center"/>
        </w:trPr>
        <w:tc>
          <w:tcPr>
            <w:tcW w:w="538" w:type="dxa"/>
            <w:vMerge w:val="continue"/>
            <w:tcMar>
              <w:left w:w="108" w:type="dxa"/>
              <w:right w:w="108" w:type="dxa"/>
            </w:tcMar>
            <w:vAlign w:val="center"/>
          </w:tcPr>
          <w:p w14:paraId="1FFF7EA5">
            <w:pPr>
              <w:spacing w:line="340" w:lineRule="exact"/>
              <w:ind w:firstLine="0" w:firstLineChars="0"/>
              <w:jc w:val="center"/>
              <w:rPr>
                <w:rFonts w:eastAsia="方正仿宋简体"/>
                <w:b/>
                <w:bCs/>
                <w:color w:val="000000"/>
                <w:sz w:val="21"/>
                <w:szCs w:val="21"/>
              </w:rPr>
            </w:pPr>
          </w:p>
        </w:tc>
        <w:tc>
          <w:tcPr>
            <w:tcW w:w="2190" w:type="dxa"/>
            <w:vMerge w:val="continue"/>
            <w:tcMar>
              <w:left w:w="108" w:type="dxa"/>
              <w:right w:w="108" w:type="dxa"/>
            </w:tcMar>
            <w:vAlign w:val="center"/>
          </w:tcPr>
          <w:p w14:paraId="383CA5DB">
            <w:pPr>
              <w:spacing w:line="340" w:lineRule="exact"/>
              <w:ind w:firstLine="0" w:firstLineChars="0"/>
              <w:jc w:val="center"/>
              <w:rPr>
                <w:rFonts w:eastAsia="方正仿宋简体"/>
                <w:b/>
                <w:bCs/>
                <w:color w:val="000000"/>
                <w:sz w:val="21"/>
                <w:szCs w:val="21"/>
              </w:rPr>
            </w:pPr>
          </w:p>
        </w:tc>
        <w:tc>
          <w:tcPr>
            <w:tcW w:w="780" w:type="dxa"/>
            <w:vMerge w:val="continue"/>
            <w:tcMar>
              <w:left w:w="108" w:type="dxa"/>
              <w:right w:w="108" w:type="dxa"/>
            </w:tcMar>
            <w:vAlign w:val="center"/>
          </w:tcPr>
          <w:p w14:paraId="752E055C">
            <w:pPr>
              <w:spacing w:line="340" w:lineRule="exact"/>
              <w:ind w:firstLine="0" w:firstLineChars="0"/>
              <w:jc w:val="center"/>
              <w:rPr>
                <w:rFonts w:eastAsia="方正仿宋简体"/>
                <w:b/>
                <w:bCs/>
                <w:color w:val="000000"/>
                <w:sz w:val="21"/>
                <w:szCs w:val="21"/>
              </w:rPr>
            </w:pPr>
          </w:p>
        </w:tc>
        <w:tc>
          <w:tcPr>
            <w:tcW w:w="950" w:type="dxa"/>
            <w:vMerge w:val="continue"/>
            <w:tcMar>
              <w:left w:w="108" w:type="dxa"/>
              <w:right w:w="108" w:type="dxa"/>
            </w:tcMar>
            <w:vAlign w:val="center"/>
          </w:tcPr>
          <w:p w14:paraId="3ACC9B96">
            <w:pPr>
              <w:spacing w:line="340" w:lineRule="exact"/>
              <w:ind w:firstLine="0" w:firstLineChars="0"/>
              <w:jc w:val="center"/>
              <w:rPr>
                <w:rFonts w:eastAsia="方正仿宋简体"/>
                <w:b/>
                <w:bCs/>
                <w:color w:val="000000"/>
                <w:sz w:val="21"/>
                <w:szCs w:val="21"/>
              </w:rPr>
            </w:pPr>
          </w:p>
        </w:tc>
        <w:tc>
          <w:tcPr>
            <w:tcW w:w="885" w:type="dxa"/>
            <w:tcMar>
              <w:left w:w="108" w:type="dxa"/>
              <w:right w:w="108" w:type="dxa"/>
            </w:tcMar>
            <w:vAlign w:val="center"/>
          </w:tcPr>
          <w:p w14:paraId="0D8A1131">
            <w:pPr>
              <w:spacing w:line="340" w:lineRule="exact"/>
              <w:ind w:left="-96" w:right="-96" w:firstLine="0" w:firstLineChars="0"/>
              <w:jc w:val="center"/>
              <w:rPr>
                <w:rFonts w:eastAsia="方正仿宋简体"/>
                <w:b/>
                <w:bCs/>
                <w:color w:val="000000"/>
                <w:sz w:val="21"/>
                <w:szCs w:val="21"/>
              </w:rPr>
            </w:pPr>
            <w:r>
              <w:rPr>
                <w:rFonts w:eastAsia="方正仿宋简体"/>
                <w:b/>
                <w:bCs/>
                <w:color w:val="000000"/>
                <w:sz w:val="21"/>
                <w:szCs w:val="21"/>
              </w:rPr>
              <w:t>2021</w:t>
            </w:r>
            <w:r>
              <w:rPr>
                <w:rFonts w:hint="eastAsia" w:eastAsia="方正仿宋简体"/>
                <w:b/>
                <w:bCs/>
                <w:color w:val="000000"/>
                <w:sz w:val="21"/>
                <w:szCs w:val="21"/>
              </w:rPr>
              <w:t>年</w:t>
            </w:r>
          </w:p>
        </w:tc>
        <w:tc>
          <w:tcPr>
            <w:tcW w:w="951" w:type="dxa"/>
            <w:tcMar>
              <w:left w:w="108" w:type="dxa"/>
              <w:right w:w="108" w:type="dxa"/>
            </w:tcMar>
            <w:vAlign w:val="center"/>
          </w:tcPr>
          <w:p w14:paraId="1FBD7738">
            <w:pPr>
              <w:spacing w:line="340" w:lineRule="exact"/>
              <w:ind w:firstLine="0" w:firstLineChars="0"/>
              <w:jc w:val="center"/>
              <w:rPr>
                <w:rFonts w:eastAsia="方正仿宋简体"/>
                <w:b/>
                <w:bCs/>
                <w:color w:val="000000"/>
                <w:sz w:val="21"/>
                <w:szCs w:val="21"/>
              </w:rPr>
            </w:pPr>
            <w:r>
              <w:rPr>
                <w:rFonts w:eastAsia="方正仿宋简体"/>
                <w:b/>
                <w:bCs/>
                <w:color w:val="000000"/>
                <w:sz w:val="21"/>
                <w:szCs w:val="21"/>
              </w:rPr>
              <w:t>2022</w:t>
            </w:r>
            <w:r>
              <w:rPr>
                <w:rFonts w:hint="eastAsia" w:eastAsia="方正仿宋简体"/>
                <w:b/>
                <w:bCs/>
                <w:color w:val="000000"/>
                <w:sz w:val="21"/>
                <w:szCs w:val="21"/>
              </w:rPr>
              <w:t>年</w:t>
            </w:r>
          </w:p>
        </w:tc>
        <w:tc>
          <w:tcPr>
            <w:tcW w:w="880" w:type="dxa"/>
            <w:tcMar>
              <w:left w:w="108" w:type="dxa"/>
              <w:right w:w="108" w:type="dxa"/>
            </w:tcMar>
            <w:vAlign w:val="center"/>
          </w:tcPr>
          <w:p w14:paraId="79314CD3">
            <w:pPr>
              <w:spacing w:line="340" w:lineRule="exact"/>
              <w:ind w:firstLine="0" w:firstLineChars="0"/>
              <w:jc w:val="center"/>
              <w:rPr>
                <w:rFonts w:eastAsia="方正仿宋简体"/>
                <w:b/>
                <w:bCs/>
                <w:color w:val="000000"/>
                <w:sz w:val="21"/>
                <w:szCs w:val="21"/>
              </w:rPr>
            </w:pPr>
            <w:r>
              <w:rPr>
                <w:rFonts w:eastAsia="方正仿宋简体"/>
                <w:b/>
                <w:bCs/>
                <w:color w:val="000000"/>
                <w:sz w:val="21"/>
                <w:szCs w:val="21"/>
              </w:rPr>
              <w:t>2023</w:t>
            </w:r>
            <w:r>
              <w:rPr>
                <w:rFonts w:hint="eastAsia" w:eastAsia="方正仿宋简体"/>
                <w:b/>
                <w:bCs/>
                <w:color w:val="000000"/>
                <w:sz w:val="21"/>
                <w:szCs w:val="21"/>
              </w:rPr>
              <w:t>年</w:t>
            </w:r>
          </w:p>
        </w:tc>
        <w:tc>
          <w:tcPr>
            <w:tcW w:w="879" w:type="dxa"/>
            <w:tcMar>
              <w:left w:w="108" w:type="dxa"/>
              <w:right w:w="108" w:type="dxa"/>
            </w:tcMar>
            <w:vAlign w:val="center"/>
          </w:tcPr>
          <w:p w14:paraId="069DF13B">
            <w:pPr>
              <w:spacing w:line="340" w:lineRule="exact"/>
              <w:ind w:firstLine="0" w:firstLineChars="0"/>
              <w:jc w:val="center"/>
              <w:rPr>
                <w:rFonts w:eastAsia="方正仿宋简体"/>
                <w:b/>
                <w:bCs/>
                <w:color w:val="000000"/>
                <w:sz w:val="21"/>
                <w:szCs w:val="21"/>
              </w:rPr>
            </w:pPr>
            <w:r>
              <w:rPr>
                <w:rFonts w:eastAsia="方正仿宋简体"/>
                <w:b/>
                <w:bCs/>
                <w:color w:val="000000"/>
                <w:sz w:val="21"/>
                <w:szCs w:val="21"/>
              </w:rPr>
              <w:t>2024</w:t>
            </w:r>
            <w:r>
              <w:rPr>
                <w:rFonts w:hint="eastAsia" w:eastAsia="方正仿宋简体"/>
                <w:b/>
                <w:bCs/>
                <w:color w:val="000000"/>
                <w:sz w:val="21"/>
                <w:szCs w:val="21"/>
              </w:rPr>
              <w:t>年</w:t>
            </w:r>
          </w:p>
        </w:tc>
        <w:tc>
          <w:tcPr>
            <w:tcW w:w="797" w:type="dxa"/>
            <w:tcMar>
              <w:left w:w="108" w:type="dxa"/>
              <w:right w:w="108" w:type="dxa"/>
            </w:tcMar>
            <w:vAlign w:val="center"/>
          </w:tcPr>
          <w:p w14:paraId="403D618B">
            <w:pPr>
              <w:spacing w:line="340" w:lineRule="exact"/>
              <w:ind w:left="-96" w:right="-96" w:firstLine="0" w:firstLineChars="0"/>
              <w:jc w:val="center"/>
              <w:rPr>
                <w:rFonts w:eastAsia="方正仿宋简体"/>
                <w:b/>
                <w:bCs/>
                <w:color w:val="000000"/>
                <w:sz w:val="21"/>
                <w:szCs w:val="21"/>
              </w:rPr>
            </w:pPr>
            <w:r>
              <w:rPr>
                <w:rFonts w:eastAsia="方正仿宋简体"/>
                <w:b/>
                <w:bCs/>
                <w:color w:val="000000"/>
                <w:kern w:val="0"/>
                <w:sz w:val="21"/>
                <w:szCs w:val="21"/>
              </w:rPr>
              <w:t>2025</w:t>
            </w:r>
            <w:r>
              <w:rPr>
                <w:rFonts w:hint="eastAsia" w:eastAsia="方正仿宋简体"/>
                <w:b/>
                <w:bCs/>
                <w:color w:val="000000"/>
                <w:kern w:val="0"/>
                <w:sz w:val="21"/>
                <w:szCs w:val="21"/>
              </w:rPr>
              <w:t>年</w:t>
            </w:r>
          </w:p>
        </w:tc>
        <w:tc>
          <w:tcPr>
            <w:tcW w:w="1127" w:type="dxa"/>
            <w:vMerge w:val="continue"/>
            <w:tcMar>
              <w:left w:w="108" w:type="dxa"/>
              <w:right w:w="108" w:type="dxa"/>
            </w:tcMar>
            <w:vAlign w:val="center"/>
          </w:tcPr>
          <w:p w14:paraId="216C563F">
            <w:pPr>
              <w:spacing w:line="340" w:lineRule="exact"/>
              <w:ind w:firstLine="0" w:firstLineChars="0"/>
              <w:jc w:val="center"/>
              <w:rPr>
                <w:rFonts w:eastAsia="方正仿宋简体"/>
                <w:b/>
                <w:bCs/>
                <w:color w:val="000000"/>
                <w:sz w:val="21"/>
                <w:szCs w:val="21"/>
              </w:rPr>
            </w:pPr>
          </w:p>
        </w:tc>
      </w:tr>
      <w:tr w14:paraId="0A3D92D7">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5" w:hRule="atLeast"/>
          <w:jc w:val="center"/>
        </w:trPr>
        <w:tc>
          <w:tcPr>
            <w:tcW w:w="538" w:type="dxa"/>
            <w:tcMar>
              <w:left w:w="108" w:type="dxa"/>
              <w:right w:w="108" w:type="dxa"/>
            </w:tcMar>
            <w:vAlign w:val="center"/>
          </w:tcPr>
          <w:p w14:paraId="5552A3E8">
            <w:pPr>
              <w:spacing w:line="340" w:lineRule="exact"/>
              <w:ind w:firstLine="0" w:firstLineChars="0"/>
              <w:jc w:val="center"/>
              <w:rPr>
                <w:rFonts w:eastAsia="方正仿宋简体"/>
                <w:color w:val="000000"/>
                <w:sz w:val="21"/>
                <w:szCs w:val="21"/>
              </w:rPr>
            </w:pPr>
            <w:r>
              <w:rPr>
                <w:rFonts w:eastAsia="方正仿宋简体"/>
                <w:color w:val="000000"/>
                <w:sz w:val="21"/>
                <w:szCs w:val="21"/>
              </w:rPr>
              <w:t>1</w:t>
            </w:r>
          </w:p>
        </w:tc>
        <w:tc>
          <w:tcPr>
            <w:tcW w:w="2190" w:type="dxa"/>
            <w:tcMar>
              <w:left w:w="108" w:type="dxa"/>
              <w:right w:w="108" w:type="dxa"/>
            </w:tcMar>
            <w:vAlign w:val="center"/>
          </w:tcPr>
          <w:p w14:paraId="1C8486BF">
            <w:pPr>
              <w:spacing w:line="240" w:lineRule="exact"/>
              <w:ind w:firstLine="0" w:firstLineChars="0"/>
              <w:jc w:val="left"/>
              <w:rPr>
                <w:rFonts w:eastAsia="方正仿宋简体"/>
                <w:color w:val="000000"/>
                <w:sz w:val="21"/>
                <w:szCs w:val="21"/>
              </w:rPr>
            </w:pPr>
            <w:r>
              <w:rPr>
                <w:rFonts w:hint="eastAsia" w:eastAsia="方正仿宋简体"/>
                <w:color w:val="000000"/>
                <w:spacing w:val="-10"/>
                <w:sz w:val="21"/>
                <w:szCs w:val="21"/>
              </w:rPr>
              <w:t>最低生活保障标准占当地最低工资标准的比例</w:t>
            </w:r>
          </w:p>
        </w:tc>
        <w:tc>
          <w:tcPr>
            <w:tcW w:w="780" w:type="dxa"/>
            <w:tcMar>
              <w:left w:w="108" w:type="dxa"/>
              <w:right w:w="108" w:type="dxa"/>
            </w:tcMar>
            <w:vAlign w:val="center"/>
          </w:tcPr>
          <w:p w14:paraId="5C1640EB">
            <w:pPr>
              <w:spacing w:line="240" w:lineRule="exact"/>
              <w:ind w:firstLine="0" w:firstLineChars="0"/>
              <w:jc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2C7CF606">
            <w:pPr>
              <w:spacing w:line="240" w:lineRule="exact"/>
              <w:ind w:firstLine="0" w:firstLineChars="0"/>
              <w:jc w:val="center"/>
              <w:rPr>
                <w:rFonts w:eastAsia="方正仿宋简体"/>
                <w:color w:val="000000"/>
                <w:sz w:val="21"/>
                <w:szCs w:val="21"/>
              </w:rPr>
            </w:pPr>
            <w:r>
              <w:rPr>
                <w:rFonts w:eastAsia="方正仿宋简体"/>
                <w:color w:val="000000"/>
                <w:sz w:val="21"/>
                <w:szCs w:val="21"/>
              </w:rPr>
              <w:t>44.5</w:t>
            </w:r>
          </w:p>
        </w:tc>
        <w:tc>
          <w:tcPr>
            <w:tcW w:w="885" w:type="dxa"/>
            <w:tcMar>
              <w:left w:w="108" w:type="dxa"/>
              <w:right w:w="108" w:type="dxa"/>
            </w:tcMar>
            <w:vAlign w:val="center"/>
          </w:tcPr>
          <w:p w14:paraId="5EAA8764">
            <w:pPr>
              <w:spacing w:line="340" w:lineRule="exact"/>
              <w:ind w:firstLine="0" w:firstLineChars="0"/>
              <w:jc w:val="center"/>
              <w:rPr>
                <w:rFonts w:eastAsia="方正仿宋简体"/>
                <w:color w:val="000000"/>
                <w:sz w:val="21"/>
                <w:szCs w:val="21"/>
              </w:rPr>
            </w:pPr>
            <w:r>
              <w:rPr>
                <w:rFonts w:eastAsia="方正仿宋简体"/>
                <w:color w:val="000000"/>
                <w:sz w:val="21"/>
                <w:szCs w:val="21"/>
              </w:rPr>
              <w:t>44.5</w:t>
            </w:r>
          </w:p>
        </w:tc>
        <w:tc>
          <w:tcPr>
            <w:tcW w:w="951" w:type="dxa"/>
            <w:tcMar>
              <w:left w:w="108" w:type="dxa"/>
              <w:right w:w="108" w:type="dxa"/>
            </w:tcMar>
            <w:vAlign w:val="center"/>
          </w:tcPr>
          <w:p w14:paraId="32E095FF">
            <w:pPr>
              <w:spacing w:line="340" w:lineRule="exact"/>
              <w:ind w:firstLine="0" w:firstLineChars="0"/>
              <w:jc w:val="center"/>
              <w:rPr>
                <w:rFonts w:eastAsia="方正仿宋简体"/>
                <w:color w:val="000000"/>
                <w:sz w:val="21"/>
                <w:szCs w:val="21"/>
              </w:rPr>
            </w:pPr>
            <w:r>
              <w:rPr>
                <w:rFonts w:eastAsia="方正仿宋简体"/>
                <w:color w:val="000000"/>
                <w:sz w:val="21"/>
                <w:szCs w:val="21"/>
              </w:rPr>
              <w:t>45</w:t>
            </w:r>
          </w:p>
        </w:tc>
        <w:tc>
          <w:tcPr>
            <w:tcW w:w="880" w:type="dxa"/>
            <w:tcMar>
              <w:left w:w="108" w:type="dxa"/>
              <w:right w:w="108" w:type="dxa"/>
            </w:tcMar>
            <w:vAlign w:val="center"/>
          </w:tcPr>
          <w:p w14:paraId="21102A48">
            <w:pPr>
              <w:spacing w:line="340" w:lineRule="exact"/>
              <w:ind w:firstLine="0" w:firstLineChars="0"/>
              <w:jc w:val="center"/>
              <w:rPr>
                <w:rFonts w:eastAsia="方正仿宋简体"/>
                <w:color w:val="000000"/>
                <w:sz w:val="21"/>
                <w:szCs w:val="21"/>
              </w:rPr>
            </w:pPr>
            <w:r>
              <w:rPr>
                <w:rFonts w:eastAsia="方正仿宋简体"/>
                <w:color w:val="000000"/>
                <w:sz w:val="21"/>
                <w:szCs w:val="21"/>
              </w:rPr>
              <w:t>45.6</w:t>
            </w:r>
          </w:p>
        </w:tc>
        <w:tc>
          <w:tcPr>
            <w:tcW w:w="879" w:type="dxa"/>
            <w:tcMar>
              <w:left w:w="108" w:type="dxa"/>
              <w:right w:w="108" w:type="dxa"/>
            </w:tcMar>
            <w:vAlign w:val="center"/>
          </w:tcPr>
          <w:p w14:paraId="73AC87EF">
            <w:pPr>
              <w:spacing w:line="340" w:lineRule="exact"/>
              <w:ind w:firstLine="0" w:firstLineChars="0"/>
              <w:jc w:val="center"/>
              <w:rPr>
                <w:rFonts w:eastAsia="方正仿宋简体"/>
                <w:color w:val="000000"/>
                <w:sz w:val="21"/>
                <w:szCs w:val="21"/>
              </w:rPr>
            </w:pPr>
            <w:r>
              <w:rPr>
                <w:rFonts w:eastAsia="方正仿宋简体"/>
                <w:color w:val="000000"/>
                <w:sz w:val="21"/>
                <w:szCs w:val="21"/>
              </w:rPr>
              <w:t>46.4</w:t>
            </w:r>
          </w:p>
        </w:tc>
        <w:tc>
          <w:tcPr>
            <w:tcW w:w="797" w:type="dxa"/>
            <w:tcMar>
              <w:left w:w="108" w:type="dxa"/>
              <w:right w:w="108" w:type="dxa"/>
            </w:tcMar>
            <w:vAlign w:val="center"/>
          </w:tcPr>
          <w:p w14:paraId="6FE054B2">
            <w:pPr>
              <w:spacing w:line="340" w:lineRule="exact"/>
              <w:ind w:firstLine="0" w:firstLineChars="0"/>
              <w:jc w:val="center"/>
              <w:rPr>
                <w:rFonts w:eastAsia="方正仿宋简体"/>
                <w:color w:val="000000"/>
                <w:sz w:val="21"/>
                <w:szCs w:val="21"/>
              </w:rPr>
            </w:pPr>
            <w:r>
              <w:rPr>
                <w:rFonts w:eastAsia="方正仿宋简体"/>
                <w:color w:val="000000"/>
                <w:sz w:val="21"/>
                <w:szCs w:val="21"/>
              </w:rPr>
              <w:t>47.5</w:t>
            </w:r>
          </w:p>
        </w:tc>
        <w:tc>
          <w:tcPr>
            <w:tcW w:w="1127" w:type="dxa"/>
            <w:tcMar>
              <w:left w:w="108" w:type="dxa"/>
              <w:right w:w="108" w:type="dxa"/>
            </w:tcMar>
            <w:vAlign w:val="center"/>
          </w:tcPr>
          <w:p w14:paraId="2EA41769">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预期性</w:t>
            </w:r>
          </w:p>
        </w:tc>
      </w:tr>
      <w:tr w14:paraId="5094084F">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0D0CFDBF">
            <w:pPr>
              <w:spacing w:line="340" w:lineRule="exact"/>
              <w:ind w:firstLine="0" w:firstLineChars="0"/>
              <w:jc w:val="center"/>
              <w:rPr>
                <w:rFonts w:eastAsia="方正仿宋简体"/>
                <w:color w:val="000000"/>
                <w:sz w:val="21"/>
                <w:szCs w:val="21"/>
              </w:rPr>
            </w:pPr>
            <w:r>
              <w:rPr>
                <w:rFonts w:eastAsia="方正仿宋简体"/>
                <w:color w:val="000000"/>
                <w:sz w:val="21"/>
                <w:szCs w:val="21"/>
              </w:rPr>
              <w:t>2</w:t>
            </w:r>
          </w:p>
        </w:tc>
        <w:tc>
          <w:tcPr>
            <w:tcW w:w="2190" w:type="dxa"/>
            <w:tcMar>
              <w:left w:w="108" w:type="dxa"/>
              <w:right w:w="108" w:type="dxa"/>
            </w:tcMar>
            <w:vAlign w:val="center"/>
          </w:tcPr>
          <w:p w14:paraId="22CAACD1">
            <w:pPr>
              <w:spacing w:line="340" w:lineRule="exact"/>
              <w:ind w:firstLine="0" w:firstLineChars="0"/>
              <w:jc w:val="left"/>
              <w:rPr>
                <w:rFonts w:eastAsia="方正仿宋简体"/>
                <w:color w:val="000000"/>
                <w:sz w:val="21"/>
                <w:szCs w:val="21"/>
              </w:rPr>
            </w:pPr>
            <w:r>
              <w:rPr>
                <w:rFonts w:hint="eastAsia" w:eastAsia="方正仿宋简体"/>
                <w:color w:val="000000"/>
                <w:sz w:val="21"/>
                <w:szCs w:val="21"/>
              </w:rPr>
              <w:t>养老机构护理型床位占比</w:t>
            </w:r>
          </w:p>
        </w:tc>
        <w:tc>
          <w:tcPr>
            <w:tcW w:w="780" w:type="dxa"/>
            <w:tcMar>
              <w:left w:w="108" w:type="dxa"/>
              <w:right w:w="108" w:type="dxa"/>
            </w:tcMar>
            <w:vAlign w:val="center"/>
          </w:tcPr>
          <w:p w14:paraId="76AAA9DE">
            <w:pPr>
              <w:spacing w:line="340" w:lineRule="exact"/>
              <w:ind w:firstLine="0" w:firstLineChars="0"/>
              <w:jc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020E7B37">
            <w:pPr>
              <w:spacing w:line="340" w:lineRule="exact"/>
              <w:ind w:firstLine="0" w:firstLineChars="0"/>
              <w:jc w:val="center"/>
              <w:rPr>
                <w:rFonts w:eastAsia="方正仿宋简体"/>
                <w:color w:val="000000"/>
                <w:kern w:val="0"/>
                <w:sz w:val="21"/>
                <w:szCs w:val="21"/>
              </w:rPr>
            </w:pPr>
            <w:r>
              <w:rPr>
                <w:rFonts w:eastAsia="方正仿宋简体"/>
                <w:color w:val="000000"/>
                <w:sz w:val="21"/>
                <w:szCs w:val="21"/>
              </w:rPr>
              <w:t>54.8</w:t>
            </w:r>
          </w:p>
        </w:tc>
        <w:tc>
          <w:tcPr>
            <w:tcW w:w="885" w:type="dxa"/>
            <w:tcMar>
              <w:left w:w="108" w:type="dxa"/>
              <w:right w:w="108" w:type="dxa"/>
            </w:tcMar>
            <w:vAlign w:val="center"/>
          </w:tcPr>
          <w:p w14:paraId="4824F161">
            <w:pPr>
              <w:spacing w:line="340" w:lineRule="exact"/>
              <w:ind w:firstLine="0" w:firstLineChars="0"/>
              <w:jc w:val="center"/>
              <w:rPr>
                <w:rFonts w:eastAsia="方正仿宋简体"/>
                <w:color w:val="000000"/>
                <w:kern w:val="0"/>
                <w:sz w:val="21"/>
                <w:szCs w:val="21"/>
              </w:rPr>
            </w:pPr>
            <w:r>
              <w:rPr>
                <w:rFonts w:eastAsia="方正仿宋简体"/>
                <w:color w:val="000000"/>
                <w:kern w:val="0"/>
                <w:sz w:val="21"/>
                <w:szCs w:val="21"/>
              </w:rPr>
              <w:t>56</w:t>
            </w:r>
          </w:p>
        </w:tc>
        <w:tc>
          <w:tcPr>
            <w:tcW w:w="951" w:type="dxa"/>
            <w:tcMar>
              <w:left w:w="108" w:type="dxa"/>
              <w:right w:w="108" w:type="dxa"/>
            </w:tcMar>
            <w:vAlign w:val="center"/>
          </w:tcPr>
          <w:p w14:paraId="03445634">
            <w:pPr>
              <w:spacing w:line="340" w:lineRule="exact"/>
              <w:ind w:firstLine="0" w:firstLineChars="0"/>
              <w:jc w:val="center"/>
              <w:rPr>
                <w:rFonts w:eastAsia="方正仿宋简体"/>
                <w:color w:val="000000"/>
                <w:sz w:val="21"/>
                <w:szCs w:val="21"/>
              </w:rPr>
            </w:pPr>
            <w:r>
              <w:rPr>
                <w:rFonts w:eastAsia="方正仿宋简体"/>
                <w:color w:val="000000"/>
                <w:sz w:val="21"/>
                <w:szCs w:val="21"/>
              </w:rPr>
              <w:t>57</w:t>
            </w:r>
          </w:p>
        </w:tc>
        <w:tc>
          <w:tcPr>
            <w:tcW w:w="880" w:type="dxa"/>
            <w:tcMar>
              <w:left w:w="108" w:type="dxa"/>
              <w:right w:w="108" w:type="dxa"/>
            </w:tcMar>
            <w:vAlign w:val="center"/>
          </w:tcPr>
          <w:p w14:paraId="76EDE9D7">
            <w:pPr>
              <w:spacing w:line="340" w:lineRule="exact"/>
              <w:ind w:firstLine="0" w:firstLineChars="0"/>
              <w:jc w:val="center"/>
              <w:rPr>
                <w:rFonts w:eastAsia="方正仿宋简体"/>
                <w:color w:val="000000"/>
                <w:sz w:val="21"/>
                <w:szCs w:val="21"/>
              </w:rPr>
            </w:pPr>
            <w:r>
              <w:rPr>
                <w:rFonts w:eastAsia="方正仿宋简体"/>
                <w:color w:val="000000"/>
                <w:sz w:val="21"/>
                <w:szCs w:val="21"/>
              </w:rPr>
              <w:t>58</w:t>
            </w:r>
          </w:p>
        </w:tc>
        <w:tc>
          <w:tcPr>
            <w:tcW w:w="879" w:type="dxa"/>
            <w:tcMar>
              <w:left w:w="108" w:type="dxa"/>
              <w:right w:w="108" w:type="dxa"/>
            </w:tcMar>
            <w:vAlign w:val="center"/>
          </w:tcPr>
          <w:p w14:paraId="1CA2D257">
            <w:pPr>
              <w:spacing w:line="340" w:lineRule="exact"/>
              <w:ind w:firstLine="0" w:firstLineChars="0"/>
              <w:jc w:val="center"/>
              <w:rPr>
                <w:rFonts w:eastAsia="方正仿宋简体"/>
                <w:color w:val="000000"/>
                <w:sz w:val="21"/>
                <w:szCs w:val="21"/>
              </w:rPr>
            </w:pPr>
            <w:r>
              <w:rPr>
                <w:rFonts w:eastAsia="方正仿宋简体"/>
                <w:color w:val="000000"/>
                <w:sz w:val="21"/>
                <w:szCs w:val="21"/>
              </w:rPr>
              <w:t>59</w:t>
            </w:r>
          </w:p>
        </w:tc>
        <w:tc>
          <w:tcPr>
            <w:tcW w:w="797" w:type="dxa"/>
            <w:tcMar>
              <w:left w:w="108" w:type="dxa"/>
              <w:right w:w="108" w:type="dxa"/>
            </w:tcMar>
            <w:vAlign w:val="center"/>
          </w:tcPr>
          <w:p w14:paraId="627679C0">
            <w:pPr>
              <w:spacing w:line="340" w:lineRule="exact"/>
              <w:ind w:firstLine="0" w:firstLineChars="0"/>
              <w:jc w:val="center"/>
              <w:rPr>
                <w:rFonts w:eastAsia="方正仿宋简体"/>
                <w:color w:val="000000"/>
                <w:kern w:val="0"/>
                <w:sz w:val="21"/>
                <w:szCs w:val="21"/>
              </w:rPr>
            </w:pPr>
            <w:r>
              <w:rPr>
                <w:rFonts w:eastAsia="方正仿宋简体"/>
                <w:color w:val="000000"/>
                <w:sz w:val="21"/>
                <w:szCs w:val="21"/>
              </w:rPr>
              <w:t>60</w:t>
            </w:r>
          </w:p>
        </w:tc>
        <w:tc>
          <w:tcPr>
            <w:tcW w:w="1127" w:type="dxa"/>
            <w:tcMar>
              <w:left w:w="108" w:type="dxa"/>
              <w:right w:w="108" w:type="dxa"/>
            </w:tcMar>
            <w:vAlign w:val="center"/>
          </w:tcPr>
          <w:p w14:paraId="17316255">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约束性</w:t>
            </w:r>
          </w:p>
        </w:tc>
      </w:tr>
      <w:tr w14:paraId="7AF08FA7">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45A2F0FA">
            <w:pPr>
              <w:spacing w:line="340" w:lineRule="exact"/>
              <w:ind w:firstLine="0" w:firstLineChars="0"/>
              <w:jc w:val="center"/>
              <w:rPr>
                <w:rFonts w:eastAsia="方正仿宋简体"/>
                <w:color w:val="000000"/>
                <w:sz w:val="21"/>
                <w:szCs w:val="21"/>
              </w:rPr>
            </w:pPr>
            <w:r>
              <w:rPr>
                <w:rFonts w:eastAsia="方正仿宋简体"/>
                <w:color w:val="000000"/>
                <w:sz w:val="21"/>
                <w:szCs w:val="21"/>
              </w:rPr>
              <w:t>3</w:t>
            </w:r>
          </w:p>
        </w:tc>
        <w:tc>
          <w:tcPr>
            <w:tcW w:w="2190" w:type="dxa"/>
            <w:tcMar>
              <w:left w:w="108" w:type="dxa"/>
              <w:right w:w="108" w:type="dxa"/>
            </w:tcMar>
            <w:vAlign w:val="center"/>
          </w:tcPr>
          <w:p w14:paraId="28A07DCD">
            <w:pPr>
              <w:spacing w:line="340" w:lineRule="exact"/>
              <w:ind w:firstLine="0" w:firstLineChars="0"/>
              <w:jc w:val="left"/>
              <w:textAlignment w:val="center"/>
              <w:rPr>
                <w:rFonts w:eastAsia="方正仿宋简体"/>
                <w:color w:val="000000"/>
                <w:kern w:val="0"/>
                <w:sz w:val="21"/>
                <w:szCs w:val="21"/>
              </w:rPr>
            </w:pPr>
            <w:r>
              <w:rPr>
                <w:rFonts w:hint="eastAsia" w:eastAsia="方正仿宋简体"/>
                <w:color w:val="000000"/>
                <w:kern w:val="0"/>
                <w:sz w:val="21"/>
                <w:szCs w:val="21"/>
              </w:rPr>
              <w:t>每千名老年人拥有养老机构护理型床位数</w:t>
            </w:r>
          </w:p>
        </w:tc>
        <w:tc>
          <w:tcPr>
            <w:tcW w:w="780" w:type="dxa"/>
            <w:tcMar>
              <w:left w:w="108" w:type="dxa"/>
              <w:right w:w="108" w:type="dxa"/>
            </w:tcMar>
            <w:vAlign w:val="center"/>
          </w:tcPr>
          <w:p w14:paraId="5DE467E0">
            <w:pPr>
              <w:spacing w:line="340" w:lineRule="exact"/>
              <w:ind w:firstLine="0" w:firstLineChars="0"/>
              <w:jc w:val="center"/>
              <w:textAlignment w:val="center"/>
              <w:rPr>
                <w:rFonts w:eastAsia="方正仿宋简体"/>
                <w:color w:val="000000"/>
                <w:kern w:val="0"/>
                <w:sz w:val="21"/>
                <w:szCs w:val="21"/>
              </w:rPr>
            </w:pPr>
            <w:r>
              <w:rPr>
                <w:rFonts w:hint="eastAsia" w:eastAsia="方正仿宋简体"/>
                <w:color w:val="000000"/>
                <w:kern w:val="0"/>
                <w:sz w:val="21"/>
                <w:szCs w:val="21"/>
              </w:rPr>
              <w:t>张</w:t>
            </w:r>
          </w:p>
        </w:tc>
        <w:tc>
          <w:tcPr>
            <w:tcW w:w="950" w:type="dxa"/>
            <w:tcMar>
              <w:left w:w="108" w:type="dxa"/>
              <w:right w:w="108" w:type="dxa"/>
            </w:tcMar>
            <w:vAlign w:val="center"/>
          </w:tcPr>
          <w:p w14:paraId="08F7B160">
            <w:pPr>
              <w:spacing w:line="340" w:lineRule="exact"/>
              <w:ind w:firstLine="0" w:firstLineChars="0"/>
              <w:jc w:val="center"/>
              <w:textAlignment w:val="center"/>
              <w:rPr>
                <w:rFonts w:eastAsia="方正仿宋简体"/>
                <w:color w:val="000000"/>
                <w:kern w:val="0"/>
                <w:sz w:val="21"/>
                <w:szCs w:val="21"/>
              </w:rPr>
            </w:pPr>
            <w:r>
              <w:rPr>
                <w:rFonts w:eastAsia="方正仿宋简体"/>
                <w:color w:val="000000"/>
                <w:kern w:val="0"/>
                <w:sz w:val="21"/>
                <w:szCs w:val="21"/>
              </w:rPr>
              <w:t>——</w:t>
            </w:r>
          </w:p>
        </w:tc>
        <w:tc>
          <w:tcPr>
            <w:tcW w:w="885" w:type="dxa"/>
            <w:tcMar>
              <w:left w:w="108" w:type="dxa"/>
              <w:right w:w="108" w:type="dxa"/>
            </w:tcMar>
            <w:vAlign w:val="center"/>
          </w:tcPr>
          <w:p w14:paraId="11B25F00">
            <w:pPr>
              <w:spacing w:line="340" w:lineRule="exact"/>
              <w:ind w:firstLine="0" w:firstLineChars="0"/>
              <w:jc w:val="center"/>
              <w:textAlignment w:val="center"/>
              <w:rPr>
                <w:rFonts w:eastAsia="方正仿宋简体"/>
                <w:color w:val="000000"/>
                <w:kern w:val="0"/>
                <w:sz w:val="21"/>
                <w:szCs w:val="21"/>
              </w:rPr>
            </w:pPr>
            <w:r>
              <w:rPr>
                <w:rFonts w:eastAsia="方正仿宋简体"/>
                <w:color w:val="000000"/>
                <w:kern w:val="0"/>
                <w:sz w:val="21"/>
                <w:szCs w:val="21"/>
              </w:rPr>
              <w:t>10</w:t>
            </w:r>
          </w:p>
        </w:tc>
        <w:tc>
          <w:tcPr>
            <w:tcW w:w="951" w:type="dxa"/>
            <w:tcMar>
              <w:left w:w="108" w:type="dxa"/>
              <w:right w:w="108" w:type="dxa"/>
            </w:tcMar>
            <w:vAlign w:val="center"/>
          </w:tcPr>
          <w:p w14:paraId="452EA8E1">
            <w:pPr>
              <w:spacing w:line="340" w:lineRule="exact"/>
              <w:ind w:firstLine="0" w:firstLineChars="0"/>
              <w:jc w:val="center"/>
              <w:textAlignment w:val="center"/>
              <w:rPr>
                <w:rFonts w:eastAsia="方正仿宋简体"/>
                <w:color w:val="000000"/>
                <w:kern w:val="0"/>
                <w:sz w:val="21"/>
                <w:szCs w:val="21"/>
              </w:rPr>
            </w:pPr>
            <w:r>
              <w:rPr>
                <w:rFonts w:eastAsia="方正仿宋简体"/>
                <w:color w:val="000000"/>
                <w:kern w:val="0"/>
                <w:sz w:val="21"/>
                <w:szCs w:val="21"/>
              </w:rPr>
              <w:t>10.5</w:t>
            </w:r>
          </w:p>
        </w:tc>
        <w:tc>
          <w:tcPr>
            <w:tcW w:w="880" w:type="dxa"/>
            <w:tcMar>
              <w:left w:w="108" w:type="dxa"/>
              <w:right w:w="108" w:type="dxa"/>
            </w:tcMar>
            <w:vAlign w:val="center"/>
          </w:tcPr>
          <w:p w14:paraId="4BCC1BCC">
            <w:pPr>
              <w:spacing w:line="340" w:lineRule="exact"/>
              <w:ind w:firstLine="0" w:firstLineChars="0"/>
              <w:jc w:val="center"/>
              <w:textAlignment w:val="center"/>
              <w:rPr>
                <w:rFonts w:eastAsia="方正仿宋简体"/>
                <w:color w:val="000000"/>
                <w:kern w:val="0"/>
                <w:sz w:val="21"/>
                <w:szCs w:val="21"/>
              </w:rPr>
            </w:pPr>
            <w:r>
              <w:rPr>
                <w:rFonts w:eastAsia="方正仿宋简体"/>
                <w:color w:val="000000"/>
                <w:kern w:val="0"/>
                <w:sz w:val="21"/>
                <w:szCs w:val="21"/>
              </w:rPr>
              <w:t>11</w:t>
            </w:r>
          </w:p>
        </w:tc>
        <w:tc>
          <w:tcPr>
            <w:tcW w:w="879" w:type="dxa"/>
            <w:tcMar>
              <w:left w:w="108" w:type="dxa"/>
              <w:right w:w="108" w:type="dxa"/>
            </w:tcMar>
            <w:vAlign w:val="center"/>
          </w:tcPr>
          <w:p w14:paraId="296524F4">
            <w:pPr>
              <w:spacing w:line="340" w:lineRule="exact"/>
              <w:ind w:firstLine="0" w:firstLineChars="0"/>
              <w:jc w:val="center"/>
              <w:textAlignment w:val="center"/>
              <w:rPr>
                <w:rFonts w:eastAsia="方正仿宋简体"/>
                <w:color w:val="000000"/>
                <w:kern w:val="0"/>
                <w:sz w:val="21"/>
                <w:szCs w:val="21"/>
              </w:rPr>
            </w:pPr>
            <w:r>
              <w:rPr>
                <w:rFonts w:eastAsia="方正仿宋简体"/>
                <w:color w:val="000000"/>
                <w:kern w:val="0"/>
                <w:sz w:val="21"/>
                <w:szCs w:val="21"/>
              </w:rPr>
              <w:t>11.5</w:t>
            </w:r>
          </w:p>
        </w:tc>
        <w:tc>
          <w:tcPr>
            <w:tcW w:w="797" w:type="dxa"/>
            <w:tcMar>
              <w:left w:w="108" w:type="dxa"/>
              <w:right w:w="108" w:type="dxa"/>
            </w:tcMar>
            <w:vAlign w:val="center"/>
          </w:tcPr>
          <w:p w14:paraId="244884D0">
            <w:pPr>
              <w:spacing w:line="340" w:lineRule="exact"/>
              <w:ind w:firstLine="0" w:firstLineChars="0"/>
              <w:jc w:val="center"/>
              <w:textAlignment w:val="center"/>
              <w:rPr>
                <w:rFonts w:eastAsia="方正仿宋简体"/>
                <w:color w:val="000000"/>
                <w:kern w:val="0"/>
                <w:sz w:val="21"/>
                <w:szCs w:val="21"/>
              </w:rPr>
            </w:pPr>
            <w:r>
              <w:rPr>
                <w:rFonts w:eastAsia="方正仿宋简体"/>
                <w:color w:val="000000"/>
                <w:kern w:val="0"/>
                <w:sz w:val="21"/>
                <w:szCs w:val="21"/>
              </w:rPr>
              <w:t>12</w:t>
            </w:r>
          </w:p>
        </w:tc>
        <w:tc>
          <w:tcPr>
            <w:tcW w:w="1127" w:type="dxa"/>
            <w:tcMar>
              <w:left w:w="108" w:type="dxa"/>
              <w:right w:w="108" w:type="dxa"/>
            </w:tcMar>
            <w:vAlign w:val="center"/>
          </w:tcPr>
          <w:p w14:paraId="7255C853">
            <w:pPr>
              <w:spacing w:line="340" w:lineRule="exact"/>
              <w:ind w:firstLine="0" w:firstLineChars="0"/>
              <w:jc w:val="center"/>
              <w:textAlignment w:val="center"/>
              <w:rPr>
                <w:rFonts w:eastAsia="方正仿宋简体"/>
                <w:color w:val="000000"/>
                <w:kern w:val="0"/>
                <w:sz w:val="21"/>
                <w:szCs w:val="21"/>
              </w:rPr>
            </w:pPr>
            <w:r>
              <w:rPr>
                <w:rFonts w:hint="eastAsia" w:eastAsia="方正仿宋简体"/>
                <w:color w:val="000000"/>
                <w:kern w:val="0"/>
                <w:sz w:val="21"/>
                <w:szCs w:val="21"/>
              </w:rPr>
              <w:t>预期性</w:t>
            </w:r>
          </w:p>
        </w:tc>
      </w:tr>
      <w:tr w14:paraId="6D1BF97F">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40924E0A">
            <w:pPr>
              <w:spacing w:line="340" w:lineRule="exact"/>
              <w:ind w:firstLine="0" w:firstLineChars="0"/>
              <w:jc w:val="center"/>
              <w:rPr>
                <w:rFonts w:eastAsia="方正仿宋简体"/>
                <w:color w:val="000000"/>
                <w:sz w:val="21"/>
                <w:szCs w:val="21"/>
              </w:rPr>
            </w:pPr>
            <w:r>
              <w:rPr>
                <w:rFonts w:eastAsia="方正仿宋简体"/>
                <w:color w:val="000000"/>
                <w:sz w:val="21"/>
                <w:szCs w:val="21"/>
              </w:rPr>
              <w:t>4</w:t>
            </w:r>
          </w:p>
        </w:tc>
        <w:tc>
          <w:tcPr>
            <w:tcW w:w="2190" w:type="dxa"/>
            <w:tcMar>
              <w:left w:w="108" w:type="dxa"/>
              <w:right w:w="108" w:type="dxa"/>
            </w:tcMar>
            <w:vAlign w:val="center"/>
          </w:tcPr>
          <w:p w14:paraId="3F5E1FE3">
            <w:pPr>
              <w:spacing w:line="340" w:lineRule="exact"/>
              <w:ind w:firstLine="0" w:firstLineChars="0"/>
              <w:jc w:val="left"/>
              <w:textAlignment w:val="center"/>
              <w:rPr>
                <w:rFonts w:eastAsia="方正仿宋简体"/>
                <w:color w:val="000000"/>
                <w:spacing w:val="-10"/>
                <w:sz w:val="21"/>
                <w:szCs w:val="21"/>
              </w:rPr>
            </w:pPr>
            <w:r>
              <w:rPr>
                <w:rFonts w:hint="eastAsia" w:eastAsia="方正仿宋简体"/>
                <w:color w:val="000000"/>
                <w:kern w:val="0"/>
                <w:sz w:val="21"/>
                <w:szCs w:val="21"/>
              </w:rPr>
              <w:t>乡镇（街道）范围具备综合功能的养老服务机构覆盖率</w:t>
            </w:r>
          </w:p>
        </w:tc>
        <w:tc>
          <w:tcPr>
            <w:tcW w:w="780" w:type="dxa"/>
            <w:tcMar>
              <w:left w:w="108" w:type="dxa"/>
              <w:right w:w="108" w:type="dxa"/>
            </w:tcMar>
            <w:vAlign w:val="center"/>
          </w:tcPr>
          <w:p w14:paraId="79897094">
            <w:pPr>
              <w:spacing w:line="340" w:lineRule="exact"/>
              <w:ind w:firstLine="0" w:firstLineChars="0"/>
              <w:jc w:val="center"/>
              <w:textAlignment w:val="center"/>
              <w:rPr>
                <w:rFonts w:eastAsia="方正仿宋简体"/>
                <w:color w:val="000000"/>
                <w:sz w:val="21"/>
                <w:szCs w:val="21"/>
              </w:rPr>
            </w:pPr>
            <w:r>
              <w:rPr>
                <w:rFonts w:eastAsia="方正仿宋简体"/>
                <w:color w:val="000000"/>
                <w:kern w:val="0"/>
                <w:sz w:val="21"/>
                <w:szCs w:val="21"/>
              </w:rPr>
              <w:t>%</w:t>
            </w:r>
          </w:p>
        </w:tc>
        <w:tc>
          <w:tcPr>
            <w:tcW w:w="950" w:type="dxa"/>
            <w:tcMar>
              <w:left w:w="108" w:type="dxa"/>
              <w:right w:w="108" w:type="dxa"/>
            </w:tcMar>
            <w:vAlign w:val="center"/>
          </w:tcPr>
          <w:p w14:paraId="29317501">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w:t>
            </w:r>
          </w:p>
        </w:tc>
        <w:tc>
          <w:tcPr>
            <w:tcW w:w="885" w:type="dxa"/>
            <w:tcMar>
              <w:left w:w="108" w:type="dxa"/>
              <w:right w:w="108" w:type="dxa"/>
            </w:tcMar>
            <w:vAlign w:val="center"/>
          </w:tcPr>
          <w:p w14:paraId="0EC72339">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52</w:t>
            </w:r>
          </w:p>
        </w:tc>
        <w:tc>
          <w:tcPr>
            <w:tcW w:w="951" w:type="dxa"/>
            <w:tcMar>
              <w:left w:w="108" w:type="dxa"/>
              <w:right w:w="108" w:type="dxa"/>
            </w:tcMar>
            <w:vAlign w:val="center"/>
          </w:tcPr>
          <w:p w14:paraId="24CB6744">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54</w:t>
            </w:r>
          </w:p>
        </w:tc>
        <w:tc>
          <w:tcPr>
            <w:tcW w:w="880" w:type="dxa"/>
            <w:tcMar>
              <w:left w:w="108" w:type="dxa"/>
              <w:right w:w="108" w:type="dxa"/>
            </w:tcMar>
            <w:vAlign w:val="center"/>
          </w:tcPr>
          <w:p w14:paraId="65D4A0FB">
            <w:pPr>
              <w:spacing w:line="340" w:lineRule="exact"/>
              <w:ind w:firstLine="0" w:firstLineChars="0"/>
              <w:jc w:val="center"/>
              <w:textAlignment w:val="center"/>
              <w:rPr>
                <w:rFonts w:eastAsia="方正仿宋简体"/>
                <w:color w:val="000000"/>
                <w:kern w:val="0"/>
                <w:sz w:val="21"/>
                <w:szCs w:val="21"/>
              </w:rPr>
            </w:pPr>
            <w:r>
              <w:rPr>
                <w:rFonts w:eastAsia="方正仿宋简体"/>
                <w:color w:val="000000"/>
                <w:kern w:val="0"/>
                <w:sz w:val="21"/>
                <w:szCs w:val="21"/>
              </w:rPr>
              <w:t>56</w:t>
            </w:r>
          </w:p>
        </w:tc>
        <w:tc>
          <w:tcPr>
            <w:tcW w:w="879" w:type="dxa"/>
            <w:tcMar>
              <w:left w:w="108" w:type="dxa"/>
              <w:right w:w="108" w:type="dxa"/>
            </w:tcMar>
            <w:vAlign w:val="center"/>
          </w:tcPr>
          <w:p w14:paraId="68E7547B">
            <w:pPr>
              <w:spacing w:line="340" w:lineRule="exact"/>
              <w:ind w:firstLine="0" w:firstLineChars="0"/>
              <w:jc w:val="center"/>
              <w:textAlignment w:val="center"/>
              <w:rPr>
                <w:rFonts w:eastAsia="方正仿宋简体"/>
                <w:color w:val="000000"/>
                <w:kern w:val="0"/>
                <w:sz w:val="21"/>
                <w:szCs w:val="21"/>
              </w:rPr>
            </w:pPr>
            <w:r>
              <w:rPr>
                <w:rFonts w:eastAsia="方正仿宋简体"/>
                <w:color w:val="000000"/>
                <w:kern w:val="0"/>
                <w:sz w:val="21"/>
                <w:szCs w:val="21"/>
              </w:rPr>
              <w:t>58</w:t>
            </w:r>
          </w:p>
        </w:tc>
        <w:tc>
          <w:tcPr>
            <w:tcW w:w="797" w:type="dxa"/>
            <w:tcMar>
              <w:left w:w="108" w:type="dxa"/>
              <w:right w:w="108" w:type="dxa"/>
            </w:tcMar>
            <w:vAlign w:val="center"/>
          </w:tcPr>
          <w:p w14:paraId="326734AE">
            <w:pPr>
              <w:spacing w:line="340" w:lineRule="exact"/>
              <w:ind w:firstLine="0" w:firstLineChars="0"/>
              <w:jc w:val="center"/>
              <w:textAlignment w:val="center"/>
              <w:rPr>
                <w:rFonts w:eastAsia="方正仿宋简体"/>
                <w:color w:val="000000"/>
                <w:sz w:val="21"/>
                <w:szCs w:val="21"/>
              </w:rPr>
            </w:pPr>
            <w:r>
              <w:rPr>
                <w:rFonts w:eastAsia="方正仿宋简体"/>
                <w:color w:val="000000"/>
                <w:kern w:val="0"/>
                <w:sz w:val="21"/>
                <w:szCs w:val="21"/>
              </w:rPr>
              <w:t>60</w:t>
            </w:r>
          </w:p>
        </w:tc>
        <w:tc>
          <w:tcPr>
            <w:tcW w:w="1127" w:type="dxa"/>
            <w:tcMar>
              <w:left w:w="108" w:type="dxa"/>
              <w:right w:w="108" w:type="dxa"/>
            </w:tcMar>
            <w:vAlign w:val="center"/>
          </w:tcPr>
          <w:p w14:paraId="35ABFDD6">
            <w:pPr>
              <w:spacing w:line="340" w:lineRule="exact"/>
              <w:ind w:firstLine="0" w:firstLineChars="0"/>
              <w:jc w:val="center"/>
              <w:textAlignment w:val="center"/>
              <w:rPr>
                <w:rFonts w:eastAsia="方正仿宋简体"/>
                <w:color w:val="000000"/>
                <w:sz w:val="21"/>
                <w:szCs w:val="21"/>
              </w:rPr>
            </w:pPr>
            <w:r>
              <w:rPr>
                <w:rFonts w:hint="eastAsia" w:eastAsia="方正仿宋简体"/>
                <w:color w:val="000000"/>
                <w:kern w:val="0"/>
                <w:sz w:val="21"/>
                <w:szCs w:val="21"/>
              </w:rPr>
              <w:t>预期性</w:t>
            </w:r>
          </w:p>
        </w:tc>
      </w:tr>
      <w:tr w14:paraId="0EDE2F06">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02FC1AA4">
            <w:pPr>
              <w:spacing w:line="340" w:lineRule="exact"/>
              <w:ind w:firstLine="0" w:firstLineChars="0"/>
              <w:jc w:val="center"/>
              <w:rPr>
                <w:rFonts w:eastAsia="方正仿宋简体"/>
                <w:color w:val="000000"/>
                <w:sz w:val="21"/>
                <w:szCs w:val="21"/>
              </w:rPr>
            </w:pPr>
            <w:r>
              <w:rPr>
                <w:rFonts w:eastAsia="方正仿宋简体"/>
                <w:color w:val="000000"/>
                <w:sz w:val="21"/>
                <w:szCs w:val="21"/>
              </w:rPr>
              <w:t>5</w:t>
            </w:r>
          </w:p>
        </w:tc>
        <w:tc>
          <w:tcPr>
            <w:tcW w:w="2190" w:type="dxa"/>
            <w:tcMar>
              <w:left w:w="108" w:type="dxa"/>
              <w:right w:w="108" w:type="dxa"/>
            </w:tcMar>
            <w:vAlign w:val="center"/>
          </w:tcPr>
          <w:p w14:paraId="3C9A39C3">
            <w:pPr>
              <w:spacing w:line="340" w:lineRule="exact"/>
              <w:ind w:firstLine="0" w:firstLineChars="0"/>
              <w:jc w:val="left"/>
              <w:rPr>
                <w:rFonts w:eastAsia="方正仿宋简体"/>
                <w:color w:val="000000"/>
                <w:sz w:val="21"/>
                <w:szCs w:val="21"/>
              </w:rPr>
            </w:pPr>
            <w:r>
              <w:rPr>
                <w:rFonts w:hint="eastAsia" w:eastAsia="方正仿宋简体"/>
                <w:color w:val="000000"/>
                <w:spacing w:val="-10"/>
                <w:sz w:val="21"/>
                <w:szCs w:val="21"/>
              </w:rPr>
              <w:t>每百户居民拥有的社区服务设施建筑面积</w:t>
            </w:r>
          </w:p>
        </w:tc>
        <w:tc>
          <w:tcPr>
            <w:tcW w:w="780" w:type="dxa"/>
            <w:tcMar>
              <w:left w:w="108" w:type="dxa"/>
              <w:right w:w="108" w:type="dxa"/>
            </w:tcMar>
            <w:vAlign w:val="center"/>
          </w:tcPr>
          <w:p w14:paraId="75DD3E4E">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平方米</w:t>
            </w:r>
          </w:p>
        </w:tc>
        <w:tc>
          <w:tcPr>
            <w:tcW w:w="950" w:type="dxa"/>
            <w:tcMar>
              <w:left w:w="108" w:type="dxa"/>
              <w:right w:w="108" w:type="dxa"/>
            </w:tcMar>
            <w:vAlign w:val="center"/>
          </w:tcPr>
          <w:p w14:paraId="1D320529">
            <w:pPr>
              <w:spacing w:line="340" w:lineRule="exact"/>
              <w:ind w:firstLine="0" w:firstLineChars="0"/>
              <w:jc w:val="center"/>
              <w:rPr>
                <w:rFonts w:eastAsia="方正仿宋简体"/>
                <w:color w:val="000000"/>
                <w:sz w:val="21"/>
                <w:szCs w:val="21"/>
              </w:rPr>
            </w:pPr>
            <w:r>
              <w:rPr>
                <w:rFonts w:eastAsia="方正仿宋简体"/>
                <w:color w:val="000000"/>
                <w:spacing w:val="-10"/>
                <w:sz w:val="21"/>
                <w:szCs w:val="21"/>
              </w:rPr>
              <w:t>33.4</w:t>
            </w:r>
          </w:p>
        </w:tc>
        <w:tc>
          <w:tcPr>
            <w:tcW w:w="885" w:type="dxa"/>
            <w:tcMar>
              <w:left w:w="108" w:type="dxa"/>
              <w:right w:w="108" w:type="dxa"/>
            </w:tcMar>
            <w:vAlign w:val="center"/>
          </w:tcPr>
          <w:p w14:paraId="196324C3">
            <w:pPr>
              <w:spacing w:line="340" w:lineRule="exact"/>
              <w:ind w:firstLine="0" w:firstLineChars="0"/>
              <w:jc w:val="center"/>
              <w:rPr>
                <w:rFonts w:eastAsia="方正仿宋简体"/>
                <w:color w:val="000000"/>
                <w:sz w:val="21"/>
                <w:szCs w:val="21"/>
              </w:rPr>
            </w:pPr>
            <w:r>
              <w:rPr>
                <w:rFonts w:eastAsia="方正仿宋简体"/>
                <w:color w:val="000000"/>
                <w:sz w:val="21"/>
                <w:szCs w:val="21"/>
              </w:rPr>
              <w:t>35</w:t>
            </w:r>
          </w:p>
        </w:tc>
        <w:tc>
          <w:tcPr>
            <w:tcW w:w="951" w:type="dxa"/>
            <w:tcMar>
              <w:left w:w="108" w:type="dxa"/>
              <w:right w:w="108" w:type="dxa"/>
            </w:tcMar>
            <w:vAlign w:val="center"/>
          </w:tcPr>
          <w:p w14:paraId="0E4D79FF">
            <w:pPr>
              <w:spacing w:line="340" w:lineRule="exact"/>
              <w:ind w:firstLine="0" w:firstLineChars="0"/>
              <w:jc w:val="center"/>
              <w:rPr>
                <w:rFonts w:eastAsia="方正仿宋简体"/>
                <w:color w:val="000000"/>
                <w:sz w:val="21"/>
                <w:szCs w:val="21"/>
              </w:rPr>
            </w:pPr>
            <w:r>
              <w:rPr>
                <w:rFonts w:eastAsia="方正仿宋简体"/>
                <w:color w:val="000000"/>
                <w:sz w:val="21"/>
                <w:szCs w:val="21"/>
              </w:rPr>
              <w:t>36.5</w:t>
            </w:r>
          </w:p>
        </w:tc>
        <w:tc>
          <w:tcPr>
            <w:tcW w:w="880" w:type="dxa"/>
            <w:tcMar>
              <w:left w:w="108" w:type="dxa"/>
              <w:right w:w="108" w:type="dxa"/>
            </w:tcMar>
            <w:vAlign w:val="center"/>
          </w:tcPr>
          <w:p w14:paraId="551CD5B1">
            <w:pPr>
              <w:spacing w:line="340" w:lineRule="exact"/>
              <w:ind w:firstLine="0" w:firstLineChars="0"/>
              <w:jc w:val="center"/>
              <w:rPr>
                <w:rFonts w:eastAsia="方正仿宋简体"/>
                <w:color w:val="000000"/>
                <w:sz w:val="21"/>
                <w:szCs w:val="21"/>
              </w:rPr>
            </w:pPr>
            <w:r>
              <w:rPr>
                <w:rFonts w:eastAsia="方正仿宋简体"/>
                <w:color w:val="000000"/>
                <w:sz w:val="21"/>
                <w:szCs w:val="21"/>
              </w:rPr>
              <w:t>38</w:t>
            </w:r>
          </w:p>
        </w:tc>
        <w:tc>
          <w:tcPr>
            <w:tcW w:w="879" w:type="dxa"/>
            <w:tcMar>
              <w:left w:w="108" w:type="dxa"/>
              <w:right w:w="108" w:type="dxa"/>
            </w:tcMar>
            <w:vAlign w:val="center"/>
          </w:tcPr>
          <w:p w14:paraId="2E0B7229">
            <w:pPr>
              <w:spacing w:line="340" w:lineRule="exact"/>
              <w:ind w:firstLine="0" w:firstLineChars="0"/>
              <w:jc w:val="center"/>
              <w:rPr>
                <w:rFonts w:eastAsia="方正仿宋简体"/>
                <w:color w:val="000000"/>
                <w:sz w:val="21"/>
                <w:szCs w:val="21"/>
              </w:rPr>
            </w:pPr>
            <w:r>
              <w:rPr>
                <w:rFonts w:eastAsia="方正仿宋简体"/>
                <w:color w:val="000000"/>
                <w:sz w:val="21"/>
                <w:szCs w:val="21"/>
              </w:rPr>
              <w:t>39</w:t>
            </w:r>
          </w:p>
        </w:tc>
        <w:tc>
          <w:tcPr>
            <w:tcW w:w="797" w:type="dxa"/>
            <w:tcMar>
              <w:left w:w="108" w:type="dxa"/>
              <w:right w:w="108" w:type="dxa"/>
            </w:tcMar>
            <w:vAlign w:val="center"/>
          </w:tcPr>
          <w:p w14:paraId="22EC7AB7">
            <w:pPr>
              <w:spacing w:line="340" w:lineRule="exact"/>
              <w:ind w:firstLine="0" w:firstLineChars="0"/>
              <w:jc w:val="center"/>
              <w:rPr>
                <w:rFonts w:eastAsia="方正仿宋简体"/>
                <w:color w:val="000000"/>
                <w:sz w:val="21"/>
                <w:szCs w:val="21"/>
              </w:rPr>
            </w:pPr>
            <w:r>
              <w:rPr>
                <w:rFonts w:eastAsia="方正仿宋简体"/>
                <w:color w:val="000000"/>
                <w:sz w:val="21"/>
                <w:szCs w:val="21"/>
              </w:rPr>
              <w:t>40</w:t>
            </w:r>
          </w:p>
        </w:tc>
        <w:tc>
          <w:tcPr>
            <w:tcW w:w="1127" w:type="dxa"/>
            <w:tcMar>
              <w:left w:w="108" w:type="dxa"/>
              <w:right w:w="108" w:type="dxa"/>
            </w:tcMar>
            <w:vAlign w:val="center"/>
          </w:tcPr>
          <w:p w14:paraId="696F9C61">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预期性</w:t>
            </w:r>
          </w:p>
        </w:tc>
      </w:tr>
      <w:tr w14:paraId="4297FC42">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3AF2ED5A">
            <w:pPr>
              <w:spacing w:line="340" w:lineRule="exact"/>
              <w:ind w:firstLine="0" w:firstLineChars="0"/>
              <w:jc w:val="center"/>
              <w:rPr>
                <w:rFonts w:eastAsia="方正仿宋简体"/>
                <w:color w:val="000000"/>
                <w:sz w:val="21"/>
                <w:szCs w:val="21"/>
              </w:rPr>
            </w:pPr>
            <w:r>
              <w:rPr>
                <w:rFonts w:eastAsia="方正仿宋简体"/>
                <w:color w:val="000000"/>
                <w:sz w:val="21"/>
                <w:szCs w:val="21"/>
              </w:rPr>
              <w:t>6</w:t>
            </w:r>
          </w:p>
        </w:tc>
        <w:tc>
          <w:tcPr>
            <w:tcW w:w="2190" w:type="dxa"/>
            <w:tcMar>
              <w:left w:w="108" w:type="dxa"/>
              <w:right w:w="108" w:type="dxa"/>
            </w:tcMar>
            <w:vAlign w:val="center"/>
          </w:tcPr>
          <w:p w14:paraId="034BE581">
            <w:pPr>
              <w:spacing w:line="340" w:lineRule="exact"/>
              <w:ind w:firstLine="0" w:firstLineChars="0"/>
              <w:jc w:val="left"/>
              <w:rPr>
                <w:rFonts w:eastAsia="方正仿宋简体"/>
                <w:color w:val="000000"/>
                <w:sz w:val="21"/>
                <w:szCs w:val="21"/>
              </w:rPr>
            </w:pPr>
            <w:r>
              <w:rPr>
                <w:rFonts w:hint="eastAsia" w:eastAsia="方正仿宋简体"/>
                <w:color w:val="000000"/>
                <w:spacing w:val="-11"/>
                <w:sz w:val="21"/>
                <w:szCs w:val="21"/>
              </w:rPr>
              <w:t>县级未成年人保护机构覆盖率</w:t>
            </w:r>
          </w:p>
        </w:tc>
        <w:tc>
          <w:tcPr>
            <w:tcW w:w="780" w:type="dxa"/>
            <w:tcMar>
              <w:left w:w="108" w:type="dxa"/>
              <w:right w:w="108" w:type="dxa"/>
            </w:tcMar>
            <w:vAlign w:val="center"/>
          </w:tcPr>
          <w:p w14:paraId="4E4C9A97">
            <w:pPr>
              <w:spacing w:line="340" w:lineRule="exact"/>
              <w:ind w:firstLine="0" w:firstLineChars="0"/>
              <w:jc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6754998F">
            <w:pPr>
              <w:spacing w:line="340" w:lineRule="exact"/>
              <w:ind w:firstLine="0" w:firstLineChars="0"/>
              <w:jc w:val="center"/>
              <w:rPr>
                <w:rFonts w:eastAsia="方正仿宋简体"/>
                <w:color w:val="000000"/>
                <w:sz w:val="21"/>
                <w:szCs w:val="21"/>
              </w:rPr>
            </w:pPr>
            <w:r>
              <w:rPr>
                <w:rFonts w:eastAsia="方正仿宋简体"/>
                <w:color w:val="000000"/>
                <w:sz w:val="21"/>
                <w:szCs w:val="21"/>
              </w:rPr>
              <w:t>83.4</w:t>
            </w:r>
          </w:p>
        </w:tc>
        <w:tc>
          <w:tcPr>
            <w:tcW w:w="885" w:type="dxa"/>
            <w:tcMar>
              <w:left w:w="108" w:type="dxa"/>
              <w:right w:w="108" w:type="dxa"/>
            </w:tcMar>
            <w:vAlign w:val="center"/>
          </w:tcPr>
          <w:p w14:paraId="2E74B69E">
            <w:pPr>
              <w:spacing w:line="340" w:lineRule="exact"/>
              <w:ind w:firstLine="0" w:firstLineChars="0"/>
              <w:jc w:val="center"/>
              <w:rPr>
                <w:rFonts w:eastAsia="方正仿宋简体"/>
                <w:color w:val="000000"/>
                <w:sz w:val="21"/>
                <w:szCs w:val="21"/>
              </w:rPr>
            </w:pPr>
            <w:r>
              <w:rPr>
                <w:rFonts w:eastAsia="方正仿宋简体"/>
                <w:color w:val="000000"/>
                <w:sz w:val="21"/>
                <w:szCs w:val="21"/>
              </w:rPr>
              <w:t>83.4</w:t>
            </w:r>
          </w:p>
        </w:tc>
        <w:tc>
          <w:tcPr>
            <w:tcW w:w="951" w:type="dxa"/>
            <w:tcMar>
              <w:left w:w="108" w:type="dxa"/>
              <w:right w:w="108" w:type="dxa"/>
            </w:tcMar>
            <w:vAlign w:val="center"/>
          </w:tcPr>
          <w:p w14:paraId="43D0850F">
            <w:pPr>
              <w:spacing w:line="340" w:lineRule="exact"/>
              <w:ind w:firstLine="0" w:firstLineChars="0"/>
              <w:jc w:val="center"/>
              <w:rPr>
                <w:rFonts w:eastAsia="方正仿宋简体"/>
                <w:color w:val="000000"/>
                <w:sz w:val="21"/>
                <w:szCs w:val="21"/>
              </w:rPr>
            </w:pPr>
            <w:r>
              <w:rPr>
                <w:rFonts w:eastAsia="方正仿宋简体"/>
                <w:color w:val="000000"/>
                <w:sz w:val="21"/>
                <w:szCs w:val="21"/>
              </w:rPr>
              <w:t>91.7</w:t>
            </w:r>
          </w:p>
        </w:tc>
        <w:tc>
          <w:tcPr>
            <w:tcW w:w="880" w:type="dxa"/>
            <w:tcMar>
              <w:left w:w="108" w:type="dxa"/>
              <w:right w:w="108" w:type="dxa"/>
            </w:tcMar>
            <w:vAlign w:val="center"/>
          </w:tcPr>
          <w:p w14:paraId="598BE66C">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879" w:type="dxa"/>
            <w:tcMar>
              <w:left w:w="108" w:type="dxa"/>
              <w:right w:w="108" w:type="dxa"/>
            </w:tcMar>
            <w:vAlign w:val="center"/>
          </w:tcPr>
          <w:p w14:paraId="10A389CF">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797" w:type="dxa"/>
            <w:tcMar>
              <w:left w:w="108" w:type="dxa"/>
              <w:right w:w="108" w:type="dxa"/>
            </w:tcMar>
            <w:vAlign w:val="center"/>
          </w:tcPr>
          <w:p w14:paraId="5C29AE41">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1127" w:type="dxa"/>
            <w:tcMar>
              <w:left w:w="108" w:type="dxa"/>
              <w:right w:w="108" w:type="dxa"/>
            </w:tcMar>
            <w:vAlign w:val="center"/>
          </w:tcPr>
          <w:p w14:paraId="48B62C40">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预期性</w:t>
            </w:r>
          </w:p>
        </w:tc>
      </w:tr>
      <w:tr w14:paraId="7A30E4FC">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4D011F7E">
            <w:pPr>
              <w:spacing w:line="340" w:lineRule="exact"/>
              <w:ind w:firstLine="0" w:firstLineChars="0"/>
              <w:jc w:val="center"/>
              <w:rPr>
                <w:rFonts w:eastAsia="方正仿宋简体"/>
                <w:color w:val="000000"/>
                <w:sz w:val="21"/>
                <w:szCs w:val="21"/>
              </w:rPr>
            </w:pPr>
            <w:r>
              <w:rPr>
                <w:rFonts w:eastAsia="方正仿宋简体"/>
                <w:color w:val="000000"/>
                <w:sz w:val="21"/>
                <w:szCs w:val="21"/>
              </w:rPr>
              <w:t>7</w:t>
            </w:r>
          </w:p>
        </w:tc>
        <w:tc>
          <w:tcPr>
            <w:tcW w:w="2190" w:type="dxa"/>
            <w:tcMar>
              <w:left w:w="108" w:type="dxa"/>
              <w:right w:w="108" w:type="dxa"/>
            </w:tcMar>
            <w:vAlign w:val="center"/>
          </w:tcPr>
          <w:p w14:paraId="6E4ECC60">
            <w:pPr>
              <w:spacing w:line="340" w:lineRule="exact"/>
              <w:ind w:firstLine="0" w:firstLineChars="0"/>
              <w:jc w:val="left"/>
              <w:textAlignment w:val="center"/>
              <w:rPr>
                <w:rFonts w:eastAsia="方正仿宋简体"/>
                <w:color w:val="000000"/>
                <w:spacing w:val="-11"/>
                <w:sz w:val="21"/>
                <w:szCs w:val="21"/>
              </w:rPr>
            </w:pPr>
            <w:r>
              <w:rPr>
                <w:rFonts w:hint="eastAsia" w:eastAsia="方正仿宋简体"/>
                <w:color w:val="000000"/>
                <w:sz w:val="21"/>
                <w:szCs w:val="21"/>
              </w:rPr>
              <w:t>乡镇（街道）未成年人保护工作站覆盖率</w:t>
            </w:r>
          </w:p>
        </w:tc>
        <w:tc>
          <w:tcPr>
            <w:tcW w:w="780" w:type="dxa"/>
            <w:tcMar>
              <w:left w:w="108" w:type="dxa"/>
              <w:right w:w="108" w:type="dxa"/>
            </w:tcMar>
            <w:vAlign w:val="center"/>
          </w:tcPr>
          <w:p w14:paraId="4CDE51CF">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30455450">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w:t>
            </w:r>
          </w:p>
        </w:tc>
        <w:tc>
          <w:tcPr>
            <w:tcW w:w="885" w:type="dxa"/>
            <w:tcMar>
              <w:left w:w="108" w:type="dxa"/>
              <w:right w:w="108" w:type="dxa"/>
            </w:tcMar>
            <w:vAlign w:val="center"/>
          </w:tcPr>
          <w:p w14:paraId="311B24E6">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20</w:t>
            </w:r>
          </w:p>
        </w:tc>
        <w:tc>
          <w:tcPr>
            <w:tcW w:w="951" w:type="dxa"/>
            <w:tcMar>
              <w:left w:w="108" w:type="dxa"/>
              <w:right w:w="108" w:type="dxa"/>
            </w:tcMar>
            <w:vAlign w:val="center"/>
          </w:tcPr>
          <w:p w14:paraId="42A20F85">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30</w:t>
            </w:r>
          </w:p>
        </w:tc>
        <w:tc>
          <w:tcPr>
            <w:tcW w:w="880" w:type="dxa"/>
            <w:tcMar>
              <w:left w:w="108" w:type="dxa"/>
              <w:right w:w="108" w:type="dxa"/>
            </w:tcMar>
            <w:vAlign w:val="center"/>
          </w:tcPr>
          <w:p w14:paraId="41F386A2">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40</w:t>
            </w:r>
          </w:p>
        </w:tc>
        <w:tc>
          <w:tcPr>
            <w:tcW w:w="879" w:type="dxa"/>
            <w:tcMar>
              <w:left w:w="108" w:type="dxa"/>
              <w:right w:w="108" w:type="dxa"/>
            </w:tcMar>
            <w:vAlign w:val="center"/>
          </w:tcPr>
          <w:p w14:paraId="4A3845BA">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50</w:t>
            </w:r>
          </w:p>
        </w:tc>
        <w:tc>
          <w:tcPr>
            <w:tcW w:w="797" w:type="dxa"/>
            <w:tcMar>
              <w:left w:w="108" w:type="dxa"/>
              <w:right w:w="108" w:type="dxa"/>
            </w:tcMar>
            <w:vAlign w:val="center"/>
          </w:tcPr>
          <w:p w14:paraId="0F2FA02E">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60</w:t>
            </w:r>
          </w:p>
        </w:tc>
        <w:tc>
          <w:tcPr>
            <w:tcW w:w="1127" w:type="dxa"/>
            <w:tcMar>
              <w:left w:w="108" w:type="dxa"/>
              <w:right w:w="108" w:type="dxa"/>
            </w:tcMar>
            <w:vAlign w:val="center"/>
          </w:tcPr>
          <w:p w14:paraId="3B131EBF">
            <w:pPr>
              <w:spacing w:line="340" w:lineRule="exact"/>
              <w:ind w:firstLine="0" w:firstLineChars="0"/>
              <w:jc w:val="center"/>
              <w:textAlignment w:val="center"/>
              <w:rPr>
                <w:rFonts w:eastAsia="方正仿宋简体"/>
                <w:color w:val="000000"/>
                <w:sz w:val="21"/>
                <w:szCs w:val="21"/>
              </w:rPr>
            </w:pPr>
            <w:r>
              <w:rPr>
                <w:rFonts w:hint="eastAsia" w:eastAsia="方正仿宋简体"/>
                <w:color w:val="000000"/>
                <w:sz w:val="21"/>
                <w:szCs w:val="21"/>
              </w:rPr>
              <w:t>预期性</w:t>
            </w:r>
          </w:p>
        </w:tc>
      </w:tr>
      <w:tr w14:paraId="2099D64C">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47D05F75">
            <w:pPr>
              <w:spacing w:line="340" w:lineRule="exact"/>
              <w:ind w:firstLine="0" w:firstLineChars="0"/>
              <w:jc w:val="center"/>
              <w:rPr>
                <w:rFonts w:eastAsia="方正仿宋简体"/>
                <w:color w:val="000000"/>
                <w:sz w:val="21"/>
                <w:szCs w:val="21"/>
              </w:rPr>
            </w:pPr>
            <w:r>
              <w:rPr>
                <w:rFonts w:eastAsia="方正仿宋简体"/>
                <w:color w:val="000000"/>
                <w:sz w:val="21"/>
                <w:szCs w:val="21"/>
              </w:rPr>
              <w:t>8</w:t>
            </w:r>
          </w:p>
        </w:tc>
        <w:tc>
          <w:tcPr>
            <w:tcW w:w="2190" w:type="dxa"/>
            <w:tcMar>
              <w:left w:w="108" w:type="dxa"/>
              <w:right w:w="108" w:type="dxa"/>
            </w:tcMar>
            <w:vAlign w:val="center"/>
          </w:tcPr>
          <w:p w14:paraId="1656A07B">
            <w:pPr>
              <w:spacing w:line="340" w:lineRule="exact"/>
              <w:ind w:firstLine="0" w:firstLineChars="0"/>
              <w:jc w:val="left"/>
              <w:rPr>
                <w:rFonts w:eastAsia="方正仿宋简体"/>
                <w:color w:val="000000"/>
                <w:sz w:val="21"/>
                <w:szCs w:val="21"/>
              </w:rPr>
            </w:pPr>
            <w:r>
              <w:rPr>
                <w:rFonts w:hint="eastAsia" w:eastAsia="方正仿宋简体"/>
                <w:color w:val="000000"/>
                <w:sz w:val="21"/>
                <w:szCs w:val="21"/>
              </w:rPr>
              <w:t>节地生态安葬率</w:t>
            </w:r>
          </w:p>
        </w:tc>
        <w:tc>
          <w:tcPr>
            <w:tcW w:w="780" w:type="dxa"/>
            <w:tcMar>
              <w:left w:w="108" w:type="dxa"/>
              <w:right w:w="108" w:type="dxa"/>
            </w:tcMar>
            <w:vAlign w:val="center"/>
          </w:tcPr>
          <w:p w14:paraId="2FAA9C6E">
            <w:pPr>
              <w:spacing w:line="340" w:lineRule="exact"/>
              <w:ind w:firstLine="0" w:firstLineChars="0"/>
              <w:jc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5694FC0F">
            <w:pPr>
              <w:spacing w:line="340" w:lineRule="exact"/>
              <w:ind w:firstLine="0" w:firstLineChars="0"/>
              <w:jc w:val="center"/>
              <w:rPr>
                <w:rFonts w:eastAsia="方正仿宋简体"/>
                <w:color w:val="000000"/>
                <w:sz w:val="21"/>
                <w:szCs w:val="21"/>
              </w:rPr>
            </w:pPr>
            <w:r>
              <w:rPr>
                <w:rFonts w:eastAsia="方正仿宋简体"/>
                <w:color w:val="000000"/>
                <w:sz w:val="21"/>
                <w:szCs w:val="21"/>
              </w:rPr>
              <w:t>89</w:t>
            </w:r>
          </w:p>
        </w:tc>
        <w:tc>
          <w:tcPr>
            <w:tcW w:w="885" w:type="dxa"/>
            <w:tcMar>
              <w:left w:w="108" w:type="dxa"/>
              <w:right w:w="108" w:type="dxa"/>
            </w:tcMar>
            <w:vAlign w:val="center"/>
          </w:tcPr>
          <w:p w14:paraId="649DB7FA">
            <w:pPr>
              <w:spacing w:line="340" w:lineRule="exact"/>
              <w:ind w:firstLine="0" w:firstLineChars="0"/>
              <w:jc w:val="center"/>
              <w:rPr>
                <w:rFonts w:eastAsia="方正仿宋简体"/>
                <w:color w:val="000000"/>
                <w:sz w:val="21"/>
                <w:szCs w:val="21"/>
              </w:rPr>
            </w:pPr>
            <w:r>
              <w:rPr>
                <w:rFonts w:eastAsia="方正仿宋简体"/>
                <w:color w:val="000000"/>
                <w:sz w:val="21"/>
                <w:szCs w:val="21"/>
              </w:rPr>
              <w:t>89.2</w:t>
            </w:r>
          </w:p>
        </w:tc>
        <w:tc>
          <w:tcPr>
            <w:tcW w:w="951" w:type="dxa"/>
            <w:tcMar>
              <w:left w:w="108" w:type="dxa"/>
              <w:right w:w="108" w:type="dxa"/>
            </w:tcMar>
            <w:vAlign w:val="center"/>
          </w:tcPr>
          <w:p w14:paraId="6C3C277D">
            <w:pPr>
              <w:spacing w:line="340" w:lineRule="exact"/>
              <w:ind w:firstLine="0" w:firstLineChars="0"/>
              <w:jc w:val="center"/>
              <w:rPr>
                <w:rFonts w:eastAsia="方正仿宋简体"/>
                <w:color w:val="000000"/>
                <w:sz w:val="21"/>
                <w:szCs w:val="21"/>
              </w:rPr>
            </w:pPr>
            <w:r>
              <w:rPr>
                <w:rFonts w:eastAsia="方正仿宋简体"/>
                <w:color w:val="000000"/>
                <w:sz w:val="21"/>
                <w:szCs w:val="21"/>
              </w:rPr>
              <w:t>89.4</w:t>
            </w:r>
          </w:p>
        </w:tc>
        <w:tc>
          <w:tcPr>
            <w:tcW w:w="880" w:type="dxa"/>
            <w:tcMar>
              <w:left w:w="108" w:type="dxa"/>
              <w:right w:w="108" w:type="dxa"/>
            </w:tcMar>
            <w:vAlign w:val="center"/>
          </w:tcPr>
          <w:p w14:paraId="4013FF55">
            <w:pPr>
              <w:spacing w:line="340" w:lineRule="exact"/>
              <w:ind w:firstLine="0" w:firstLineChars="0"/>
              <w:jc w:val="center"/>
              <w:rPr>
                <w:rFonts w:eastAsia="方正仿宋简体"/>
                <w:color w:val="000000"/>
                <w:sz w:val="21"/>
                <w:szCs w:val="21"/>
              </w:rPr>
            </w:pPr>
            <w:r>
              <w:rPr>
                <w:rFonts w:eastAsia="方正仿宋简体"/>
                <w:color w:val="000000"/>
                <w:sz w:val="21"/>
                <w:szCs w:val="21"/>
              </w:rPr>
              <w:t>89.6</w:t>
            </w:r>
          </w:p>
        </w:tc>
        <w:tc>
          <w:tcPr>
            <w:tcW w:w="879" w:type="dxa"/>
            <w:tcMar>
              <w:left w:w="108" w:type="dxa"/>
              <w:right w:w="108" w:type="dxa"/>
            </w:tcMar>
            <w:vAlign w:val="center"/>
          </w:tcPr>
          <w:p w14:paraId="623F65F6">
            <w:pPr>
              <w:spacing w:line="340" w:lineRule="exact"/>
              <w:ind w:firstLine="0" w:firstLineChars="0"/>
              <w:jc w:val="center"/>
              <w:rPr>
                <w:rFonts w:eastAsia="方正仿宋简体"/>
                <w:color w:val="000000"/>
                <w:sz w:val="21"/>
                <w:szCs w:val="21"/>
              </w:rPr>
            </w:pPr>
            <w:r>
              <w:rPr>
                <w:rFonts w:eastAsia="方正仿宋简体"/>
                <w:color w:val="000000"/>
                <w:sz w:val="21"/>
                <w:szCs w:val="21"/>
              </w:rPr>
              <w:t>89.8</w:t>
            </w:r>
          </w:p>
        </w:tc>
        <w:tc>
          <w:tcPr>
            <w:tcW w:w="797" w:type="dxa"/>
            <w:tcMar>
              <w:left w:w="108" w:type="dxa"/>
              <w:right w:w="108" w:type="dxa"/>
            </w:tcMar>
            <w:vAlign w:val="center"/>
          </w:tcPr>
          <w:p w14:paraId="74C3C7A6">
            <w:pPr>
              <w:spacing w:line="340" w:lineRule="exact"/>
              <w:ind w:firstLine="0" w:firstLineChars="0"/>
              <w:jc w:val="center"/>
              <w:rPr>
                <w:rFonts w:eastAsia="方正仿宋简体"/>
                <w:color w:val="000000"/>
                <w:sz w:val="21"/>
                <w:szCs w:val="21"/>
              </w:rPr>
            </w:pPr>
            <w:r>
              <w:rPr>
                <w:rFonts w:eastAsia="方正仿宋简体"/>
                <w:color w:val="000000"/>
                <w:sz w:val="21"/>
                <w:szCs w:val="21"/>
              </w:rPr>
              <w:t>90</w:t>
            </w:r>
          </w:p>
        </w:tc>
        <w:tc>
          <w:tcPr>
            <w:tcW w:w="1127" w:type="dxa"/>
            <w:tcMar>
              <w:left w:w="108" w:type="dxa"/>
              <w:right w:w="108" w:type="dxa"/>
            </w:tcMar>
            <w:vAlign w:val="center"/>
          </w:tcPr>
          <w:p w14:paraId="0792CAC6">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预期性</w:t>
            </w:r>
          </w:p>
        </w:tc>
      </w:tr>
      <w:tr w14:paraId="3D5617BD">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0DF6C41B">
            <w:pPr>
              <w:spacing w:line="340" w:lineRule="exact"/>
              <w:ind w:firstLine="0" w:firstLineChars="0"/>
              <w:jc w:val="center"/>
              <w:rPr>
                <w:rFonts w:eastAsia="方正仿宋简体"/>
                <w:color w:val="000000"/>
                <w:sz w:val="21"/>
                <w:szCs w:val="21"/>
              </w:rPr>
            </w:pPr>
            <w:r>
              <w:rPr>
                <w:rFonts w:eastAsia="方正仿宋简体"/>
                <w:color w:val="000000"/>
                <w:sz w:val="21"/>
                <w:szCs w:val="21"/>
              </w:rPr>
              <w:t>9</w:t>
            </w:r>
          </w:p>
        </w:tc>
        <w:tc>
          <w:tcPr>
            <w:tcW w:w="2190" w:type="dxa"/>
            <w:tcMar>
              <w:left w:w="108" w:type="dxa"/>
              <w:right w:w="108" w:type="dxa"/>
            </w:tcMar>
            <w:vAlign w:val="center"/>
          </w:tcPr>
          <w:p w14:paraId="6A0E038E">
            <w:pPr>
              <w:spacing w:line="340" w:lineRule="exact"/>
              <w:ind w:firstLine="0" w:firstLineChars="0"/>
              <w:jc w:val="left"/>
              <w:rPr>
                <w:rFonts w:eastAsia="方正仿宋简体"/>
                <w:color w:val="000000"/>
                <w:sz w:val="21"/>
                <w:szCs w:val="21"/>
              </w:rPr>
            </w:pPr>
            <w:r>
              <w:rPr>
                <w:rFonts w:hint="eastAsia" w:eastAsia="方正仿宋简体"/>
                <w:color w:val="000000"/>
                <w:kern w:val="0"/>
                <w:sz w:val="21"/>
                <w:szCs w:val="21"/>
              </w:rPr>
              <w:t>县级公益性安葬（放）设施覆盖率</w:t>
            </w:r>
          </w:p>
        </w:tc>
        <w:tc>
          <w:tcPr>
            <w:tcW w:w="780" w:type="dxa"/>
            <w:tcMar>
              <w:left w:w="108" w:type="dxa"/>
              <w:right w:w="108" w:type="dxa"/>
            </w:tcMar>
            <w:vAlign w:val="center"/>
          </w:tcPr>
          <w:p w14:paraId="148B39C9">
            <w:pPr>
              <w:spacing w:line="340" w:lineRule="exact"/>
              <w:ind w:firstLine="0" w:firstLineChars="0"/>
              <w:jc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4FF64D68">
            <w:pPr>
              <w:spacing w:line="340" w:lineRule="exact"/>
              <w:ind w:firstLine="0" w:firstLineChars="0"/>
              <w:jc w:val="center"/>
              <w:rPr>
                <w:rFonts w:eastAsia="方正仿宋简体"/>
                <w:color w:val="000000"/>
                <w:sz w:val="21"/>
                <w:szCs w:val="21"/>
              </w:rPr>
            </w:pPr>
            <w:r>
              <w:rPr>
                <w:rFonts w:eastAsia="方正仿宋简体"/>
                <w:color w:val="000000"/>
                <w:kern w:val="0"/>
                <w:sz w:val="21"/>
                <w:szCs w:val="21"/>
              </w:rPr>
              <w:t>100</w:t>
            </w:r>
          </w:p>
        </w:tc>
        <w:tc>
          <w:tcPr>
            <w:tcW w:w="885" w:type="dxa"/>
            <w:tcMar>
              <w:left w:w="108" w:type="dxa"/>
              <w:right w:w="108" w:type="dxa"/>
            </w:tcMar>
            <w:vAlign w:val="center"/>
          </w:tcPr>
          <w:p w14:paraId="2C684391">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951" w:type="dxa"/>
            <w:tcMar>
              <w:left w:w="108" w:type="dxa"/>
              <w:right w:w="108" w:type="dxa"/>
            </w:tcMar>
            <w:vAlign w:val="center"/>
          </w:tcPr>
          <w:p w14:paraId="2EC5177F">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880" w:type="dxa"/>
            <w:tcMar>
              <w:left w:w="108" w:type="dxa"/>
              <w:right w:w="108" w:type="dxa"/>
            </w:tcMar>
            <w:vAlign w:val="center"/>
          </w:tcPr>
          <w:p w14:paraId="21ACB441">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879" w:type="dxa"/>
            <w:tcMar>
              <w:left w:w="108" w:type="dxa"/>
              <w:right w:w="108" w:type="dxa"/>
            </w:tcMar>
            <w:vAlign w:val="center"/>
          </w:tcPr>
          <w:p w14:paraId="5BF21EE1">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797" w:type="dxa"/>
            <w:tcMar>
              <w:left w:w="108" w:type="dxa"/>
              <w:right w:w="108" w:type="dxa"/>
            </w:tcMar>
            <w:vAlign w:val="center"/>
          </w:tcPr>
          <w:p w14:paraId="22016168">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1127" w:type="dxa"/>
            <w:tcMar>
              <w:left w:w="108" w:type="dxa"/>
              <w:right w:w="108" w:type="dxa"/>
            </w:tcMar>
            <w:vAlign w:val="center"/>
          </w:tcPr>
          <w:p w14:paraId="18B5E62B">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约束性</w:t>
            </w:r>
          </w:p>
        </w:tc>
      </w:tr>
      <w:tr w14:paraId="3627F996">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4FC58A47">
            <w:pPr>
              <w:spacing w:line="340" w:lineRule="exact"/>
              <w:ind w:firstLine="0" w:firstLineChars="0"/>
              <w:jc w:val="center"/>
              <w:rPr>
                <w:rFonts w:eastAsia="方正仿宋简体"/>
                <w:color w:val="000000"/>
                <w:sz w:val="21"/>
                <w:szCs w:val="21"/>
              </w:rPr>
            </w:pPr>
            <w:r>
              <w:rPr>
                <w:rFonts w:eastAsia="方正仿宋简体"/>
                <w:color w:val="000000"/>
                <w:sz w:val="21"/>
                <w:szCs w:val="21"/>
              </w:rPr>
              <w:t>10</w:t>
            </w:r>
          </w:p>
        </w:tc>
        <w:tc>
          <w:tcPr>
            <w:tcW w:w="2190" w:type="dxa"/>
            <w:tcMar>
              <w:left w:w="108" w:type="dxa"/>
              <w:right w:w="108" w:type="dxa"/>
            </w:tcMar>
            <w:vAlign w:val="center"/>
          </w:tcPr>
          <w:p w14:paraId="01A88EDF">
            <w:pPr>
              <w:spacing w:line="340" w:lineRule="exact"/>
              <w:ind w:firstLine="0" w:firstLineChars="0"/>
              <w:jc w:val="left"/>
              <w:rPr>
                <w:rFonts w:eastAsia="方正仿宋简体"/>
                <w:color w:val="000000"/>
                <w:sz w:val="21"/>
                <w:szCs w:val="21"/>
              </w:rPr>
            </w:pPr>
            <w:r>
              <w:rPr>
                <w:rFonts w:hint="eastAsia" w:eastAsia="方正仿宋简体"/>
                <w:color w:val="000000"/>
                <w:sz w:val="21"/>
                <w:szCs w:val="21"/>
              </w:rPr>
              <w:t>福利彩票销售网点数</w:t>
            </w:r>
          </w:p>
        </w:tc>
        <w:tc>
          <w:tcPr>
            <w:tcW w:w="780" w:type="dxa"/>
            <w:tcMar>
              <w:left w:w="108" w:type="dxa"/>
              <w:right w:w="108" w:type="dxa"/>
            </w:tcMar>
            <w:vAlign w:val="center"/>
          </w:tcPr>
          <w:p w14:paraId="3DA36F23">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个</w:t>
            </w:r>
          </w:p>
        </w:tc>
        <w:tc>
          <w:tcPr>
            <w:tcW w:w="950" w:type="dxa"/>
            <w:tcMar>
              <w:left w:w="108" w:type="dxa"/>
              <w:right w:w="108" w:type="dxa"/>
            </w:tcMar>
            <w:vAlign w:val="center"/>
          </w:tcPr>
          <w:p w14:paraId="55CDD509">
            <w:pPr>
              <w:spacing w:line="340" w:lineRule="exact"/>
              <w:ind w:firstLine="0" w:firstLineChars="0"/>
              <w:jc w:val="center"/>
              <w:textAlignment w:val="center"/>
              <w:rPr>
                <w:rFonts w:eastAsia="方正仿宋简体"/>
                <w:color w:val="000000"/>
                <w:sz w:val="21"/>
                <w:szCs w:val="21"/>
              </w:rPr>
            </w:pPr>
            <w:r>
              <w:rPr>
                <w:rFonts w:eastAsia="方正仿宋简体"/>
                <w:color w:val="000000"/>
                <w:kern w:val="0"/>
                <w:sz w:val="21"/>
                <w:szCs w:val="21"/>
              </w:rPr>
              <w:t>1088</w:t>
            </w:r>
          </w:p>
        </w:tc>
        <w:tc>
          <w:tcPr>
            <w:tcW w:w="885" w:type="dxa"/>
            <w:tcMar>
              <w:left w:w="108" w:type="dxa"/>
              <w:right w:w="108" w:type="dxa"/>
            </w:tcMar>
            <w:vAlign w:val="center"/>
          </w:tcPr>
          <w:p w14:paraId="7B0B92DD">
            <w:pPr>
              <w:spacing w:line="340" w:lineRule="exact"/>
              <w:ind w:firstLine="0" w:firstLineChars="0"/>
              <w:jc w:val="center"/>
              <w:rPr>
                <w:rFonts w:eastAsia="方正仿宋简体"/>
                <w:color w:val="000000"/>
                <w:sz w:val="21"/>
                <w:szCs w:val="21"/>
              </w:rPr>
            </w:pPr>
            <w:r>
              <w:rPr>
                <w:rFonts w:eastAsia="方正仿宋简体"/>
                <w:color w:val="000000"/>
                <w:sz w:val="21"/>
                <w:szCs w:val="21"/>
              </w:rPr>
              <w:t>1108</w:t>
            </w:r>
          </w:p>
        </w:tc>
        <w:tc>
          <w:tcPr>
            <w:tcW w:w="951" w:type="dxa"/>
            <w:tcMar>
              <w:left w:w="108" w:type="dxa"/>
              <w:right w:w="108" w:type="dxa"/>
            </w:tcMar>
            <w:vAlign w:val="center"/>
          </w:tcPr>
          <w:p w14:paraId="7EBD2096">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1128</w:t>
            </w:r>
          </w:p>
        </w:tc>
        <w:tc>
          <w:tcPr>
            <w:tcW w:w="880" w:type="dxa"/>
            <w:tcMar>
              <w:left w:w="108" w:type="dxa"/>
              <w:right w:w="108" w:type="dxa"/>
            </w:tcMar>
            <w:vAlign w:val="center"/>
          </w:tcPr>
          <w:p w14:paraId="0104A8C3">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1148</w:t>
            </w:r>
          </w:p>
        </w:tc>
        <w:tc>
          <w:tcPr>
            <w:tcW w:w="879" w:type="dxa"/>
            <w:tcMar>
              <w:left w:w="108" w:type="dxa"/>
              <w:right w:w="108" w:type="dxa"/>
            </w:tcMar>
            <w:vAlign w:val="center"/>
          </w:tcPr>
          <w:p w14:paraId="6ED03A67">
            <w:pPr>
              <w:spacing w:line="340" w:lineRule="exact"/>
              <w:ind w:firstLine="0" w:firstLineChars="0"/>
              <w:jc w:val="center"/>
              <w:textAlignment w:val="center"/>
              <w:rPr>
                <w:rFonts w:eastAsia="方正仿宋简体"/>
                <w:color w:val="000000"/>
                <w:sz w:val="21"/>
                <w:szCs w:val="21"/>
              </w:rPr>
            </w:pPr>
            <w:r>
              <w:rPr>
                <w:rFonts w:eastAsia="方正仿宋简体"/>
                <w:color w:val="000000"/>
                <w:sz w:val="21"/>
                <w:szCs w:val="21"/>
              </w:rPr>
              <w:t>1168</w:t>
            </w:r>
          </w:p>
        </w:tc>
        <w:tc>
          <w:tcPr>
            <w:tcW w:w="797" w:type="dxa"/>
            <w:tcMar>
              <w:left w:w="108" w:type="dxa"/>
              <w:right w:w="108" w:type="dxa"/>
            </w:tcMar>
            <w:vAlign w:val="center"/>
          </w:tcPr>
          <w:p w14:paraId="60A40FAD">
            <w:pPr>
              <w:spacing w:line="340" w:lineRule="exact"/>
              <w:ind w:firstLine="0" w:firstLineChars="0"/>
              <w:jc w:val="center"/>
              <w:rPr>
                <w:rFonts w:eastAsia="方正仿宋简体"/>
                <w:color w:val="000000"/>
                <w:sz w:val="21"/>
                <w:szCs w:val="21"/>
              </w:rPr>
            </w:pPr>
            <w:r>
              <w:rPr>
                <w:rFonts w:eastAsia="方正仿宋简体"/>
                <w:color w:val="000000"/>
                <w:sz w:val="21"/>
                <w:szCs w:val="21"/>
              </w:rPr>
              <w:t>1188</w:t>
            </w:r>
          </w:p>
        </w:tc>
        <w:tc>
          <w:tcPr>
            <w:tcW w:w="1127" w:type="dxa"/>
            <w:tcMar>
              <w:left w:w="108" w:type="dxa"/>
              <w:right w:w="108" w:type="dxa"/>
            </w:tcMar>
            <w:vAlign w:val="center"/>
          </w:tcPr>
          <w:p w14:paraId="4AEF94F2">
            <w:pPr>
              <w:spacing w:line="340" w:lineRule="exact"/>
              <w:ind w:firstLine="0" w:firstLineChars="0"/>
              <w:jc w:val="center"/>
              <w:textAlignment w:val="center"/>
              <w:rPr>
                <w:rFonts w:eastAsia="方正仿宋简体"/>
                <w:color w:val="000000"/>
                <w:sz w:val="21"/>
                <w:szCs w:val="21"/>
              </w:rPr>
            </w:pPr>
            <w:r>
              <w:rPr>
                <w:rFonts w:hint="eastAsia" w:eastAsia="方正仿宋简体"/>
                <w:color w:val="000000"/>
                <w:sz w:val="21"/>
                <w:szCs w:val="21"/>
              </w:rPr>
              <w:t>预期性</w:t>
            </w:r>
          </w:p>
        </w:tc>
      </w:tr>
      <w:tr w14:paraId="6EC83103">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7F04FCE5">
            <w:pPr>
              <w:spacing w:line="340" w:lineRule="exact"/>
              <w:ind w:firstLine="0" w:firstLineChars="0"/>
              <w:jc w:val="center"/>
              <w:rPr>
                <w:rFonts w:eastAsia="方正仿宋简体"/>
                <w:color w:val="000000"/>
                <w:sz w:val="21"/>
                <w:szCs w:val="21"/>
              </w:rPr>
            </w:pPr>
            <w:r>
              <w:rPr>
                <w:rFonts w:eastAsia="方正仿宋简体"/>
                <w:color w:val="000000"/>
                <w:sz w:val="21"/>
                <w:szCs w:val="21"/>
              </w:rPr>
              <w:t>11</w:t>
            </w:r>
          </w:p>
        </w:tc>
        <w:tc>
          <w:tcPr>
            <w:tcW w:w="2190" w:type="dxa"/>
            <w:tcMar>
              <w:left w:w="108" w:type="dxa"/>
              <w:right w:w="108" w:type="dxa"/>
            </w:tcMar>
            <w:vAlign w:val="center"/>
          </w:tcPr>
          <w:p w14:paraId="29A2F724">
            <w:pPr>
              <w:spacing w:line="340" w:lineRule="exact"/>
              <w:ind w:firstLine="0" w:firstLineChars="0"/>
              <w:jc w:val="left"/>
              <w:textAlignment w:val="center"/>
              <w:rPr>
                <w:rFonts w:eastAsia="方正仿宋简体"/>
                <w:color w:val="000000"/>
                <w:spacing w:val="-10"/>
                <w:sz w:val="21"/>
                <w:szCs w:val="21"/>
              </w:rPr>
            </w:pPr>
            <w:r>
              <w:rPr>
                <w:rFonts w:hint="eastAsia" w:eastAsia="方正仿宋简体"/>
                <w:color w:val="000000"/>
                <w:sz w:val="21"/>
                <w:szCs w:val="21"/>
              </w:rPr>
              <w:t>查明身份信息流浪乞讨受助人员接送返回率</w:t>
            </w:r>
          </w:p>
        </w:tc>
        <w:tc>
          <w:tcPr>
            <w:tcW w:w="780" w:type="dxa"/>
            <w:tcMar>
              <w:left w:w="108" w:type="dxa"/>
              <w:right w:w="108" w:type="dxa"/>
            </w:tcMar>
            <w:vAlign w:val="center"/>
          </w:tcPr>
          <w:p w14:paraId="3479766C">
            <w:pPr>
              <w:spacing w:line="340" w:lineRule="exact"/>
              <w:ind w:firstLine="0" w:firstLineChars="0"/>
              <w:jc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5A9221E3">
            <w:pPr>
              <w:spacing w:line="340" w:lineRule="exact"/>
              <w:ind w:firstLine="0" w:firstLineChars="0"/>
              <w:jc w:val="center"/>
              <w:rPr>
                <w:rFonts w:eastAsia="方正仿宋简体"/>
                <w:color w:val="000000"/>
                <w:sz w:val="24"/>
                <w:szCs w:val="24"/>
              </w:rPr>
            </w:pPr>
            <w:r>
              <w:rPr>
                <w:rFonts w:eastAsia="方正仿宋简体"/>
                <w:color w:val="000000"/>
                <w:kern w:val="0"/>
                <w:sz w:val="24"/>
                <w:szCs w:val="24"/>
              </w:rPr>
              <w:t>93.5</w:t>
            </w:r>
          </w:p>
        </w:tc>
        <w:tc>
          <w:tcPr>
            <w:tcW w:w="885" w:type="dxa"/>
            <w:tcMar>
              <w:left w:w="108" w:type="dxa"/>
              <w:right w:w="108" w:type="dxa"/>
            </w:tcMar>
            <w:vAlign w:val="center"/>
          </w:tcPr>
          <w:p w14:paraId="5346FF6F">
            <w:pPr>
              <w:spacing w:line="340" w:lineRule="exact"/>
              <w:ind w:firstLine="0" w:firstLineChars="0"/>
              <w:jc w:val="center"/>
              <w:rPr>
                <w:rFonts w:eastAsia="方正仿宋简体"/>
                <w:color w:val="000000"/>
                <w:sz w:val="21"/>
                <w:szCs w:val="21"/>
              </w:rPr>
            </w:pPr>
            <w:r>
              <w:rPr>
                <w:rFonts w:eastAsia="方正仿宋简体"/>
                <w:color w:val="000000"/>
                <w:sz w:val="21"/>
                <w:szCs w:val="21"/>
              </w:rPr>
              <w:t>94</w:t>
            </w:r>
          </w:p>
        </w:tc>
        <w:tc>
          <w:tcPr>
            <w:tcW w:w="951" w:type="dxa"/>
            <w:tcMar>
              <w:left w:w="108" w:type="dxa"/>
              <w:right w:w="108" w:type="dxa"/>
            </w:tcMar>
            <w:vAlign w:val="center"/>
          </w:tcPr>
          <w:p w14:paraId="75776C86">
            <w:pPr>
              <w:spacing w:line="340" w:lineRule="exact"/>
              <w:ind w:firstLine="0" w:firstLineChars="0"/>
              <w:jc w:val="center"/>
              <w:rPr>
                <w:rFonts w:eastAsia="方正仿宋简体"/>
                <w:color w:val="000000"/>
                <w:sz w:val="21"/>
                <w:szCs w:val="21"/>
              </w:rPr>
            </w:pPr>
            <w:r>
              <w:rPr>
                <w:rFonts w:eastAsia="方正仿宋简体"/>
                <w:color w:val="000000"/>
                <w:sz w:val="21"/>
                <w:szCs w:val="21"/>
              </w:rPr>
              <w:t>95</w:t>
            </w:r>
          </w:p>
        </w:tc>
        <w:tc>
          <w:tcPr>
            <w:tcW w:w="880" w:type="dxa"/>
            <w:tcMar>
              <w:left w:w="108" w:type="dxa"/>
              <w:right w:w="108" w:type="dxa"/>
            </w:tcMar>
            <w:vAlign w:val="center"/>
          </w:tcPr>
          <w:p w14:paraId="059CB364">
            <w:pPr>
              <w:spacing w:line="340" w:lineRule="exact"/>
              <w:ind w:firstLine="0" w:firstLineChars="0"/>
              <w:jc w:val="center"/>
              <w:rPr>
                <w:rFonts w:eastAsia="方正仿宋简体"/>
                <w:color w:val="000000"/>
                <w:sz w:val="21"/>
                <w:szCs w:val="21"/>
              </w:rPr>
            </w:pPr>
            <w:r>
              <w:rPr>
                <w:rFonts w:eastAsia="方正仿宋简体"/>
                <w:color w:val="000000"/>
                <w:sz w:val="21"/>
                <w:szCs w:val="21"/>
              </w:rPr>
              <w:t>97</w:t>
            </w:r>
          </w:p>
        </w:tc>
        <w:tc>
          <w:tcPr>
            <w:tcW w:w="879" w:type="dxa"/>
            <w:tcMar>
              <w:left w:w="108" w:type="dxa"/>
              <w:right w:w="108" w:type="dxa"/>
            </w:tcMar>
            <w:vAlign w:val="center"/>
          </w:tcPr>
          <w:p w14:paraId="097771B2">
            <w:pPr>
              <w:spacing w:line="340" w:lineRule="exact"/>
              <w:ind w:firstLine="0" w:firstLineChars="0"/>
              <w:jc w:val="center"/>
              <w:rPr>
                <w:rFonts w:eastAsia="方正仿宋简体"/>
                <w:color w:val="000000"/>
                <w:sz w:val="21"/>
                <w:szCs w:val="21"/>
              </w:rPr>
            </w:pPr>
            <w:r>
              <w:rPr>
                <w:rFonts w:eastAsia="方正仿宋简体"/>
                <w:color w:val="000000"/>
                <w:sz w:val="21"/>
                <w:szCs w:val="21"/>
              </w:rPr>
              <w:t>99</w:t>
            </w:r>
          </w:p>
        </w:tc>
        <w:tc>
          <w:tcPr>
            <w:tcW w:w="797" w:type="dxa"/>
            <w:tcMar>
              <w:left w:w="108" w:type="dxa"/>
              <w:right w:w="108" w:type="dxa"/>
            </w:tcMar>
            <w:vAlign w:val="center"/>
          </w:tcPr>
          <w:p w14:paraId="1573F3F6">
            <w:pPr>
              <w:spacing w:line="340" w:lineRule="exact"/>
              <w:ind w:firstLine="0" w:firstLineChars="0"/>
              <w:jc w:val="center"/>
              <w:rPr>
                <w:rFonts w:eastAsia="方正仿宋简体"/>
                <w:color w:val="000000"/>
                <w:sz w:val="21"/>
                <w:szCs w:val="21"/>
              </w:rPr>
            </w:pPr>
            <w:r>
              <w:rPr>
                <w:rFonts w:eastAsia="方正仿宋简体"/>
                <w:color w:val="000000"/>
                <w:sz w:val="21"/>
                <w:szCs w:val="21"/>
              </w:rPr>
              <w:t>100</w:t>
            </w:r>
          </w:p>
        </w:tc>
        <w:tc>
          <w:tcPr>
            <w:tcW w:w="1127" w:type="dxa"/>
            <w:tcMar>
              <w:left w:w="108" w:type="dxa"/>
              <w:right w:w="108" w:type="dxa"/>
            </w:tcMar>
            <w:vAlign w:val="center"/>
          </w:tcPr>
          <w:p w14:paraId="48D925EE">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约束性</w:t>
            </w:r>
          </w:p>
        </w:tc>
      </w:tr>
      <w:tr w14:paraId="590EA9C6">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66DE6898">
            <w:pPr>
              <w:spacing w:line="340" w:lineRule="exact"/>
              <w:ind w:firstLine="0" w:firstLineChars="0"/>
              <w:jc w:val="center"/>
              <w:rPr>
                <w:rFonts w:eastAsia="方正仿宋简体"/>
                <w:color w:val="000000"/>
                <w:sz w:val="21"/>
                <w:szCs w:val="21"/>
              </w:rPr>
            </w:pPr>
            <w:r>
              <w:rPr>
                <w:rFonts w:eastAsia="方正仿宋简体"/>
                <w:color w:val="000000"/>
                <w:sz w:val="21"/>
                <w:szCs w:val="21"/>
              </w:rPr>
              <w:t>12</w:t>
            </w:r>
          </w:p>
        </w:tc>
        <w:tc>
          <w:tcPr>
            <w:tcW w:w="2190" w:type="dxa"/>
            <w:tcMar>
              <w:left w:w="108" w:type="dxa"/>
              <w:right w:w="108" w:type="dxa"/>
            </w:tcMar>
            <w:vAlign w:val="center"/>
          </w:tcPr>
          <w:p w14:paraId="6E82A145">
            <w:pPr>
              <w:spacing w:line="340" w:lineRule="exact"/>
              <w:ind w:firstLine="0" w:firstLineChars="0"/>
              <w:jc w:val="left"/>
              <w:textAlignment w:val="center"/>
              <w:rPr>
                <w:rFonts w:eastAsia="方正仿宋简体"/>
                <w:color w:val="000000"/>
                <w:spacing w:val="-10"/>
                <w:sz w:val="21"/>
                <w:szCs w:val="21"/>
              </w:rPr>
            </w:pPr>
            <w:r>
              <w:rPr>
                <w:rFonts w:hint="eastAsia" w:eastAsia="方正仿宋简体"/>
                <w:color w:val="000000"/>
                <w:spacing w:val="-10"/>
                <w:sz w:val="21"/>
                <w:szCs w:val="21"/>
              </w:rPr>
              <w:t>社会组织数量</w:t>
            </w:r>
          </w:p>
        </w:tc>
        <w:tc>
          <w:tcPr>
            <w:tcW w:w="780" w:type="dxa"/>
            <w:tcMar>
              <w:left w:w="108" w:type="dxa"/>
              <w:right w:w="108" w:type="dxa"/>
            </w:tcMar>
            <w:vAlign w:val="center"/>
          </w:tcPr>
          <w:p w14:paraId="2686C93D">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个</w:t>
            </w:r>
          </w:p>
        </w:tc>
        <w:tc>
          <w:tcPr>
            <w:tcW w:w="950" w:type="dxa"/>
            <w:tcMar>
              <w:left w:w="108" w:type="dxa"/>
              <w:right w:w="108" w:type="dxa"/>
            </w:tcMar>
            <w:vAlign w:val="center"/>
          </w:tcPr>
          <w:p w14:paraId="5E265883">
            <w:pPr>
              <w:spacing w:line="340" w:lineRule="exact"/>
              <w:ind w:firstLine="0" w:firstLineChars="0"/>
              <w:jc w:val="center"/>
              <w:rPr>
                <w:rFonts w:eastAsia="方正仿宋简体"/>
                <w:color w:val="000000"/>
                <w:sz w:val="21"/>
                <w:szCs w:val="21"/>
              </w:rPr>
            </w:pPr>
            <w:r>
              <w:rPr>
                <w:rFonts w:eastAsia="方正仿宋简体"/>
                <w:color w:val="000000"/>
                <w:sz w:val="21"/>
                <w:szCs w:val="21"/>
              </w:rPr>
              <w:t>6788</w:t>
            </w:r>
          </w:p>
        </w:tc>
        <w:tc>
          <w:tcPr>
            <w:tcW w:w="885" w:type="dxa"/>
            <w:tcMar>
              <w:left w:w="108" w:type="dxa"/>
              <w:right w:w="108" w:type="dxa"/>
            </w:tcMar>
            <w:vAlign w:val="center"/>
          </w:tcPr>
          <w:p w14:paraId="47EC6C27">
            <w:pPr>
              <w:spacing w:line="340" w:lineRule="exact"/>
              <w:ind w:firstLine="0" w:firstLineChars="0"/>
              <w:jc w:val="center"/>
              <w:rPr>
                <w:rFonts w:eastAsia="方正仿宋简体"/>
                <w:color w:val="000000"/>
                <w:sz w:val="21"/>
                <w:szCs w:val="21"/>
              </w:rPr>
            </w:pPr>
            <w:r>
              <w:rPr>
                <w:rFonts w:eastAsia="方正仿宋简体"/>
                <w:color w:val="000000"/>
                <w:sz w:val="21"/>
                <w:szCs w:val="21"/>
              </w:rPr>
              <w:t>6900</w:t>
            </w:r>
          </w:p>
        </w:tc>
        <w:tc>
          <w:tcPr>
            <w:tcW w:w="951" w:type="dxa"/>
            <w:tcMar>
              <w:left w:w="108" w:type="dxa"/>
              <w:right w:w="108" w:type="dxa"/>
            </w:tcMar>
            <w:vAlign w:val="center"/>
          </w:tcPr>
          <w:p w14:paraId="25828D79">
            <w:pPr>
              <w:spacing w:line="340" w:lineRule="exact"/>
              <w:ind w:firstLine="0" w:firstLineChars="0"/>
              <w:jc w:val="center"/>
              <w:rPr>
                <w:rFonts w:eastAsia="方正仿宋简体"/>
                <w:color w:val="000000"/>
                <w:sz w:val="21"/>
                <w:szCs w:val="21"/>
              </w:rPr>
            </w:pPr>
            <w:r>
              <w:rPr>
                <w:rFonts w:eastAsia="方正仿宋简体"/>
                <w:color w:val="000000"/>
                <w:sz w:val="21"/>
                <w:szCs w:val="21"/>
              </w:rPr>
              <w:t>7000</w:t>
            </w:r>
          </w:p>
        </w:tc>
        <w:tc>
          <w:tcPr>
            <w:tcW w:w="880" w:type="dxa"/>
            <w:tcMar>
              <w:left w:w="108" w:type="dxa"/>
              <w:right w:w="108" w:type="dxa"/>
            </w:tcMar>
            <w:vAlign w:val="center"/>
          </w:tcPr>
          <w:p w14:paraId="692E1216">
            <w:pPr>
              <w:spacing w:line="340" w:lineRule="exact"/>
              <w:ind w:firstLine="0" w:firstLineChars="0"/>
              <w:jc w:val="center"/>
              <w:rPr>
                <w:rFonts w:eastAsia="方正仿宋简体"/>
                <w:color w:val="000000"/>
                <w:sz w:val="21"/>
                <w:szCs w:val="21"/>
              </w:rPr>
            </w:pPr>
            <w:r>
              <w:rPr>
                <w:rFonts w:eastAsia="方正仿宋简体"/>
                <w:color w:val="000000"/>
                <w:sz w:val="21"/>
                <w:szCs w:val="21"/>
              </w:rPr>
              <w:t>7100</w:t>
            </w:r>
          </w:p>
        </w:tc>
        <w:tc>
          <w:tcPr>
            <w:tcW w:w="879" w:type="dxa"/>
            <w:tcMar>
              <w:left w:w="108" w:type="dxa"/>
              <w:right w:w="108" w:type="dxa"/>
            </w:tcMar>
            <w:vAlign w:val="center"/>
          </w:tcPr>
          <w:p w14:paraId="6BC87C1B">
            <w:pPr>
              <w:spacing w:line="340" w:lineRule="exact"/>
              <w:ind w:firstLine="0" w:firstLineChars="0"/>
              <w:jc w:val="center"/>
              <w:rPr>
                <w:rFonts w:eastAsia="方正仿宋简体"/>
                <w:color w:val="000000"/>
                <w:sz w:val="21"/>
                <w:szCs w:val="21"/>
              </w:rPr>
            </w:pPr>
            <w:r>
              <w:rPr>
                <w:rFonts w:eastAsia="方正仿宋简体"/>
                <w:color w:val="000000"/>
                <w:sz w:val="21"/>
                <w:szCs w:val="21"/>
              </w:rPr>
              <w:t>7200</w:t>
            </w:r>
          </w:p>
        </w:tc>
        <w:tc>
          <w:tcPr>
            <w:tcW w:w="797" w:type="dxa"/>
            <w:tcMar>
              <w:left w:w="108" w:type="dxa"/>
              <w:right w:w="108" w:type="dxa"/>
            </w:tcMar>
            <w:vAlign w:val="center"/>
          </w:tcPr>
          <w:p w14:paraId="577F4E82">
            <w:pPr>
              <w:spacing w:line="340" w:lineRule="exact"/>
              <w:ind w:firstLine="0" w:firstLineChars="0"/>
              <w:jc w:val="center"/>
              <w:rPr>
                <w:rFonts w:eastAsia="方正仿宋简体"/>
                <w:color w:val="000000"/>
                <w:sz w:val="21"/>
                <w:szCs w:val="21"/>
              </w:rPr>
            </w:pPr>
            <w:r>
              <w:rPr>
                <w:rFonts w:eastAsia="方正仿宋简体"/>
                <w:color w:val="000000"/>
                <w:sz w:val="21"/>
                <w:szCs w:val="21"/>
              </w:rPr>
              <w:t>7300</w:t>
            </w:r>
          </w:p>
        </w:tc>
        <w:tc>
          <w:tcPr>
            <w:tcW w:w="1127" w:type="dxa"/>
            <w:tcMar>
              <w:left w:w="108" w:type="dxa"/>
              <w:right w:w="108" w:type="dxa"/>
            </w:tcMar>
            <w:vAlign w:val="center"/>
          </w:tcPr>
          <w:p w14:paraId="6B1AC891">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预期性</w:t>
            </w:r>
          </w:p>
        </w:tc>
      </w:tr>
      <w:tr w14:paraId="790FC99F">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56E0F925">
            <w:pPr>
              <w:spacing w:line="340" w:lineRule="exact"/>
              <w:ind w:firstLine="0" w:firstLineChars="0"/>
              <w:jc w:val="center"/>
              <w:rPr>
                <w:rFonts w:eastAsia="方正仿宋简体"/>
                <w:color w:val="000000"/>
                <w:sz w:val="21"/>
                <w:szCs w:val="21"/>
              </w:rPr>
            </w:pPr>
            <w:r>
              <w:rPr>
                <w:rFonts w:eastAsia="方正仿宋简体"/>
                <w:color w:val="000000"/>
                <w:sz w:val="21"/>
                <w:szCs w:val="21"/>
              </w:rPr>
              <w:t>13</w:t>
            </w:r>
          </w:p>
        </w:tc>
        <w:tc>
          <w:tcPr>
            <w:tcW w:w="2190" w:type="dxa"/>
            <w:tcMar>
              <w:left w:w="108" w:type="dxa"/>
              <w:right w:w="108" w:type="dxa"/>
            </w:tcMar>
            <w:vAlign w:val="center"/>
          </w:tcPr>
          <w:p w14:paraId="3A7EB54A">
            <w:pPr>
              <w:spacing w:line="340" w:lineRule="exact"/>
              <w:ind w:firstLine="0" w:firstLineChars="0"/>
              <w:jc w:val="left"/>
              <w:rPr>
                <w:rFonts w:eastAsia="方正仿宋简体"/>
                <w:color w:val="000000"/>
                <w:sz w:val="21"/>
                <w:szCs w:val="21"/>
              </w:rPr>
            </w:pPr>
            <w:r>
              <w:rPr>
                <w:rFonts w:hint="eastAsia" w:eastAsia="方正仿宋简体"/>
                <w:color w:val="000000"/>
                <w:spacing w:val="-10"/>
                <w:sz w:val="21"/>
                <w:szCs w:val="21"/>
              </w:rPr>
              <w:t>社会工作专业人才占总人口比例</w:t>
            </w:r>
          </w:p>
        </w:tc>
        <w:tc>
          <w:tcPr>
            <w:tcW w:w="780" w:type="dxa"/>
            <w:tcMar>
              <w:left w:w="108" w:type="dxa"/>
              <w:right w:w="108" w:type="dxa"/>
            </w:tcMar>
            <w:vAlign w:val="center"/>
          </w:tcPr>
          <w:p w14:paraId="30565E84">
            <w:pPr>
              <w:spacing w:line="340" w:lineRule="exact"/>
              <w:ind w:firstLine="0" w:firstLineChars="0"/>
              <w:jc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5C23B632">
            <w:pPr>
              <w:spacing w:line="340" w:lineRule="exact"/>
              <w:ind w:firstLine="0" w:firstLineChars="0"/>
              <w:jc w:val="center"/>
              <w:rPr>
                <w:rFonts w:eastAsia="方正仿宋简体"/>
                <w:color w:val="000000"/>
                <w:sz w:val="21"/>
                <w:szCs w:val="21"/>
              </w:rPr>
            </w:pPr>
            <w:r>
              <w:rPr>
                <w:rFonts w:eastAsia="方正仿宋简体"/>
                <w:color w:val="000000"/>
                <w:kern w:val="0"/>
                <w:sz w:val="21"/>
                <w:szCs w:val="21"/>
              </w:rPr>
              <w:t>1.6</w:t>
            </w:r>
          </w:p>
        </w:tc>
        <w:tc>
          <w:tcPr>
            <w:tcW w:w="885" w:type="dxa"/>
            <w:tcMar>
              <w:left w:w="108" w:type="dxa"/>
              <w:right w:w="108" w:type="dxa"/>
            </w:tcMar>
            <w:vAlign w:val="center"/>
          </w:tcPr>
          <w:p w14:paraId="5D4EB8F0">
            <w:pPr>
              <w:spacing w:line="340" w:lineRule="exact"/>
              <w:ind w:firstLine="0" w:firstLineChars="0"/>
              <w:jc w:val="center"/>
              <w:rPr>
                <w:rFonts w:eastAsia="方正仿宋简体"/>
                <w:color w:val="000000"/>
                <w:sz w:val="21"/>
                <w:szCs w:val="21"/>
              </w:rPr>
            </w:pPr>
            <w:r>
              <w:rPr>
                <w:rFonts w:eastAsia="方正仿宋简体"/>
                <w:color w:val="000000"/>
                <w:sz w:val="21"/>
                <w:szCs w:val="21"/>
              </w:rPr>
              <w:t>1.7</w:t>
            </w:r>
          </w:p>
        </w:tc>
        <w:tc>
          <w:tcPr>
            <w:tcW w:w="951" w:type="dxa"/>
            <w:tcMar>
              <w:left w:w="108" w:type="dxa"/>
              <w:right w:w="108" w:type="dxa"/>
            </w:tcMar>
            <w:vAlign w:val="center"/>
          </w:tcPr>
          <w:p w14:paraId="2B4F6960">
            <w:pPr>
              <w:spacing w:line="340" w:lineRule="exact"/>
              <w:ind w:firstLine="0" w:firstLineChars="0"/>
              <w:jc w:val="center"/>
              <w:rPr>
                <w:rFonts w:eastAsia="方正仿宋简体"/>
                <w:color w:val="000000"/>
                <w:sz w:val="21"/>
                <w:szCs w:val="21"/>
              </w:rPr>
            </w:pPr>
            <w:r>
              <w:rPr>
                <w:rFonts w:eastAsia="方正仿宋简体"/>
                <w:color w:val="000000"/>
                <w:sz w:val="21"/>
                <w:szCs w:val="21"/>
              </w:rPr>
              <w:t>1.8</w:t>
            </w:r>
          </w:p>
        </w:tc>
        <w:tc>
          <w:tcPr>
            <w:tcW w:w="880" w:type="dxa"/>
            <w:tcMar>
              <w:left w:w="108" w:type="dxa"/>
              <w:right w:w="108" w:type="dxa"/>
            </w:tcMar>
            <w:vAlign w:val="center"/>
          </w:tcPr>
          <w:p w14:paraId="0C23F348">
            <w:pPr>
              <w:spacing w:line="340" w:lineRule="exact"/>
              <w:ind w:firstLine="0" w:firstLineChars="0"/>
              <w:jc w:val="center"/>
              <w:rPr>
                <w:rFonts w:eastAsia="方正仿宋简体"/>
                <w:color w:val="000000"/>
                <w:sz w:val="21"/>
                <w:szCs w:val="21"/>
              </w:rPr>
            </w:pPr>
            <w:r>
              <w:rPr>
                <w:rFonts w:eastAsia="方正仿宋简体"/>
                <w:color w:val="000000"/>
                <w:sz w:val="21"/>
                <w:szCs w:val="21"/>
              </w:rPr>
              <w:t>1.9</w:t>
            </w:r>
          </w:p>
        </w:tc>
        <w:tc>
          <w:tcPr>
            <w:tcW w:w="879" w:type="dxa"/>
            <w:tcMar>
              <w:left w:w="108" w:type="dxa"/>
              <w:right w:w="108" w:type="dxa"/>
            </w:tcMar>
            <w:vAlign w:val="center"/>
          </w:tcPr>
          <w:p w14:paraId="04AE227D">
            <w:pPr>
              <w:spacing w:line="340" w:lineRule="exact"/>
              <w:ind w:firstLine="0" w:firstLineChars="0"/>
              <w:jc w:val="center"/>
              <w:rPr>
                <w:rFonts w:eastAsia="方正仿宋简体"/>
                <w:color w:val="000000"/>
                <w:sz w:val="21"/>
                <w:szCs w:val="21"/>
              </w:rPr>
            </w:pPr>
            <w:r>
              <w:rPr>
                <w:rFonts w:eastAsia="方正仿宋简体"/>
                <w:color w:val="000000"/>
                <w:sz w:val="21"/>
                <w:szCs w:val="21"/>
              </w:rPr>
              <w:t>2.0</w:t>
            </w:r>
          </w:p>
        </w:tc>
        <w:tc>
          <w:tcPr>
            <w:tcW w:w="797" w:type="dxa"/>
            <w:tcMar>
              <w:left w:w="108" w:type="dxa"/>
              <w:right w:w="108" w:type="dxa"/>
            </w:tcMar>
            <w:vAlign w:val="center"/>
          </w:tcPr>
          <w:p w14:paraId="355D3A35">
            <w:pPr>
              <w:spacing w:line="340" w:lineRule="exact"/>
              <w:ind w:firstLine="0" w:firstLineChars="0"/>
              <w:jc w:val="center"/>
              <w:rPr>
                <w:rFonts w:eastAsia="方正仿宋简体"/>
                <w:color w:val="000000"/>
                <w:sz w:val="21"/>
                <w:szCs w:val="21"/>
              </w:rPr>
            </w:pPr>
            <w:r>
              <w:rPr>
                <w:rFonts w:eastAsia="方正仿宋简体"/>
                <w:color w:val="000000"/>
                <w:sz w:val="21"/>
                <w:szCs w:val="21"/>
              </w:rPr>
              <w:t>2.1</w:t>
            </w:r>
          </w:p>
        </w:tc>
        <w:tc>
          <w:tcPr>
            <w:tcW w:w="1127" w:type="dxa"/>
            <w:tcMar>
              <w:left w:w="108" w:type="dxa"/>
              <w:right w:w="108" w:type="dxa"/>
            </w:tcMar>
            <w:vAlign w:val="center"/>
          </w:tcPr>
          <w:p w14:paraId="2CEE1D36">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预期性</w:t>
            </w:r>
          </w:p>
        </w:tc>
      </w:tr>
      <w:tr w14:paraId="60F480E4">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Mar>
              <w:left w:w="108" w:type="dxa"/>
              <w:right w:w="108" w:type="dxa"/>
            </w:tcMar>
            <w:vAlign w:val="center"/>
          </w:tcPr>
          <w:p w14:paraId="50D92656">
            <w:pPr>
              <w:spacing w:line="340" w:lineRule="exact"/>
              <w:ind w:firstLine="0" w:firstLineChars="0"/>
              <w:jc w:val="center"/>
              <w:rPr>
                <w:rFonts w:eastAsia="方正仿宋简体"/>
                <w:color w:val="000000"/>
                <w:sz w:val="21"/>
                <w:szCs w:val="21"/>
              </w:rPr>
            </w:pPr>
            <w:r>
              <w:rPr>
                <w:rFonts w:eastAsia="方正仿宋简体"/>
                <w:color w:val="000000"/>
                <w:sz w:val="21"/>
                <w:szCs w:val="21"/>
              </w:rPr>
              <w:t>14</w:t>
            </w:r>
          </w:p>
        </w:tc>
        <w:tc>
          <w:tcPr>
            <w:tcW w:w="2190" w:type="dxa"/>
            <w:tcMar>
              <w:left w:w="108" w:type="dxa"/>
              <w:right w:w="108" w:type="dxa"/>
            </w:tcMar>
            <w:vAlign w:val="center"/>
          </w:tcPr>
          <w:p w14:paraId="0825618D">
            <w:pPr>
              <w:spacing w:line="340" w:lineRule="exact"/>
              <w:ind w:firstLine="0" w:firstLineChars="0"/>
              <w:jc w:val="left"/>
              <w:rPr>
                <w:rFonts w:eastAsia="方正仿宋简体"/>
                <w:color w:val="000000"/>
                <w:spacing w:val="-10"/>
                <w:sz w:val="21"/>
                <w:szCs w:val="21"/>
              </w:rPr>
            </w:pPr>
            <w:r>
              <w:rPr>
                <w:rFonts w:hint="eastAsia" w:eastAsia="方正仿宋简体"/>
                <w:color w:val="000000"/>
                <w:spacing w:val="-10"/>
                <w:sz w:val="21"/>
                <w:szCs w:val="21"/>
              </w:rPr>
              <w:t>志愿服务站点在社区综合服务设施中的覆盖率</w:t>
            </w:r>
          </w:p>
        </w:tc>
        <w:tc>
          <w:tcPr>
            <w:tcW w:w="780" w:type="dxa"/>
            <w:tcMar>
              <w:left w:w="108" w:type="dxa"/>
              <w:right w:w="108" w:type="dxa"/>
            </w:tcMar>
            <w:vAlign w:val="center"/>
          </w:tcPr>
          <w:p w14:paraId="7AF0B019">
            <w:pPr>
              <w:spacing w:line="340" w:lineRule="exact"/>
              <w:ind w:firstLine="0" w:firstLineChars="0"/>
              <w:jc w:val="center"/>
              <w:rPr>
                <w:rFonts w:eastAsia="方正仿宋简体"/>
                <w:color w:val="000000"/>
                <w:sz w:val="21"/>
                <w:szCs w:val="21"/>
              </w:rPr>
            </w:pPr>
            <w:r>
              <w:rPr>
                <w:rFonts w:eastAsia="方正仿宋简体"/>
                <w:color w:val="000000"/>
                <w:sz w:val="21"/>
                <w:szCs w:val="21"/>
              </w:rPr>
              <w:t>%</w:t>
            </w:r>
          </w:p>
        </w:tc>
        <w:tc>
          <w:tcPr>
            <w:tcW w:w="950" w:type="dxa"/>
            <w:tcMar>
              <w:left w:w="108" w:type="dxa"/>
              <w:right w:w="108" w:type="dxa"/>
            </w:tcMar>
            <w:vAlign w:val="center"/>
          </w:tcPr>
          <w:p w14:paraId="326376D1">
            <w:pPr>
              <w:spacing w:line="340" w:lineRule="exact"/>
              <w:ind w:firstLine="0" w:firstLineChars="0"/>
              <w:jc w:val="center"/>
              <w:rPr>
                <w:rFonts w:eastAsia="方正仿宋简体"/>
                <w:color w:val="000000"/>
                <w:sz w:val="21"/>
                <w:szCs w:val="21"/>
              </w:rPr>
            </w:pPr>
            <w:r>
              <w:rPr>
                <w:rFonts w:eastAsia="方正仿宋简体"/>
                <w:color w:val="000000"/>
                <w:kern w:val="0"/>
                <w:sz w:val="21"/>
                <w:szCs w:val="21"/>
              </w:rPr>
              <w:t>——</w:t>
            </w:r>
          </w:p>
        </w:tc>
        <w:tc>
          <w:tcPr>
            <w:tcW w:w="885" w:type="dxa"/>
            <w:tcMar>
              <w:left w:w="108" w:type="dxa"/>
              <w:right w:w="108" w:type="dxa"/>
            </w:tcMar>
            <w:vAlign w:val="center"/>
          </w:tcPr>
          <w:p w14:paraId="2F786EE0">
            <w:pPr>
              <w:spacing w:line="340" w:lineRule="exact"/>
              <w:ind w:firstLine="0" w:firstLineChars="0"/>
              <w:jc w:val="center"/>
              <w:rPr>
                <w:rFonts w:eastAsia="方正仿宋简体"/>
                <w:color w:val="000000"/>
                <w:sz w:val="21"/>
                <w:szCs w:val="21"/>
              </w:rPr>
            </w:pPr>
            <w:r>
              <w:rPr>
                <w:rFonts w:eastAsia="方正仿宋简体"/>
                <w:color w:val="000000"/>
                <w:sz w:val="21"/>
                <w:szCs w:val="21"/>
              </w:rPr>
              <w:t>60</w:t>
            </w:r>
          </w:p>
        </w:tc>
        <w:tc>
          <w:tcPr>
            <w:tcW w:w="951" w:type="dxa"/>
            <w:tcMar>
              <w:left w:w="108" w:type="dxa"/>
              <w:right w:w="108" w:type="dxa"/>
            </w:tcMar>
            <w:vAlign w:val="center"/>
          </w:tcPr>
          <w:p w14:paraId="5C955114">
            <w:pPr>
              <w:spacing w:line="340" w:lineRule="exact"/>
              <w:ind w:firstLine="0" w:firstLineChars="0"/>
              <w:jc w:val="center"/>
              <w:rPr>
                <w:rFonts w:eastAsia="方正仿宋简体"/>
                <w:color w:val="000000"/>
                <w:sz w:val="21"/>
                <w:szCs w:val="21"/>
              </w:rPr>
            </w:pPr>
            <w:r>
              <w:rPr>
                <w:rFonts w:eastAsia="方正仿宋简体"/>
                <w:color w:val="000000"/>
                <w:sz w:val="21"/>
                <w:szCs w:val="21"/>
              </w:rPr>
              <w:t>65</w:t>
            </w:r>
          </w:p>
        </w:tc>
        <w:tc>
          <w:tcPr>
            <w:tcW w:w="880" w:type="dxa"/>
            <w:tcMar>
              <w:left w:w="108" w:type="dxa"/>
              <w:right w:w="108" w:type="dxa"/>
            </w:tcMar>
            <w:vAlign w:val="center"/>
          </w:tcPr>
          <w:p w14:paraId="240BBDFF">
            <w:pPr>
              <w:spacing w:line="340" w:lineRule="exact"/>
              <w:ind w:firstLine="0" w:firstLineChars="0"/>
              <w:jc w:val="center"/>
              <w:rPr>
                <w:rFonts w:eastAsia="方正仿宋简体"/>
                <w:color w:val="000000"/>
                <w:sz w:val="21"/>
                <w:szCs w:val="21"/>
              </w:rPr>
            </w:pPr>
            <w:r>
              <w:rPr>
                <w:rFonts w:eastAsia="方正仿宋简体"/>
                <w:color w:val="000000"/>
                <w:sz w:val="21"/>
                <w:szCs w:val="21"/>
              </w:rPr>
              <w:t>70</w:t>
            </w:r>
          </w:p>
        </w:tc>
        <w:tc>
          <w:tcPr>
            <w:tcW w:w="879" w:type="dxa"/>
            <w:tcMar>
              <w:left w:w="108" w:type="dxa"/>
              <w:right w:w="108" w:type="dxa"/>
            </w:tcMar>
            <w:vAlign w:val="center"/>
          </w:tcPr>
          <w:p w14:paraId="0184FFBE">
            <w:pPr>
              <w:spacing w:line="340" w:lineRule="exact"/>
              <w:ind w:firstLine="0" w:firstLineChars="0"/>
              <w:jc w:val="center"/>
              <w:rPr>
                <w:rFonts w:eastAsia="方正仿宋简体"/>
                <w:color w:val="000000"/>
                <w:sz w:val="21"/>
                <w:szCs w:val="21"/>
              </w:rPr>
            </w:pPr>
            <w:r>
              <w:rPr>
                <w:rFonts w:eastAsia="方正仿宋简体"/>
                <w:color w:val="000000"/>
                <w:sz w:val="21"/>
                <w:szCs w:val="21"/>
              </w:rPr>
              <w:t>75</w:t>
            </w:r>
          </w:p>
        </w:tc>
        <w:tc>
          <w:tcPr>
            <w:tcW w:w="797" w:type="dxa"/>
            <w:tcMar>
              <w:left w:w="108" w:type="dxa"/>
              <w:right w:w="108" w:type="dxa"/>
            </w:tcMar>
            <w:vAlign w:val="center"/>
          </w:tcPr>
          <w:p w14:paraId="365BA558">
            <w:pPr>
              <w:spacing w:line="340" w:lineRule="exact"/>
              <w:ind w:firstLine="0" w:firstLineChars="0"/>
              <w:jc w:val="center"/>
              <w:rPr>
                <w:rFonts w:eastAsia="方正仿宋简体"/>
                <w:color w:val="000000"/>
                <w:sz w:val="21"/>
                <w:szCs w:val="21"/>
              </w:rPr>
            </w:pPr>
            <w:r>
              <w:rPr>
                <w:rFonts w:eastAsia="方正仿宋简体"/>
                <w:color w:val="000000"/>
                <w:sz w:val="21"/>
                <w:szCs w:val="21"/>
              </w:rPr>
              <w:t>80</w:t>
            </w:r>
          </w:p>
        </w:tc>
        <w:tc>
          <w:tcPr>
            <w:tcW w:w="1127" w:type="dxa"/>
            <w:tcMar>
              <w:left w:w="108" w:type="dxa"/>
              <w:right w:w="108" w:type="dxa"/>
            </w:tcMar>
            <w:vAlign w:val="center"/>
          </w:tcPr>
          <w:p w14:paraId="23679B41">
            <w:pPr>
              <w:spacing w:line="340" w:lineRule="exact"/>
              <w:ind w:firstLine="0" w:firstLineChars="0"/>
              <w:jc w:val="center"/>
              <w:rPr>
                <w:rFonts w:eastAsia="方正仿宋简体"/>
                <w:color w:val="000000"/>
                <w:sz w:val="21"/>
                <w:szCs w:val="21"/>
              </w:rPr>
            </w:pPr>
            <w:r>
              <w:rPr>
                <w:rFonts w:hint="eastAsia" w:eastAsia="方正仿宋简体"/>
                <w:color w:val="000000"/>
                <w:sz w:val="21"/>
                <w:szCs w:val="21"/>
              </w:rPr>
              <w:t>预期性</w:t>
            </w:r>
          </w:p>
        </w:tc>
      </w:tr>
      <w:tr w14:paraId="5EEC5955">
        <w:tblPrEx>
          <w:tblBorders>
            <w:top w:val="single" w:color="000000" w:sz="8" w:space="0"/>
            <w:left w:val="single" w:color="000000" w:sz="8" w:space="0"/>
            <w:bottom w:val="single" w:color="auto" w:sz="4"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44" w:hRule="atLeast"/>
          <w:jc w:val="center"/>
        </w:trPr>
        <w:tc>
          <w:tcPr>
            <w:tcW w:w="538" w:type="dxa"/>
            <w:tcBorders>
              <w:bottom w:val="single" w:color="auto" w:sz="4" w:space="0"/>
            </w:tcBorders>
            <w:tcMar>
              <w:left w:w="108" w:type="dxa"/>
              <w:right w:w="108" w:type="dxa"/>
            </w:tcMar>
            <w:vAlign w:val="center"/>
          </w:tcPr>
          <w:p w14:paraId="78C75E60">
            <w:pPr>
              <w:spacing w:line="340" w:lineRule="exact"/>
              <w:ind w:firstLine="0" w:firstLineChars="0"/>
              <w:jc w:val="center"/>
              <w:rPr>
                <w:rFonts w:eastAsia="方正仿宋简体"/>
                <w:color w:val="000000"/>
                <w:szCs w:val="21"/>
              </w:rPr>
            </w:pPr>
            <w:r>
              <w:rPr>
                <w:rFonts w:eastAsia="方正仿宋简体"/>
                <w:color w:val="000000"/>
                <w:sz w:val="21"/>
                <w:szCs w:val="21"/>
              </w:rPr>
              <w:t>15</w:t>
            </w:r>
          </w:p>
        </w:tc>
        <w:tc>
          <w:tcPr>
            <w:tcW w:w="2190" w:type="dxa"/>
            <w:tcBorders>
              <w:bottom w:val="single" w:color="auto" w:sz="4" w:space="0"/>
            </w:tcBorders>
            <w:tcMar>
              <w:left w:w="108" w:type="dxa"/>
              <w:right w:w="108" w:type="dxa"/>
            </w:tcMar>
            <w:vAlign w:val="center"/>
          </w:tcPr>
          <w:p w14:paraId="21D111E1">
            <w:pPr>
              <w:spacing w:line="340" w:lineRule="exact"/>
              <w:ind w:firstLine="0" w:firstLineChars="0"/>
              <w:jc w:val="left"/>
              <w:rPr>
                <w:rFonts w:eastAsia="方正仿宋简体"/>
                <w:color w:val="000000"/>
                <w:szCs w:val="21"/>
              </w:rPr>
            </w:pPr>
            <w:r>
              <w:rPr>
                <w:rFonts w:hint="eastAsia" w:eastAsia="方正仿宋简体"/>
                <w:color w:val="000000"/>
                <w:sz w:val="21"/>
                <w:szCs w:val="21"/>
              </w:rPr>
              <w:t>婚姻登记</w:t>
            </w:r>
            <w:r>
              <w:rPr>
                <w:rFonts w:eastAsia="方正仿宋简体"/>
                <w:color w:val="000000"/>
                <w:sz w:val="21"/>
                <w:szCs w:val="21"/>
              </w:rPr>
              <w:t>“</w:t>
            </w:r>
            <w:r>
              <w:rPr>
                <w:rFonts w:hint="eastAsia" w:eastAsia="方正仿宋简体"/>
                <w:color w:val="000000"/>
                <w:sz w:val="21"/>
                <w:szCs w:val="21"/>
              </w:rPr>
              <w:t>跨省通办</w:t>
            </w:r>
            <w:r>
              <w:rPr>
                <w:rFonts w:eastAsia="方正仿宋简体"/>
                <w:color w:val="000000"/>
                <w:sz w:val="21"/>
                <w:szCs w:val="21"/>
              </w:rPr>
              <w:t>”</w:t>
            </w:r>
            <w:r>
              <w:rPr>
                <w:rFonts w:hint="eastAsia" w:eastAsia="方正仿宋简体"/>
                <w:color w:val="000000"/>
                <w:sz w:val="21"/>
                <w:szCs w:val="21"/>
              </w:rPr>
              <w:t>实施率</w:t>
            </w:r>
          </w:p>
        </w:tc>
        <w:tc>
          <w:tcPr>
            <w:tcW w:w="780" w:type="dxa"/>
            <w:tcBorders>
              <w:bottom w:val="single" w:color="auto" w:sz="4" w:space="0"/>
            </w:tcBorders>
            <w:tcMar>
              <w:left w:w="108" w:type="dxa"/>
              <w:right w:w="108" w:type="dxa"/>
            </w:tcMar>
            <w:vAlign w:val="center"/>
          </w:tcPr>
          <w:p w14:paraId="16B8BD59">
            <w:pPr>
              <w:spacing w:line="340" w:lineRule="exact"/>
              <w:ind w:firstLine="0" w:firstLineChars="0"/>
              <w:jc w:val="center"/>
              <w:rPr>
                <w:rFonts w:eastAsia="方正仿宋简体"/>
                <w:color w:val="000000"/>
                <w:szCs w:val="21"/>
              </w:rPr>
            </w:pPr>
            <w:r>
              <w:rPr>
                <w:rFonts w:eastAsia="方正仿宋简体"/>
                <w:color w:val="000000"/>
                <w:sz w:val="21"/>
                <w:szCs w:val="21"/>
              </w:rPr>
              <w:t>%</w:t>
            </w:r>
          </w:p>
        </w:tc>
        <w:tc>
          <w:tcPr>
            <w:tcW w:w="950" w:type="dxa"/>
            <w:tcBorders>
              <w:bottom w:val="single" w:color="auto" w:sz="4" w:space="0"/>
            </w:tcBorders>
            <w:tcMar>
              <w:left w:w="108" w:type="dxa"/>
              <w:right w:w="108" w:type="dxa"/>
            </w:tcMar>
            <w:vAlign w:val="center"/>
          </w:tcPr>
          <w:p w14:paraId="3CCE3B4D">
            <w:pPr>
              <w:spacing w:line="340" w:lineRule="exact"/>
              <w:ind w:firstLine="0" w:firstLineChars="0"/>
              <w:jc w:val="center"/>
              <w:rPr>
                <w:rFonts w:eastAsia="方正仿宋简体"/>
                <w:color w:val="000000"/>
                <w:szCs w:val="21"/>
              </w:rPr>
            </w:pPr>
            <w:r>
              <w:rPr>
                <w:rFonts w:eastAsia="方正仿宋简体"/>
                <w:color w:val="000000"/>
                <w:kern w:val="0"/>
                <w:sz w:val="21"/>
                <w:szCs w:val="21"/>
              </w:rPr>
              <w:t>——</w:t>
            </w:r>
          </w:p>
        </w:tc>
        <w:tc>
          <w:tcPr>
            <w:tcW w:w="885" w:type="dxa"/>
            <w:tcBorders>
              <w:bottom w:val="single" w:color="auto" w:sz="4" w:space="0"/>
            </w:tcBorders>
            <w:tcMar>
              <w:left w:w="108" w:type="dxa"/>
              <w:right w:w="108" w:type="dxa"/>
            </w:tcMar>
            <w:vAlign w:val="center"/>
          </w:tcPr>
          <w:p w14:paraId="41F83064">
            <w:pPr>
              <w:spacing w:line="340" w:lineRule="exact"/>
              <w:ind w:firstLine="0" w:firstLineChars="0"/>
              <w:jc w:val="center"/>
              <w:rPr>
                <w:rFonts w:eastAsia="方正仿宋简体"/>
                <w:color w:val="000000"/>
                <w:szCs w:val="21"/>
              </w:rPr>
            </w:pPr>
          </w:p>
        </w:tc>
        <w:tc>
          <w:tcPr>
            <w:tcW w:w="951" w:type="dxa"/>
            <w:tcBorders>
              <w:bottom w:val="single" w:color="auto" w:sz="4" w:space="0"/>
            </w:tcBorders>
            <w:tcMar>
              <w:left w:w="108" w:type="dxa"/>
              <w:right w:w="108" w:type="dxa"/>
            </w:tcMar>
            <w:vAlign w:val="center"/>
          </w:tcPr>
          <w:p w14:paraId="64FC7D8E">
            <w:pPr>
              <w:spacing w:line="340" w:lineRule="exact"/>
              <w:ind w:firstLine="0" w:firstLineChars="0"/>
              <w:jc w:val="center"/>
              <w:rPr>
                <w:rFonts w:eastAsia="方正仿宋简体"/>
                <w:color w:val="000000"/>
                <w:szCs w:val="21"/>
              </w:rPr>
            </w:pPr>
          </w:p>
        </w:tc>
        <w:tc>
          <w:tcPr>
            <w:tcW w:w="880" w:type="dxa"/>
            <w:tcBorders>
              <w:bottom w:val="single" w:color="auto" w:sz="4" w:space="0"/>
            </w:tcBorders>
            <w:tcMar>
              <w:left w:w="108" w:type="dxa"/>
              <w:right w:w="108" w:type="dxa"/>
            </w:tcMar>
            <w:vAlign w:val="center"/>
          </w:tcPr>
          <w:p w14:paraId="5E42BD7A">
            <w:pPr>
              <w:spacing w:line="340" w:lineRule="exact"/>
              <w:ind w:firstLine="0" w:firstLineChars="0"/>
              <w:jc w:val="center"/>
              <w:rPr>
                <w:rFonts w:eastAsia="方正仿宋简体"/>
                <w:color w:val="000000"/>
                <w:szCs w:val="21"/>
              </w:rPr>
            </w:pPr>
          </w:p>
        </w:tc>
        <w:tc>
          <w:tcPr>
            <w:tcW w:w="879" w:type="dxa"/>
            <w:tcBorders>
              <w:bottom w:val="single" w:color="auto" w:sz="4" w:space="0"/>
            </w:tcBorders>
            <w:tcMar>
              <w:left w:w="108" w:type="dxa"/>
              <w:right w:w="108" w:type="dxa"/>
            </w:tcMar>
            <w:vAlign w:val="center"/>
          </w:tcPr>
          <w:p w14:paraId="5FE0B855">
            <w:pPr>
              <w:spacing w:line="340" w:lineRule="exact"/>
              <w:ind w:firstLine="0" w:firstLineChars="0"/>
              <w:jc w:val="center"/>
              <w:rPr>
                <w:rFonts w:eastAsia="方正仿宋简体"/>
                <w:color w:val="000000"/>
                <w:szCs w:val="21"/>
              </w:rPr>
            </w:pPr>
          </w:p>
        </w:tc>
        <w:tc>
          <w:tcPr>
            <w:tcW w:w="797" w:type="dxa"/>
            <w:tcBorders>
              <w:bottom w:val="single" w:color="auto" w:sz="4" w:space="0"/>
            </w:tcBorders>
            <w:tcMar>
              <w:left w:w="108" w:type="dxa"/>
              <w:right w:w="108" w:type="dxa"/>
            </w:tcMar>
            <w:vAlign w:val="center"/>
          </w:tcPr>
          <w:p w14:paraId="4F041730">
            <w:pPr>
              <w:spacing w:line="340" w:lineRule="exact"/>
              <w:ind w:firstLine="0" w:firstLineChars="0"/>
              <w:jc w:val="center"/>
              <w:rPr>
                <w:rFonts w:eastAsia="方正仿宋简体"/>
                <w:color w:val="000000"/>
                <w:szCs w:val="21"/>
              </w:rPr>
            </w:pPr>
            <w:r>
              <w:rPr>
                <w:rFonts w:eastAsia="方正仿宋简体"/>
                <w:color w:val="000000"/>
                <w:sz w:val="21"/>
                <w:szCs w:val="21"/>
              </w:rPr>
              <w:t>100</w:t>
            </w:r>
          </w:p>
        </w:tc>
        <w:tc>
          <w:tcPr>
            <w:tcW w:w="1127" w:type="dxa"/>
            <w:tcBorders>
              <w:bottom w:val="single" w:color="auto" w:sz="4" w:space="0"/>
            </w:tcBorders>
            <w:tcMar>
              <w:left w:w="108" w:type="dxa"/>
              <w:right w:w="108" w:type="dxa"/>
            </w:tcMar>
            <w:vAlign w:val="center"/>
          </w:tcPr>
          <w:p w14:paraId="73E64E5D">
            <w:pPr>
              <w:spacing w:line="340" w:lineRule="exact"/>
              <w:ind w:firstLine="0" w:firstLineChars="0"/>
              <w:jc w:val="center"/>
              <w:rPr>
                <w:rFonts w:eastAsia="方正仿宋简体"/>
                <w:color w:val="000000"/>
                <w:szCs w:val="21"/>
              </w:rPr>
            </w:pPr>
            <w:r>
              <w:rPr>
                <w:rFonts w:hint="eastAsia" w:eastAsia="方正仿宋简体"/>
                <w:color w:val="000000"/>
                <w:sz w:val="21"/>
                <w:szCs w:val="21"/>
              </w:rPr>
              <w:t>预期性</w:t>
            </w:r>
          </w:p>
        </w:tc>
      </w:tr>
    </w:tbl>
    <w:p w14:paraId="07956CC4">
      <w:pPr>
        <w:pStyle w:val="24"/>
        <w:widowControl w:val="0"/>
        <w:outlineLvl w:val="0"/>
        <w:rPr>
          <w:rFonts w:ascii="Times New Roman" w:hAnsi="Times New Roman"/>
          <w:color w:val="000000"/>
        </w:rPr>
      </w:pPr>
    </w:p>
    <w:p w14:paraId="3CC2EE04">
      <w:pPr>
        <w:pStyle w:val="24"/>
        <w:widowControl w:val="0"/>
        <w:outlineLvl w:val="0"/>
        <w:rPr>
          <w:rFonts w:ascii="Times New Roman" w:hAnsi="Times New Roman"/>
          <w:color w:val="000000"/>
        </w:rPr>
      </w:pPr>
    </w:p>
    <w:p w14:paraId="5E947475">
      <w:pPr>
        <w:pStyle w:val="24"/>
        <w:widowControl w:val="0"/>
        <w:snapToGrid w:val="0"/>
        <w:outlineLvl w:val="0"/>
        <w:rPr>
          <w:rFonts w:ascii="Times New Roman" w:hAnsi="Times New Roman" w:eastAsia="方正小标宋简体"/>
          <w:color w:val="000000"/>
          <w:sz w:val="44"/>
        </w:rPr>
      </w:pPr>
      <w:bookmarkStart w:id="12" w:name="_Toc12594"/>
      <w:bookmarkStart w:id="13" w:name="_Toc243"/>
      <w:r>
        <w:rPr>
          <w:rFonts w:hint="eastAsia" w:ascii="Times New Roman" w:hAnsi="Times New Roman" w:eastAsia="方正小标宋简体"/>
          <w:color w:val="000000"/>
          <w:sz w:val="44"/>
        </w:rPr>
        <w:t>第二章　提升基本民生保障水平</w:t>
      </w:r>
      <w:bookmarkEnd w:id="12"/>
      <w:bookmarkEnd w:id="13"/>
    </w:p>
    <w:p w14:paraId="5FEF9A2E">
      <w:pPr>
        <w:pStyle w:val="24"/>
        <w:widowControl w:val="0"/>
        <w:snapToGrid w:val="0"/>
        <w:outlineLvl w:val="0"/>
        <w:rPr>
          <w:rFonts w:ascii="Times New Roman" w:hAnsi="Times New Roman"/>
          <w:color w:val="000000"/>
        </w:rPr>
      </w:pPr>
    </w:p>
    <w:p w14:paraId="75E9BEF6">
      <w:pPr>
        <w:adjustRightInd w:val="0"/>
        <w:snapToGrid w:val="0"/>
        <w:ind w:firstLine="31680"/>
        <w:rPr>
          <w:color w:val="000000"/>
          <w:kern w:val="0"/>
          <w:szCs w:val="32"/>
        </w:rPr>
      </w:pPr>
      <w:r>
        <w:rPr>
          <w:rFonts w:hint="eastAsia" w:hAnsi="仿宋_GB2312"/>
          <w:color w:val="000000"/>
          <w:kern w:val="0"/>
          <w:szCs w:val="32"/>
        </w:rPr>
        <w:t>着力推动巩固拓展脱贫攻坚兜底保障成果同乡村振兴有效衔接，把实现好、维护好、发展好困难群众基本生活权益作为民生保障工作的根本出发点和落脚点，按照保基本、</w:t>
      </w:r>
      <w:r>
        <w:rPr>
          <w:rFonts w:hint="eastAsia" w:hAnsi="仿宋_GB2312"/>
          <w:color w:val="000000"/>
          <w:szCs w:val="32"/>
        </w:rPr>
        <w:t>兜底</w:t>
      </w:r>
      <w:r>
        <w:rPr>
          <w:rFonts w:hint="eastAsia" w:hAnsi="仿宋_GB2312"/>
          <w:color w:val="000000"/>
          <w:kern w:val="0"/>
          <w:szCs w:val="32"/>
        </w:rPr>
        <w:t>线、救急难、可持续的总体思路，不断增强困难群众的获得感、幸福感、安全感</w:t>
      </w:r>
      <w:r>
        <w:rPr>
          <w:rFonts w:hint="eastAsia"/>
          <w:color w:val="000000"/>
          <w:kern w:val="0"/>
          <w:szCs w:val="32"/>
        </w:rPr>
        <w:t>。</w:t>
      </w:r>
    </w:p>
    <w:p w14:paraId="4D6F5D26">
      <w:pPr>
        <w:adjustRightInd w:val="0"/>
        <w:snapToGrid w:val="0"/>
        <w:ind w:firstLine="31680"/>
        <w:rPr>
          <w:color w:val="000000"/>
          <w:kern w:val="0"/>
          <w:szCs w:val="32"/>
        </w:rPr>
      </w:pPr>
    </w:p>
    <w:p w14:paraId="7529E781">
      <w:pPr>
        <w:pStyle w:val="25"/>
        <w:widowControl w:val="0"/>
        <w:outlineLvl w:val="1"/>
        <w:rPr>
          <w:rFonts w:eastAsia="方正黑体简体"/>
          <w:b w:val="0"/>
          <w:color w:val="000000"/>
        </w:rPr>
      </w:pPr>
      <w:bookmarkStart w:id="14" w:name="_Toc30731"/>
      <w:bookmarkStart w:id="15" w:name="_Toc18526"/>
      <w:r>
        <w:rPr>
          <w:rFonts w:hint="eastAsia" w:eastAsia="方正黑体简体"/>
          <w:b w:val="0"/>
          <w:color w:val="000000"/>
        </w:rPr>
        <w:t>第一节　巩固脱贫攻坚兜底保障成果</w:t>
      </w:r>
      <w:bookmarkEnd w:id="14"/>
      <w:bookmarkEnd w:id="15"/>
    </w:p>
    <w:p w14:paraId="591EE311">
      <w:pPr>
        <w:ind w:firstLine="31680"/>
        <w:rPr>
          <w:color w:val="000000"/>
        </w:rPr>
      </w:pPr>
    </w:p>
    <w:p w14:paraId="4D4F3867">
      <w:pPr>
        <w:snapToGrid w:val="0"/>
        <w:ind w:firstLine="31680"/>
        <w:rPr>
          <w:color w:val="000000"/>
          <w:szCs w:val="32"/>
        </w:rPr>
      </w:pPr>
      <w:r>
        <w:rPr>
          <w:rFonts w:hint="eastAsia"/>
          <w:b/>
          <w:bCs/>
          <w:color w:val="000000"/>
          <w:szCs w:val="32"/>
        </w:rPr>
        <w:t>推动巩固拓展脱贫攻坚兜底保障成果同乡村振兴有效衔接。</w:t>
      </w:r>
      <w:r>
        <w:rPr>
          <w:rFonts w:hint="eastAsia" w:hAnsi="仿宋_GB2312"/>
          <w:color w:val="000000"/>
          <w:szCs w:val="32"/>
        </w:rPr>
        <w:t>严格落实</w:t>
      </w:r>
      <w:r>
        <w:rPr>
          <w:color w:val="000000"/>
          <w:szCs w:val="32"/>
        </w:rPr>
        <w:t>“</w:t>
      </w:r>
      <w:r>
        <w:rPr>
          <w:rFonts w:hint="eastAsia" w:hAnsi="仿宋_GB2312"/>
          <w:color w:val="000000"/>
          <w:szCs w:val="32"/>
        </w:rPr>
        <w:t>四个不摘</w:t>
      </w:r>
      <w:r>
        <w:rPr>
          <w:color w:val="000000"/>
          <w:szCs w:val="32"/>
        </w:rPr>
        <w:t>”</w:t>
      </w:r>
      <w:r>
        <w:rPr>
          <w:rFonts w:hint="eastAsia" w:hAnsi="仿宋_GB2312"/>
          <w:color w:val="000000"/>
          <w:szCs w:val="32"/>
        </w:rPr>
        <w:t>要求，保持农村社会救助政策持续稳定。将完全或部分丧失劳动能力、无法通过产业就业获得稳定收入的脱贫人口，依规纳入低保或特困人员救助供养范围。调整优化低保</w:t>
      </w:r>
      <w:r>
        <w:rPr>
          <w:color w:val="000000"/>
          <w:szCs w:val="32"/>
        </w:rPr>
        <w:t>“</w:t>
      </w:r>
      <w:r>
        <w:rPr>
          <w:rFonts w:hint="eastAsia" w:hAnsi="仿宋_GB2312"/>
          <w:color w:val="000000"/>
          <w:szCs w:val="32"/>
        </w:rPr>
        <w:t>单人户</w:t>
      </w:r>
      <w:r>
        <w:rPr>
          <w:color w:val="000000"/>
          <w:szCs w:val="32"/>
        </w:rPr>
        <w:t>”</w:t>
      </w:r>
      <w:r>
        <w:rPr>
          <w:rFonts w:hint="eastAsia" w:hAnsi="仿宋_GB2312"/>
          <w:color w:val="000000"/>
          <w:szCs w:val="32"/>
        </w:rPr>
        <w:t>政策，将财产状况符合规定的低收入家庭中的重残人员和三级智力、精神残疾人以及重病患者等特殊困难人员，参照</w:t>
      </w:r>
      <w:r>
        <w:rPr>
          <w:color w:val="000000"/>
          <w:szCs w:val="32"/>
        </w:rPr>
        <w:t>“</w:t>
      </w:r>
      <w:r>
        <w:rPr>
          <w:rFonts w:hint="eastAsia" w:hAnsi="仿宋_GB2312"/>
          <w:color w:val="000000"/>
          <w:szCs w:val="32"/>
        </w:rPr>
        <w:t>单人户</w:t>
      </w:r>
      <w:r>
        <w:rPr>
          <w:color w:val="000000"/>
          <w:szCs w:val="32"/>
        </w:rPr>
        <w:t>”</w:t>
      </w:r>
      <w:r>
        <w:rPr>
          <w:rFonts w:hint="eastAsia" w:hAnsi="仿宋_GB2312"/>
          <w:color w:val="000000"/>
          <w:szCs w:val="32"/>
        </w:rPr>
        <w:t>纳入低保。</w:t>
      </w:r>
      <w:r>
        <w:rPr>
          <w:rFonts w:hint="eastAsia"/>
          <w:color w:val="000000"/>
          <w:szCs w:val="32"/>
        </w:rPr>
        <w:t>鼓励有劳动能力的农村低保对象参与就业，在计算家庭收入时扣减必要的就业成本。在低保、低收入家庭认定中，将因重病、重残、残疾人康复和照护费用等刚性支出给予扣减。加强社会救助资源统筹，根据对象类型、困难程度等，及时有针对性地给予困难群众医疗、教育、住房、就业等专项救助，做到精准识别、应救尽救。对基本生活陷入暂时困难的群众加强临时救助，做到凡困必帮、有难必救。强化县乡两级养老机构对失能、部分失能特困老年人的兜底保障。加强孤儿、事实无人抚养儿童及其他困境儿童等基本生活保障。</w:t>
      </w:r>
      <w:r>
        <w:rPr>
          <w:rFonts w:hint="eastAsia" w:hAnsi="仿宋_GB2312"/>
          <w:color w:val="000000"/>
          <w:szCs w:val="32"/>
        </w:rPr>
        <w:t>健全民</w:t>
      </w:r>
      <w:r>
        <w:rPr>
          <w:rFonts w:hint="eastAsia" w:hAnsi="仿宋_GB2312"/>
          <w:color w:val="000000"/>
          <w:spacing w:val="-6"/>
          <w:szCs w:val="32"/>
        </w:rPr>
        <w:t>政、乡村振兴、卫健、医保、教育、住建、人社、应急管理等多部门联动的农村低收入人口风险预警、研判和处置机制，建立完善包括农村低保对象、特困人员、低保边缘对象和支出型困难人口等在内的农村低收入人口信息资源库。通过大数据比对等手段开展常态化监测，重点关注其中的重病患者、重度残疾人、患有慢性病对象、失业人员、受灾人员、大额临时救助对象等，及时预警其因病、因灾、因教、因残、因意外事故等</w:t>
      </w:r>
      <w:r>
        <w:rPr>
          <w:rFonts w:hint="eastAsia" w:hAnsi="仿宋_GB2312"/>
          <w:color w:val="000000"/>
          <w:szCs w:val="32"/>
        </w:rPr>
        <w:t>导致刚性支出较大或收入大幅缩减情况，做到早发现、早救助、早帮扶。</w:t>
      </w:r>
    </w:p>
    <w:p w14:paraId="6A182D2E">
      <w:pPr>
        <w:adjustRightInd w:val="0"/>
        <w:snapToGrid w:val="0"/>
        <w:ind w:firstLine="31680"/>
        <w:rPr>
          <w:color w:val="000000"/>
          <w:szCs w:val="32"/>
        </w:rPr>
      </w:pPr>
      <w:r>
        <w:rPr>
          <w:rFonts w:hint="eastAsia"/>
          <w:b/>
          <w:bCs/>
          <w:color w:val="000000"/>
          <w:szCs w:val="32"/>
        </w:rPr>
        <w:t>提升农村地区民政公共服务水平。</w:t>
      </w:r>
      <w:r>
        <w:rPr>
          <w:rFonts w:hint="eastAsia"/>
          <w:color w:val="000000"/>
          <w:szCs w:val="32"/>
        </w:rPr>
        <w:t>推进社会救助制度城乡统筹发展，加大农村社会救助投入，逐步缩小城乡差距，推进城乡救助服务均等化。健全农村地区老年人、残疾人、留守儿童和困境儿童关爱服务体系，加强设施建设，完善帮扶残疾人、孤儿等社会福利制度。健全完善</w:t>
      </w:r>
      <w:r>
        <w:rPr>
          <w:color w:val="000000"/>
          <w:szCs w:val="32"/>
        </w:rPr>
        <w:t>“</w:t>
      </w:r>
      <w:r>
        <w:rPr>
          <w:rFonts w:hint="eastAsia"/>
          <w:color w:val="000000"/>
          <w:szCs w:val="32"/>
        </w:rPr>
        <w:t>三留守</w:t>
      </w:r>
      <w:r>
        <w:rPr>
          <w:color w:val="000000"/>
          <w:szCs w:val="32"/>
        </w:rPr>
        <w:t>”</w:t>
      </w:r>
      <w:r>
        <w:rPr>
          <w:rFonts w:hint="eastAsia"/>
          <w:color w:val="000000"/>
          <w:szCs w:val="32"/>
        </w:rPr>
        <w:t>人员定期探访关爱制度，加强信息动态管理。推动有条件的村建立党员志愿者与农村留守老年人</w:t>
      </w:r>
      <w:r>
        <w:rPr>
          <w:color w:val="000000"/>
          <w:szCs w:val="32"/>
        </w:rPr>
        <w:t>“</w:t>
      </w:r>
      <w:r>
        <w:rPr>
          <w:rFonts w:hint="eastAsia"/>
          <w:color w:val="000000"/>
          <w:szCs w:val="32"/>
        </w:rPr>
        <w:t>一对一</w:t>
      </w:r>
      <w:r>
        <w:rPr>
          <w:color w:val="000000"/>
          <w:szCs w:val="32"/>
        </w:rPr>
        <w:t>”</w:t>
      </w:r>
      <w:r>
        <w:rPr>
          <w:rFonts w:hint="eastAsia"/>
          <w:color w:val="000000"/>
          <w:szCs w:val="32"/>
        </w:rPr>
        <w:t>结对帮扶制度，对无人照顾、风险等级高的老年人，按</w:t>
      </w:r>
      <w:r>
        <w:rPr>
          <w:color w:val="000000"/>
          <w:szCs w:val="32"/>
        </w:rPr>
        <w:t>“</w:t>
      </w:r>
      <w:r>
        <w:rPr>
          <w:rFonts w:hint="eastAsia"/>
          <w:color w:val="000000"/>
          <w:szCs w:val="32"/>
        </w:rPr>
        <w:t>一人一策</w:t>
      </w:r>
      <w:r>
        <w:rPr>
          <w:color w:val="000000"/>
          <w:szCs w:val="32"/>
        </w:rPr>
        <w:t>”</w:t>
      </w:r>
      <w:r>
        <w:rPr>
          <w:rFonts w:hint="eastAsia"/>
          <w:color w:val="000000"/>
          <w:szCs w:val="32"/>
        </w:rPr>
        <w:t>及时干预。健全完善农村留守妇女信息，开展农村留守妇女关爱服务活动，会同有关部门加强农村留守妇女就业创业指导，提升其就业创业能力，保护其合法权益。对符合条件的农业转移人口及时提供救助帮扶。有条件的地方有序推进持有居住证人员在居住地申办社会救助，异地受理基本生活救助申请。统筹推进农村民政服务设施和村级社区综合服务设施建设，促进公共服务资源向基层延伸，向农村覆盖，特别是向脱贫地区和革命老区苏区、民族地区等特殊类型地区倾斜，推动农村公共服务水平进一步提升。推动社会治理重心向基层下移，向基层放权赋能，减轻基层特别是村级组织负担，加强基层社会治理队伍建设。强化社会参与，鼓励引导社会组织、社会工作者和志愿服务机构积极参与农村地区民政公共服务工作，共同推进乡村振兴。</w:t>
      </w:r>
    </w:p>
    <w:p w14:paraId="304875A6">
      <w:pPr>
        <w:adjustRightInd w:val="0"/>
        <w:snapToGrid w:val="0"/>
        <w:ind w:firstLine="31680"/>
        <w:rPr>
          <w:color w:val="000000"/>
        </w:rPr>
      </w:pPr>
    </w:p>
    <w:p w14:paraId="2E25B18D">
      <w:pPr>
        <w:pStyle w:val="25"/>
        <w:widowControl w:val="0"/>
        <w:outlineLvl w:val="1"/>
        <w:rPr>
          <w:rFonts w:eastAsia="方正黑体简体"/>
          <w:b w:val="0"/>
          <w:color w:val="000000"/>
        </w:rPr>
      </w:pPr>
      <w:bookmarkStart w:id="16" w:name="_Toc3941"/>
      <w:bookmarkStart w:id="17" w:name="_Toc9135"/>
      <w:r>
        <w:rPr>
          <w:rFonts w:hint="eastAsia" w:eastAsia="方正黑体简体"/>
          <w:b w:val="0"/>
          <w:color w:val="000000"/>
        </w:rPr>
        <w:t>第二节　健全完善社会救助制度</w:t>
      </w:r>
      <w:bookmarkEnd w:id="16"/>
      <w:bookmarkEnd w:id="17"/>
    </w:p>
    <w:p w14:paraId="6096C1F9">
      <w:pPr>
        <w:ind w:firstLine="31680"/>
        <w:rPr>
          <w:color w:val="000000"/>
        </w:rPr>
      </w:pPr>
    </w:p>
    <w:p w14:paraId="6E19E102">
      <w:pPr>
        <w:adjustRightInd w:val="0"/>
        <w:snapToGrid w:val="0"/>
        <w:ind w:firstLine="31680"/>
        <w:rPr>
          <w:color w:val="000000"/>
          <w:szCs w:val="32"/>
        </w:rPr>
      </w:pPr>
      <w:r>
        <w:rPr>
          <w:rFonts w:hint="eastAsia" w:hAnsi="仿宋_GB2312"/>
          <w:b/>
          <w:bCs/>
          <w:color w:val="000000"/>
          <w:szCs w:val="32"/>
        </w:rPr>
        <w:t>健全社会救助制度体系。</w:t>
      </w:r>
      <w:r>
        <w:rPr>
          <w:rFonts w:hint="eastAsia" w:hAnsi="仿宋_GB2312"/>
          <w:bCs/>
          <w:color w:val="000000"/>
          <w:szCs w:val="32"/>
        </w:rPr>
        <w:t>落实</w:t>
      </w:r>
      <w:r>
        <w:rPr>
          <w:rFonts w:hint="eastAsia" w:hAnsi="仿宋_GB2312"/>
          <w:color w:val="000000"/>
          <w:kern w:val="0"/>
          <w:szCs w:val="32"/>
        </w:rPr>
        <w:t>《福建省社会救助实施办法》。夯实基本生活救助，</w:t>
      </w:r>
      <w:r>
        <w:rPr>
          <w:rFonts w:hint="eastAsia" w:hAnsi="仿宋_GB2312"/>
          <w:color w:val="000000"/>
          <w:szCs w:val="32"/>
        </w:rPr>
        <w:t>完善各类基本生活救助家庭财产标准或条件，建立基本生活救助标准与最低工资标准挂钩的动态调整机制，完善社会救助和保障标准与物价上涨挂钩的联动机制，适当提高保障水平。完善最低生活保障审核确认办法，落实支出型贫困家庭、低收入家庭低保政策和延保渐退机制，提升低保救助精准化、规范化、及时化水平，分档或根据家庭人均收入与低保标准的实际差额发放低保金。贯彻落实民政部《特困人员认定办法》，将特困救助供养覆盖的未成年人年龄从</w:t>
      </w:r>
      <w:r>
        <w:rPr>
          <w:color w:val="000000"/>
          <w:szCs w:val="32"/>
        </w:rPr>
        <w:t>16</w:t>
      </w:r>
      <w:r>
        <w:rPr>
          <w:rFonts w:hint="eastAsia" w:hAnsi="仿宋_GB2312"/>
          <w:color w:val="000000"/>
          <w:szCs w:val="32"/>
        </w:rPr>
        <w:t>周岁延长至</w:t>
      </w:r>
      <w:r>
        <w:rPr>
          <w:color w:val="000000"/>
          <w:szCs w:val="32"/>
        </w:rPr>
        <w:t>18</w:t>
      </w:r>
      <w:r>
        <w:rPr>
          <w:rFonts w:hint="eastAsia" w:hAnsi="仿宋_GB2312"/>
          <w:color w:val="000000"/>
          <w:szCs w:val="32"/>
        </w:rPr>
        <w:t>周岁，建立集中供养特困人员定期探视、分散供养特困人员定期巡访制度，对有集中供养意愿的生活不能自理特困人员全部落实集中供养，对分散供养特困人员全面落实委托照料服务责任。</w:t>
      </w:r>
      <w:r>
        <w:rPr>
          <w:rFonts w:hint="eastAsia" w:hAnsi="仿宋_GB2312"/>
          <w:color w:val="000000"/>
          <w:kern w:val="0"/>
          <w:szCs w:val="32"/>
        </w:rPr>
        <w:t>开展</w:t>
      </w:r>
      <w:r>
        <w:rPr>
          <w:rFonts w:hint="eastAsia" w:hAnsi="仿宋_GB2312"/>
          <w:color w:val="000000"/>
          <w:szCs w:val="32"/>
        </w:rPr>
        <w:t>低收入</w:t>
      </w:r>
      <w:r>
        <w:rPr>
          <w:rFonts w:hint="eastAsia" w:hAnsi="仿宋_GB2312"/>
          <w:color w:val="000000"/>
          <w:kern w:val="0"/>
          <w:szCs w:val="32"/>
        </w:rPr>
        <w:t>家庭认定和救助帮扶，</w:t>
      </w:r>
      <w:r>
        <w:rPr>
          <w:rFonts w:hint="eastAsia" w:hAnsi="仿宋_GB2312"/>
          <w:color w:val="000000"/>
          <w:szCs w:val="32"/>
        </w:rPr>
        <w:t>将共同生活的家庭成员人均收入在当地低保标准</w:t>
      </w:r>
      <w:r>
        <w:rPr>
          <w:color w:val="000000"/>
          <w:szCs w:val="32"/>
        </w:rPr>
        <w:t>1</w:t>
      </w:r>
      <w:r>
        <w:rPr>
          <w:rFonts w:hint="eastAsia"/>
          <w:color w:val="000000"/>
          <w:szCs w:val="32"/>
        </w:rPr>
        <w:t>～</w:t>
      </w:r>
      <w:r>
        <w:rPr>
          <w:color w:val="000000"/>
          <w:szCs w:val="32"/>
        </w:rPr>
        <w:t>2</w:t>
      </w:r>
      <w:r>
        <w:rPr>
          <w:rFonts w:hint="eastAsia" w:hAnsi="仿宋_GB2312"/>
          <w:color w:val="000000"/>
          <w:szCs w:val="32"/>
        </w:rPr>
        <w:t>倍之间、财产状况符合相关规定的认定为低保边缘家庭，根据实际给予低收入家庭相应的专项社会救助或实施其他必要救助措施。强化急难社会救助功能，对遭遇突发事件、意外伤害、重大疾病，受重大疫情等突发公共卫生事件影响或由于其他特殊原因导致基本生活暂时陷入困境，靠自身和家庭无力解决，其他社会救助制度暂时无法覆盖或救助之后生活仍有困难的家庭或个人以及临时遇困、生活无着人员，给予应急性、过渡性生活保障，逐步取消户籍地、居住地申请限制，探索由急难发生地实施临时救助。依靠全省统一开通的社会救助服务热线，畅通急难社会救助申请和急难情况及时报告、主动发现渠道，建立健全快速响应、个案会商</w:t>
      </w:r>
      <w:r>
        <w:rPr>
          <w:color w:val="000000"/>
          <w:szCs w:val="32"/>
        </w:rPr>
        <w:t>“</w:t>
      </w:r>
      <w:r>
        <w:rPr>
          <w:rFonts w:hint="eastAsia" w:hAnsi="仿宋_GB2312"/>
          <w:color w:val="000000"/>
          <w:szCs w:val="32"/>
        </w:rPr>
        <w:t>救急难</w:t>
      </w:r>
      <w:r>
        <w:rPr>
          <w:color w:val="000000"/>
          <w:szCs w:val="32"/>
        </w:rPr>
        <w:t>”</w:t>
      </w:r>
      <w:r>
        <w:rPr>
          <w:rFonts w:hint="eastAsia" w:hAnsi="仿宋_GB2312"/>
          <w:color w:val="000000"/>
          <w:szCs w:val="32"/>
        </w:rPr>
        <w:t>工作机制。加强残疾儿童康复救助、重度残疾人护理补贴、孤儿保障、事实无人抚养儿童保障等制度与社会救助政策有效衔接。</w:t>
      </w:r>
    </w:p>
    <w:p w14:paraId="31ADB3DA">
      <w:pPr>
        <w:adjustRightInd w:val="0"/>
        <w:snapToGrid w:val="0"/>
        <w:ind w:firstLine="31680"/>
        <w:rPr>
          <w:color w:val="000000"/>
          <w:szCs w:val="32"/>
        </w:rPr>
      </w:pPr>
      <w:r>
        <w:rPr>
          <w:rFonts w:hint="eastAsia"/>
          <w:b/>
          <w:bCs/>
          <w:color w:val="000000"/>
          <w:kern w:val="0"/>
          <w:szCs w:val="32"/>
        </w:rPr>
        <w:t>提升基层社会救助经办服务能力。</w:t>
      </w:r>
      <w:r>
        <w:rPr>
          <w:rFonts w:hint="eastAsia"/>
          <w:color w:val="000000"/>
          <w:kern w:val="0"/>
          <w:szCs w:val="32"/>
        </w:rPr>
        <w:t>市、县（市、区）</w:t>
      </w:r>
      <w:r>
        <w:rPr>
          <w:rFonts w:hint="eastAsia"/>
          <w:color w:val="000000"/>
          <w:szCs w:val="32"/>
        </w:rPr>
        <w:t>统筹研究制定完善救助机构、合理配备人员的措施，通过优化编制资源配置或政府购买服务方式，充实社会救助服务力量。强化乡镇（街道）社会救助责任和相关保障条件。乡镇（街道）配备社会救助协管员，</w:t>
      </w:r>
      <w:r>
        <w:rPr>
          <w:rFonts w:hint="eastAsia" w:hAnsi="仿宋_GB2312"/>
          <w:color w:val="000000"/>
          <w:szCs w:val="32"/>
        </w:rPr>
        <w:t>辖区户籍人口</w:t>
      </w:r>
      <w:r>
        <w:rPr>
          <w:color w:val="000000"/>
          <w:szCs w:val="32"/>
        </w:rPr>
        <w:t>2</w:t>
      </w:r>
      <w:r>
        <w:rPr>
          <w:rFonts w:hint="eastAsia" w:hAnsi="仿宋_GB2312"/>
          <w:color w:val="000000"/>
          <w:szCs w:val="32"/>
        </w:rPr>
        <w:t>万以下配备不少于</w:t>
      </w:r>
      <w:r>
        <w:rPr>
          <w:color w:val="000000"/>
          <w:szCs w:val="32"/>
        </w:rPr>
        <w:t>1</w:t>
      </w:r>
      <w:r>
        <w:rPr>
          <w:rFonts w:hint="eastAsia" w:hAnsi="仿宋_GB2312"/>
          <w:color w:val="000000"/>
          <w:szCs w:val="32"/>
        </w:rPr>
        <w:t>名，</w:t>
      </w:r>
      <w:r>
        <w:rPr>
          <w:color w:val="000000"/>
          <w:szCs w:val="32"/>
        </w:rPr>
        <w:t>2</w:t>
      </w:r>
      <w:r>
        <w:rPr>
          <w:rFonts w:hint="eastAsia" w:hAnsi="仿宋_GB2312"/>
          <w:color w:val="000000"/>
          <w:szCs w:val="32"/>
        </w:rPr>
        <w:t>～</w:t>
      </w:r>
      <w:r>
        <w:rPr>
          <w:color w:val="000000"/>
          <w:szCs w:val="32"/>
        </w:rPr>
        <w:t>5</w:t>
      </w:r>
      <w:r>
        <w:rPr>
          <w:rFonts w:hint="eastAsia" w:hAnsi="仿宋_GB2312"/>
          <w:color w:val="000000"/>
          <w:szCs w:val="32"/>
        </w:rPr>
        <w:t>万配备不少于</w:t>
      </w:r>
      <w:r>
        <w:rPr>
          <w:color w:val="000000"/>
          <w:szCs w:val="32"/>
        </w:rPr>
        <w:t>2</w:t>
      </w:r>
      <w:r>
        <w:rPr>
          <w:rFonts w:hint="eastAsia" w:hAnsi="仿宋_GB2312"/>
          <w:color w:val="000000"/>
          <w:szCs w:val="32"/>
        </w:rPr>
        <w:t>名，</w:t>
      </w:r>
      <w:r>
        <w:rPr>
          <w:color w:val="000000"/>
          <w:szCs w:val="32"/>
        </w:rPr>
        <w:t>5</w:t>
      </w:r>
      <w:r>
        <w:rPr>
          <w:rFonts w:hint="eastAsia" w:hAnsi="仿宋_GB2312"/>
          <w:color w:val="000000"/>
          <w:szCs w:val="32"/>
        </w:rPr>
        <w:t>～</w:t>
      </w:r>
      <w:r>
        <w:rPr>
          <w:color w:val="000000"/>
          <w:szCs w:val="32"/>
        </w:rPr>
        <w:t>10</w:t>
      </w:r>
      <w:r>
        <w:rPr>
          <w:rFonts w:hint="eastAsia" w:hAnsi="仿宋_GB2312"/>
          <w:color w:val="000000"/>
          <w:szCs w:val="32"/>
        </w:rPr>
        <w:t>万以上配备不少于</w:t>
      </w:r>
      <w:r>
        <w:rPr>
          <w:color w:val="000000"/>
          <w:szCs w:val="32"/>
        </w:rPr>
        <w:t>3</w:t>
      </w:r>
      <w:r>
        <w:rPr>
          <w:rFonts w:hint="eastAsia" w:hAnsi="仿宋_GB2312"/>
          <w:color w:val="000000"/>
          <w:szCs w:val="32"/>
        </w:rPr>
        <w:t>名，</w:t>
      </w:r>
      <w:r>
        <w:rPr>
          <w:color w:val="000000"/>
          <w:szCs w:val="32"/>
        </w:rPr>
        <w:t>10</w:t>
      </w:r>
      <w:r>
        <w:rPr>
          <w:rFonts w:hint="eastAsia" w:hAnsi="仿宋_GB2312"/>
          <w:color w:val="000000"/>
          <w:szCs w:val="32"/>
        </w:rPr>
        <w:t>万以上配备不少于</w:t>
      </w:r>
      <w:r>
        <w:rPr>
          <w:color w:val="000000"/>
          <w:szCs w:val="32"/>
        </w:rPr>
        <w:t>4</w:t>
      </w:r>
      <w:r>
        <w:rPr>
          <w:rFonts w:hint="eastAsia" w:hAnsi="仿宋_GB2312"/>
          <w:color w:val="000000"/>
          <w:szCs w:val="32"/>
        </w:rPr>
        <w:t>名。村（社区）配备</w:t>
      </w:r>
      <w:r>
        <w:rPr>
          <w:color w:val="000000"/>
          <w:szCs w:val="32"/>
        </w:rPr>
        <w:t>1</w:t>
      </w:r>
      <w:r>
        <w:rPr>
          <w:rFonts w:hint="eastAsia"/>
          <w:color w:val="000000"/>
          <w:szCs w:val="32"/>
        </w:rPr>
        <w:t>～</w:t>
      </w:r>
      <w:r>
        <w:rPr>
          <w:color w:val="000000"/>
          <w:szCs w:val="32"/>
        </w:rPr>
        <w:t>2</w:t>
      </w:r>
      <w:r>
        <w:rPr>
          <w:rFonts w:hint="eastAsia" w:hAnsi="仿宋_GB2312"/>
          <w:color w:val="000000"/>
          <w:szCs w:val="32"/>
        </w:rPr>
        <w:t>名专兼职社会救助协理员，困难群众较多的建立社会救助服务站（点）。给予乡镇（街道）配备的社会救助协管员与同级聘用人员相同的岗位待</w:t>
      </w:r>
      <w:r>
        <w:rPr>
          <w:rFonts w:hint="eastAsia"/>
          <w:color w:val="000000"/>
          <w:szCs w:val="32"/>
        </w:rPr>
        <w:t>遇，提供必要的工作场所、设施设备和交通通信费用，所需工作经费纳入各级财政预算。加强社会救助政策宣传和理论研究，常态化开展</w:t>
      </w:r>
      <w:r>
        <w:rPr>
          <w:color w:val="000000"/>
          <w:szCs w:val="32"/>
        </w:rPr>
        <w:t>“</w:t>
      </w:r>
      <w:r>
        <w:rPr>
          <w:rFonts w:hint="eastAsia"/>
          <w:color w:val="000000"/>
          <w:szCs w:val="32"/>
        </w:rPr>
        <w:t>社会救助政策宣讲进村（社区）</w:t>
      </w:r>
      <w:r>
        <w:rPr>
          <w:color w:val="000000"/>
          <w:szCs w:val="32"/>
        </w:rPr>
        <w:t>”</w:t>
      </w:r>
      <w:r>
        <w:rPr>
          <w:rFonts w:hint="eastAsia"/>
          <w:color w:val="000000"/>
          <w:szCs w:val="32"/>
        </w:rPr>
        <w:t>活动。落实分级培训要求，</w:t>
      </w:r>
      <w:r>
        <w:rPr>
          <w:rFonts w:hint="eastAsia" w:hAnsi="仿宋_GB2312"/>
          <w:color w:val="000000"/>
          <w:szCs w:val="32"/>
        </w:rPr>
        <w:t>加强对县（市、区）、乡镇（街道）、村（社区）经办人员的业务培训，</w:t>
      </w:r>
      <w:r>
        <w:rPr>
          <w:rFonts w:hint="eastAsia" w:hAnsi="仿宋_GB2312"/>
          <w:color w:val="000000"/>
          <w:spacing w:val="-6"/>
          <w:szCs w:val="32"/>
        </w:rPr>
        <w:t>确保基层干部和经办人员熟练掌握社会救助政策要点和业务知识。</w:t>
      </w:r>
    </w:p>
    <w:p w14:paraId="48B91F09">
      <w:pPr>
        <w:snapToGrid w:val="0"/>
        <w:ind w:firstLine="31680"/>
        <w:rPr>
          <w:color w:val="000000"/>
          <w:szCs w:val="32"/>
        </w:rPr>
      </w:pPr>
      <w:r>
        <w:rPr>
          <w:rFonts w:hint="eastAsia"/>
          <w:b/>
          <w:bCs/>
          <w:color w:val="000000"/>
          <w:szCs w:val="32"/>
        </w:rPr>
        <w:t>引导动员社会力量参与社会救助。</w:t>
      </w:r>
      <w:r>
        <w:rPr>
          <w:rFonts w:hint="eastAsia"/>
          <w:bCs/>
          <w:color w:val="000000"/>
          <w:szCs w:val="32"/>
        </w:rPr>
        <w:t>依靠</w:t>
      </w:r>
      <w:r>
        <w:rPr>
          <w:rFonts w:hint="eastAsia"/>
          <w:color w:val="000000"/>
          <w:szCs w:val="32"/>
        </w:rPr>
        <w:t>社会救助供需对接平台，推进社会救助和慈善资源信息有效对接。鼓励社会力量和市场主体参与社会救助，扩大服务供给。引导慈善组织开展慈善救助项目和活动，实现政府救助与慈善救助、社会帮扶有机结合。支持社会工作服务机构和社会工作者协助社会救助部门开展相关服务，帮助救助对象构建家庭和社会支持网络。加强社会救助志愿服务制度建设，建立志愿者与救助对象结对帮扶机制，发挥志愿服务在社会救助领域的积极作用。</w:t>
      </w:r>
    </w:p>
    <w:p w14:paraId="129CFD09">
      <w:pPr>
        <w:snapToGrid w:val="0"/>
        <w:ind w:firstLine="31680"/>
        <w:rPr>
          <w:b/>
          <w:bCs/>
          <w:color w:val="000000"/>
          <w:kern w:val="0"/>
          <w:szCs w:val="32"/>
        </w:rPr>
      </w:pPr>
      <w:r>
        <w:rPr>
          <w:rFonts w:hint="eastAsia"/>
          <w:b/>
          <w:bCs/>
          <w:color w:val="000000"/>
          <w:kern w:val="0"/>
          <w:szCs w:val="32"/>
        </w:rPr>
        <w:t>推动社会救助改革创新。</w:t>
      </w:r>
      <w:r>
        <w:rPr>
          <w:rFonts w:hint="eastAsia"/>
          <w:color w:val="000000"/>
          <w:kern w:val="0"/>
          <w:szCs w:val="32"/>
        </w:rPr>
        <w:t>社会救助审核确认权限有序下放至乡镇（街道），推行社会救助事项</w:t>
      </w:r>
      <w:r>
        <w:rPr>
          <w:color w:val="000000"/>
          <w:kern w:val="0"/>
          <w:szCs w:val="32"/>
        </w:rPr>
        <w:t>“</w:t>
      </w:r>
      <w:r>
        <w:rPr>
          <w:rFonts w:hint="eastAsia"/>
          <w:color w:val="000000"/>
          <w:kern w:val="0"/>
          <w:szCs w:val="32"/>
        </w:rPr>
        <w:t>一窗受理、一网通办</w:t>
      </w:r>
      <w:r>
        <w:rPr>
          <w:color w:val="000000"/>
          <w:kern w:val="0"/>
          <w:szCs w:val="32"/>
        </w:rPr>
        <w:t>”</w:t>
      </w:r>
      <w:r>
        <w:rPr>
          <w:rFonts w:hint="eastAsia"/>
          <w:color w:val="000000"/>
          <w:kern w:val="0"/>
          <w:szCs w:val="32"/>
        </w:rPr>
        <w:t>，提高审批服务效率</w:t>
      </w:r>
      <w:r>
        <w:rPr>
          <w:rFonts w:hint="eastAsia"/>
          <w:color w:val="000000"/>
          <w:szCs w:val="32"/>
        </w:rPr>
        <w:t>。</w:t>
      </w:r>
      <w:r>
        <w:rPr>
          <w:rFonts w:hint="eastAsia"/>
          <w:color w:val="000000"/>
          <w:kern w:val="0"/>
          <w:szCs w:val="32"/>
        </w:rPr>
        <w:t>加大政府购买服务力度，</w:t>
      </w:r>
      <w:r>
        <w:rPr>
          <w:rFonts w:hint="eastAsia"/>
          <w:color w:val="000000"/>
          <w:szCs w:val="32"/>
        </w:rPr>
        <w:t>积极发展服务类社会救助，形成</w:t>
      </w:r>
      <w:r>
        <w:rPr>
          <w:color w:val="000000"/>
          <w:szCs w:val="32"/>
        </w:rPr>
        <w:t>“</w:t>
      </w:r>
      <w:r>
        <w:rPr>
          <w:rFonts w:hint="eastAsia"/>
          <w:color w:val="000000"/>
          <w:szCs w:val="32"/>
        </w:rPr>
        <w:t>资金</w:t>
      </w:r>
      <w:r>
        <w:rPr>
          <w:color w:val="000000"/>
          <w:szCs w:val="32"/>
        </w:rPr>
        <w:t>+</w:t>
      </w:r>
      <w:r>
        <w:rPr>
          <w:rFonts w:hint="eastAsia"/>
          <w:color w:val="000000"/>
          <w:szCs w:val="32"/>
        </w:rPr>
        <w:t>物质</w:t>
      </w:r>
      <w:r>
        <w:rPr>
          <w:color w:val="000000"/>
          <w:szCs w:val="32"/>
        </w:rPr>
        <w:t>+</w:t>
      </w:r>
      <w:r>
        <w:rPr>
          <w:rFonts w:hint="eastAsia"/>
          <w:color w:val="000000"/>
          <w:szCs w:val="32"/>
        </w:rPr>
        <w:t>服务</w:t>
      </w:r>
      <w:r>
        <w:rPr>
          <w:color w:val="000000"/>
          <w:szCs w:val="32"/>
        </w:rPr>
        <w:t>”</w:t>
      </w:r>
      <w:r>
        <w:rPr>
          <w:rFonts w:hint="eastAsia"/>
          <w:color w:val="000000"/>
          <w:szCs w:val="32"/>
        </w:rPr>
        <w:t>的救助方式</w:t>
      </w:r>
      <w:r>
        <w:rPr>
          <w:rFonts w:hint="eastAsia"/>
          <w:color w:val="000000"/>
          <w:kern w:val="0"/>
          <w:szCs w:val="32"/>
        </w:rPr>
        <w:t>。</w:t>
      </w:r>
      <w:r>
        <w:rPr>
          <w:rFonts w:hint="eastAsia"/>
          <w:color w:val="000000"/>
          <w:szCs w:val="32"/>
        </w:rPr>
        <w:t>政府购买社会救助服务所需经费，</w:t>
      </w:r>
      <w:r>
        <w:rPr>
          <w:rFonts w:hint="eastAsia" w:hAnsi="仿宋_GB2312"/>
          <w:color w:val="000000"/>
          <w:szCs w:val="32"/>
        </w:rPr>
        <w:t>从已有社会救助工作经费或困难群众救助补助资金等社会救助专项经费中列支，</w:t>
      </w:r>
      <w:r>
        <w:rPr>
          <w:rFonts w:hint="eastAsia"/>
          <w:color w:val="000000"/>
          <w:kern w:val="0"/>
          <w:szCs w:val="32"/>
        </w:rPr>
        <w:t>按上年度困难群众补助资金的</w:t>
      </w:r>
      <w:r>
        <w:rPr>
          <w:color w:val="000000"/>
          <w:kern w:val="0"/>
          <w:szCs w:val="32"/>
        </w:rPr>
        <w:t>3%</w:t>
      </w:r>
      <w:r>
        <w:rPr>
          <w:rFonts w:hint="eastAsia"/>
          <w:color w:val="000000"/>
          <w:kern w:val="0"/>
          <w:szCs w:val="32"/>
        </w:rPr>
        <w:t>比例安排，</w:t>
      </w:r>
      <w:r>
        <w:rPr>
          <w:rFonts w:hint="eastAsia" w:hAnsi="仿宋_GB2312"/>
          <w:color w:val="000000"/>
          <w:szCs w:val="32"/>
        </w:rPr>
        <w:t>或由各市、县（市、区）财政单独列支</w:t>
      </w:r>
      <w:r>
        <w:rPr>
          <w:rFonts w:hint="eastAsia"/>
          <w:color w:val="000000"/>
          <w:kern w:val="0"/>
          <w:szCs w:val="32"/>
        </w:rPr>
        <w:t>。</w:t>
      </w:r>
    </w:p>
    <w:p w14:paraId="64ADE980">
      <w:pPr>
        <w:snapToGrid w:val="0"/>
        <w:ind w:firstLine="31680"/>
        <w:rPr>
          <w:b/>
          <w:bCs/>
          <w:color w:val="000000"/>
          <w:kern w:val="0"/>
          <w:szCs w:val="32"/>
        </w:rPr>
      </w:pPr>
      <w:r>
        <w:rPr>
          <w:rFonts w:hint="eastAsia"/>
          <w:b/>
          <w:bCs/>
          <w:color w:val="000000"/>
          <w:kern w:val="0"/>
          <w:szCs w:val="32"/>
        </w:rPr>
        <w:t>加强对社会救助工作的监督管理。</w:t>
      </w:r>
      <w:r>
        <w:rPr>
          <w:rFonts w:hint="eastAsia"/>
          <w:color w:val="000000"/>
          <w:kern w:val="0"/>
          <w:szCs w:val="32"/>
        </w:rPr>
        <w:t>健全社会救助信息公开制度，加大社会救助信息公开力度，主动接受社会监督，确保社会救助公平公正。加强社会救助资金使用管理，规范困难群众救助补助资金使用管理。深化乡村振兴（扶贫惠民）资金在线监管系统应用，实现资金分配全流程实时追溯到人到户到单位。加大绩效考核和监督检查力度，将社会救助政策落实情况按规定纳入政府绩效考核指标、纳入各地区各部门工作绩效评价。建立社会救助家庭守信激励和失信惩戒机制，全面推行申报社会救助事项守信承诺制度，探索建立失信记录制度，形成</w:t>
      </w:r>
      <w:r>
        <w:rPr>
          <w:color w:val="000000"/>
          <w:kern w:val="0"/>
          <w:szCs w:val="32"/>
        </w:rPr>
        <w:t>“</w:t>
      </w:r>
      <w:r>
        <w:rPr>
          <w:rFonts w:hint="eastAsia"/>
          <w:color w:val="000000"/>
          <w:kern w:val="0"/>
          <w:szCs w:val="32"/>
        </w:rPr>
        <w:t>一处失信、处处受限</w:t>
      </w:r>
      <w:r>
        <w:rPr>
          <w:color w:val="000000"/>
          <w:kern w:val="0"/>
          <w:szCs w:val="32"/>
        </w:rPr>
        <w:t>”</w:t>
      </w:r>
      <w:r>
        <w:rPr>
          <w:rFonts w:hint="eastAsia"/>
          <w:color w:val="000000"/>
          <w:kern w:val="0"/>
          <w:szCs w:val="32"/>
        </w:rPr>
        <w:t>的联合惩戒格局。建立低保对象、特困人员和低保边缘家庭定期核查和主动报告制度。</w:t>
      </w:r>
    </w:p>
    <w:p w14:paraId="2B777108">
      <w:pPr>
        <w:adjustRightInd w:val="0"/>
        <w:snapToGrid w:val="0"/>
        <w:ind w:firstLine="31680"/>
        <w:rPr>
          <w:color w:val="000000"/>
          <w:szCs w:val="32"/>
        </w:rPr>
      </w:pPr>
      <w:r>
        <w:rPr>
          <w:rFonts w:hint="eastAsia"/>
          <w:b/>
          <w:bCs/>
          <w:color w:val="000000"/>
          <w:szCs w:val="32"/>
        </w:rPr>
        <w:t>优化流浪乞讨人员救助管理。</w:t>
      </w:r>
      <w:r>
        <w:rPr>
          <w:rFonts w:hint="eastAsia"/>
          <w:color w:val="000000"/>
          <w:szCs w:val="32"/>
        </w:rPr>
        <w:t>健全救助管理工作体制机制，参照省上结构，建立市、县级由政府负责人牵头的救助管理工作领导协调机制。将救助管理工作纳入平安建设（综治工作）考核评价体系，作为考核评价党政领导班子和有关领导干部政绩的重要内容。建立健全街面流浪乞讨人员转介处置机制，明确未成年人、老年人、精神障碍患者等特殊救助对象转介处置程序。完善源头治理和回归稳固机制，建立返乡受助人员信息台账。落实第三方监督委员会或特邀监督员制度，对救助机构和托养机构的运行管理、人员照料情况进行监督。提升救助管理工作服务能力，切实加强对托养机构的监管，保障送托人员合法权益。提升救助寻亲服务水平，加强与相关部门协同配合，建立专业化寻亲队伍，充分利用</w:t>
      </w:r>
      <w:r>
        <w:rPr>
          <w:color w:val="000000"/>
          <w:szCs w:val="32"/>
        </w:rPr>
        <w:t>DNA</w:t>
      </w:r>
      <w:r>
        <w:rPr>
          <w:rFonts w:hint="eastAsia"/>
          <w:color w:val="000000"/>
          <w:szCs w:val="32"/>
        </w:rPr>
        <w:t>比对、人像识别等智能化手段开展寻亲服务。对符合落户安置条件的长期滞留人员及时予以落户安置，纳入社会保障体系。强化救助管理工作保障，加强救助机构基础设施建设，为救助机构配置必要的设备。加强队伍建设，定期开展救助管理政策与实务培训。广泛引导社会力量参与救助服务，通过政府购买服务、志愿服务、公益合作、慈善捐助等方式，为流浪乞讨人员提供相关服务。加强救助管理工作标准化建设，制定并实施站内照料、护送返乡等方面标准。</w:t>
      </w:r>
    </w:p>
    <w:tbl>
      <w:tblPr>
        <w:tblStyle w:val="13"/>
        <w:tblW w:w="9084" w:type="dxa"/>
        <w:jc w:val="center"/>
        <w:tblBorders>
          <w:top w:val="single" w:color="auto" w:sz="4" w:space="0"/>
          <w:left w:val="single" w:color="auto" w:sz="4" w:space="0"/>
          <w:bottom w:val="single" w:color="000000" w:sz="8"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34CD8DEF">
        <w:tblPrEx>
          <w:tblBorders>
            <w:top w:val="single" w:color="auto" w:sz="4" w:space="0"/>
            <w:left w:val="single" w:color="auto" w:sz="4" w:space="0"/>
            <w:bottom w:val="single" w:color="000000" w:sz="8"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4" w:type="dxa"/>
          </w:tcPr>
          <w:p w14:paraId="5760E96B">
            <w:pPr>
              <w:spacing w:line="380" w:lineRule="exact"/>
              <w:ind w:firstLine="11" w:firstLineChars="4"/>
              <w:jc w:val="center"/>
              <w:rPr>
                <w:rFonts w:eastAsia="方正仿宋简体"/>
                <w:b/>
                <w:bCs/>
                <w:color w:val="000000"/>
                <w:sz w:val="28"/>
                <w:szCs w:val="28"/>
                <w:lang w:val="zh-CN"/>
              </w:rPr>
            </w:pPr>
            <w:bookmarkStart w:id="18" w:name="_Toc51153195"/>
            <w:bookmarkStart w:id="19" w:name="_Toc51218627"/>
            <w:bookmarkStart w:id="20" w:name="_Toc53904183"/>
            <w:r>
              <w:rPr>
                <w:rFonts w:hint="eastAsia" w:eastAsia="方正仿宋简体"/>
                <w:b/>
                <w:color w:val="000000"/>
                <w:sz w:val="28"/>
                <w:szCs w:val="28"/>
              </w:rPr>
              <w:t>专栏</w:t>
            </w:r>
            <w:r>
              <w:rPr>
                <w:rFonts w:eastAsia="方正仿宋简体"/>
                <w:b/>
                <w:color w:val="000000"/>
                <w:sz w:val="28"/>
                <w:szCs w:val="28"/>
              </w:rPr>
              <w:t>3</w:t>
            </w:r>
            <w:r>
              <w:rPr>
                <w:rFonts w:hint="eastAsia" w:eastAsia="方正仿宋简体"/>
                <w:b/>
                <w:color w:val="000000"/>
                <w:sz w:val="28"/>
                <w:szCs w:val="28"/>
              </w:rPr>
              <w:t>：社会救助兜底保障</w:t>
            </w:r>
            <w:bookmarkEnd w:id="18"/>
            <w:bookmarkEnd w:id="19"/>
            <w:bookmarkEnd w:id="20"/>
            <w:r>
              <w:rPr>
                <w:rFonts w:hint="eastAsia" w:eastAsia="方正仿宋简体"/>
                <w:b/>
                <w:color w:val="000000"/>
                <w:sz w:val="28"/>
                <w:szCs w:val="28"/>
              </w:rPr>
              <w:t>工程</w:t>
            </w:r>
          </w:p>
        </w:tc>
      </w:tr>
      <w:tr w14:paraId="183C69C4">
        <w:tblPrEx>
          <w:tblBorders>
            <w:top w:val="single" w:color="auto" w:sz="4" w:space="0"/>
            <w:left w:val="single" w:color="auto" w:sz="4" w:space="0"/>
            <w:bottom w:val="single" w:color="000000" w:sz="8"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3" w:hRule="atLeast"/>
          <w:jc w:val="center"/>
        </w:trPr>
        <w:tc>
          <w:tcPr>
            <w:tcW w:w="9084" w:type="dxa"/>
            <w:tcBorders>
              <w:bottom w:val="single" w:color="000000" w:sz="8" w:space="0"/>
            </w:tcBorders>
          </w:tcPr>
          <w:p w14:paraId="4C1DA0F8">
            <w:pPr>
              <w:pStyle w:val="12"/>
              <w:widowControl w:val="0"/>
              <w:adjustRightInd w:val="0"/>
              <w:snapToGrid w:val="0"/>
              <w:spacing w:before="0" w:beforeAutospacing="0" w:after="0" w:afterAutospacing="0" w:line="380" w:lineRule="exact"/>
              <w:ind w:firstLine="482" w:firstLineChars="200"/>
              <w:rPr>
                <w:rFonts w:ascii="Times New Roman" w:eastAsia="方正仿宋简体" w:cs="Times New Roman"/>
                <w:lang w:val="zh-CN"/>
              </w:rPr>
            </w:pPr>
            <w:bookmarkStart w:id="21" w:name="_Hlk49583610"/>
            <w:r>
              <w:rPr>
                <w:rFonts w:ascii="Times New Roman" w:eastAsia="方正仿宋简体" w:cs="Times New Roman"/>
                <w:b/>
              </w:rPr>
              <w:t>1.</w:t>
            </w:r>
            <w:r>
              <w:rPr>
                <w:rFonts w:ascii="Times New Roman" w:eastAsia="方正仿宋简体" w:cs="Times New Roman"/>
                <w:b/>
                <w:lang w:val="zh-CN"/>
              </w:rPr>
              <w:t>“</w:t>
            </w:r>
            <w:r>
              <w:rPr>
                <w:rFonts w:hint="eastAsia" w:ascii="Times New Roman" w:eastAsia="方正仿宋简体" w:cs="Times New Roman"/>
                <w:b/>
                <w:lang w:val="zh-CN"/>
              </w:rPr>
              <w:t>智慧救助</w:t>
            </w:r>
            <w:r>
              <w:rPr>
                <w:rFonts w:ascii="Times New Roman" w:eastAsia="方正仿宋简体" w:cs="Times New Roman"/>
                <w:b/>
                <w:lang w:val="zh-CN"/>
              </w:rPr>
              <w:t>”</w:t>
            </w:r>
            <w:r>
              <w:rPr>
                <w:rFonts w:hint="eastAsia" w:ascii="Times New Roman" w:eastAsia="方正仿宋简体" w:cs="Times New Roman"/>
                <w:b/>
                <w:lang w:val="zh-CN"/>
              </w:rPr>
              <w:t>：</w:t>
            </w:r>
            <w:r>
              <w:rPr>
                <w:rFonts w:hint="eastAsia" w:ascii="Times New Roman" w:eastAsia="方正仿宋简体" w:cs="Times New Roman"/>
                <w:lang w:val="zh-CN"/>
              </w:rPr>
              <w:t>配合建设全省社会救助综合管理信息平台，统一汇集、互通共享各类救助信息，拓展完善救助平台功能，为开展困难群众数据比对、监测预警、分析研判、综合救助、帮扶服务、政策衔接、社会监督等提供支持。推进</w:t>
            </w:r>
            <w:r>
              <w:rPr>
                <w:rFonts w:ascii="Times New Roman" w:eastAsia="方正仿宋简体" w:cs="Times New Roman"/>
                <w:lang w:val="zh-CN"/>
              </w:rPr>
              <w:t>“</w:t>
            </w:r>
            <w:r>
              <w:rPr>
                <w:rFonts w:hint="eastAsia" w:ascii="Times New Roman" w:eastAsia="方正仿宋简体" w:cs="Times New Roman"/>
                <w:lang w:val="zh-CN"/>
              </w:rPr>
              <w:t>互联网</w:t>
            </w:r>
            <w:r>
              <w:rPr>
                <w:rFonts w:ascii="Times New Roman" w:eastAsia="方正仿宋简体" w:cs="Times New Roman"/>
                <w:lang w:val="zh-CN"/>
              </w:rPr>
              <w:t>+</w:t>
            </w:r>
            <w:r>
              <w:rPr>
                <w:rFonts w:hint="eastAsia" w:ascii="Times New Roman" w:eastAsia="方正仿宋简体" w:cs="Times New Roman"/>
                <w:lang w:val="zh-CN"/>
              </w:rPr>
              <w:t>政务服务</w:t>
            </w:r>
            <w:r>
              <w:rPr>
                <w:rFonts w:ascii="Times New Roman" w:eastAsia="方正仿宋简体" w:cs="Times New Roman"/>
                <w:lang w:val="zh-CN"/>
              </w:rPr>
              <w:t>+</w:t>
            </w:r>
            <w:r>
              <w:rPr>
                <w:rFonts w:hint="eastAsia" w:ascii="Times New Roman" w:eastAsia="方正仿宋简体" w:cs="Times New Roman"/>
                <w:lang w:val="zh-CN"/>
              </w:rPr>
              <w:t>社会救助</w:t>
            </w:r>
            <w:r>
              <w:rPr>
                <w:rFonts w:ascii="Times New Roman" w:eastAsia="方正仿宋简体" w:cs="Times New Roman"/>
                <w:lang w:val="zh-CN"/>
              </w:rPr>
              <w:t>”</w:t>
            </w:r>
            <w:r>
              <w:rPr>
                <w:rFonts w:hint="eastAsia" w:ascii="Times New Roman" w:eastAsia="方正仿宋简体" w:cs="Times New Roman"/>
                <w:lang w:val="zh-CN"/>
              </w:rPr>
              <w:t>服务改革，推动社会救助服务向</w:t>
            </w:r>
            <w:r>
              <w:rPr>
                <w:rFonts w:ascii="Times New Roman" w:eastAsia="方正仿宋简体" w:cs="Times New Roman"/>
                <w:lang w:val="zh-CN"/>
              </w:rPr>
              <w:t>“</w:t>
            </w:r>
            <w:r>
              <w:rPr>
                <w:rFonts w:hint="eastAsia" w:ascii="Times New Roman" w:eastAsia="方正仿宋简体" w:cs="Times New Roman"/>
                <w:lang w:val="zh-CN"/>
              </w:rPr>
              <w:t>闽政通</w:t>
            </w:r>
            <w:r>
              <w:rPr>
                <w:rFonts w:ascii="Times New Roman" w:eastAsia="方正仿宋简体" w:cs="Times New Roman"/>
                <w:lang w:val="zh-CN"/>
              </w:rPr>
              <w:t>”</w:t>
            </w:r>
            <w:r>
              <w:rPr>
                <w:rFonts w:hint="eastAsia" w:ascii="Times New Roman" w:eastAsia="方正仿宋简体" w:cs="Times New Roman"/>
                <w:lang w:val="zh-CN"/>
              </w:rPr>
              <w:t>等移动端和网上办事大厅等延伸，实现救助事项</w:t>
            </w:r>
            <w:r>
              <w:rPr>
                <w:rFonts w:ascii="Times New Roman" w:eastAsia="方正仿宋简体" w:cs="Times New Roman"/>
                <w:lang w:val="zh-CN"/>
              </w:rPr>
              <w:t>“</w:t>
            </w:r>
            <w:r>
              <w:rPr>
                <w:rFonts w:hint="eastAsia" w:ascii="Times New Roman" w:eastAsia="方正仿宋简体" w:cs="Times New Roman"/>
                <w:lang w:val="zh-CN"/>
              </w:rPr>
              <w:t>掌上办</w:t>
            </w:r>
            <w:r>
              <w:rPr>
                <w:rFonts w:ascii="Times New Roman" w:eastAsia="方正仿宋简体" w:cs="Times New Roman"/>
                <w:lang w:val="zh-CN"/>
              </w:rPr>
              <w:t>”“</w:t>
            </w:r>
            <w:r>
              <w:rPr>
                <w:rFonts w:hint="eastAsia" w:ascii="Times New Roman" w:eastAsia="方正仿宋简体" w:cs="Times New Roman"/>
                <w:lang w:val="zh-CN"/>
              </w:rPr>
              <w:t>指尖办</w:t>
            </w:r>
            <w:r>
              <w:rPr>
                <w:rFonts w:ascii="Times New Roman" w:eastAsia="方正仿宋简体" w:cs="Times New Roman"/>
                <w:lang w:val="zh-CN"/>
              </w:rPr>
              <w:t>”</w:t>
            </w:r>
            <w:r>
              <w:rPr>
                <w:rFonts w:hint="eastAsia" w:ascii="Times New Roman" w:eastAsia="方正仿宋简体" w:cs="Times New Roman"/>
                <w:lang w:val="zh-CN"/>
              </w:rPr>
              <w:t>。加快现代信息技术特别是互联网、大数据、人工智能、区块链、</w:t>
            </w:r>
            <w:r>
              <w:rPr>
                <w:rFonts w:ascii="Times New Roman" w:eastAsia="方正仿宋简体" w:cs="Times New Roman"/>
                <w:lang w:val="zh-CN"/>
              </w:rPr>
              <w:t>5G</w:t>
            </w:r>
            <w:r>
              <w:rPr>
                <w:rFonts w:hint="eastAsia" w:ascii="Times New Roman" w:eastAsia="方正仿宋简体" w:cs="Times New Roman"/>
                <w:lang w:val="zh-CN"/>
              </w:rPr>
              <w:t>等现代信息技术在社会救助领域的运用推广，推进救助信息聚合、救助资源统筹、救助效率提升。</w:t>
            </w:r>
          </w:p>
          <w:p w14:paraId="71593D48">
            <w:pPr>
              <w:pStyle w:val="12"/>
              <w:widowControl w:val="0"/>
              <w:adjustRightInd w:val="0"/>
              <w:snapToGrid w:val="0"/>
              <w:spacing w:before="0" w:beforeAutospacing="0" w:after="0" w:afterAutospacing="0" w:line="380" w:lineRule="exact"/>
              <w:ind w:firstLine="482" w:firstLineChars="200"/>
              <w:rPr>
                <w:rFonts w:ascii="Times New Roman" w:eastAsia="方正仿宋简体" w:cs="Times New Roman"/>
                <w:lang w:val="zh-CN"/>
              </w:rPr>
            </w:pPr>
            <w:r>
              <w:rPr>
                <w:rFonts w:ascii="Times New Roman" w:eastAsia="方正仿宋简体" w:cs="Times New Roman"/>
                <w:b/>
              </w:rPr>
              <w:t>2.</w:t>
            </w:r>
            <w:r>
              <w:rPr>
                <w:rFonts w:hint="eastAsia" w:ascii="Times New Roman" w:eastAsia="方正仿宋简体" w:cs="Times New Roman"/>
                <w:b/>
                <w:lang w:val="zh-CN"/>
              </w:rPr>
              <w:t>服务类社会救助：</w:t>
            </w:r>
            <w:r>
              <w:rPr>
                <w:rFonts w:hint="eastAsia" w:ascii="Times New Roman" w:eastAsia="方正仿宋简体" w:cs="Times New Roman"/>
                <w:lang w:val="zh-CN"/>
              </w:rPr>
              <w:t>创新开展服务类社会救助，推动形成</w:t>
            </w:r>
            <w:r>
              <w:rPr>
                <w:rFonts w:ascii="Times New Roman" w:eastAsia="方正仿宋简体" w:cs="Times New Roman"/>
                <w:lang w:val="zh-CN"/>
              </w:rPr>
              <w:t>“</w:t>
            </w:r>
            <w:r>
              <w:rPr>
                <w:rFonts w:hint="eastAsia" w:ascii="Times New Roman" w:eastAsia="方正仿宋简体" w:cs="Times New Roman"/>
                <w:lang w:val="zh-CN"/>
              </w:rPr>
              <w:t>资金</w:t>
            </w:r>
            <w:r>
              <w:rPr>
                <w:rFonts w:ascii="Times New Roman" w:eastAsia="方正仿宋简体" w:cs="Times New Roman"/>
                <w:lang w:val="zh-CN"/>
              </w:rPr>
              <w:t>+</w:t>
            </w:r>
            <w:r>
              <w:rPr>
                <w:rFonts w:hint="eastAsia" w:ascii="Times New Roman" w:eastAsia="方正仿宋简体" w:cs="Times New Roman"/>
                <w:lang w:val="zh-CN"/>
              </w:rPr>
              <w:t>物质</w:t>
            </w:r>
            <w:r>
              <w:rPr>
                <w:rFonts w:ascii="Times New Roman" w:eastAsia="方正仿宋简体" w:cs="Times New Roman"/>
                <w:lang w:val="zh-CN"/>
              </w:rPr>
              <w:t>+</w:t>
            </w:r>
            <w:r>
              <w:rPr>
                <w:rFonts w:hint="eastAsia" w:ascii="Times New Roman" w:eastAsia="方正仿宋简体" w:cs="Times New Roman"/>
                <w:lang w:val="zh-CN"/>
              </w:rPr>
              <w:t>服务</w:t>
            </w:r>
            <w:r>
              <w:rPr>
                <w:rFonts w:ascii="Times New Roman" w:eastAsia="方正仿宋简体" w:cs="Times New Roman"/>
                <w:lang w:val="zh-CN"/>
              </w:rPr>
              <w:t>”</w:t>
            </w:r>
            <w:r>
              <w:rPr>
                <w:rFonts w:hint="eastAsia" w:ascii="Times New Roman" w:eastAsia="方正仿宋简体" w:cs="Times New Roman"/>
                <w:lang w:val="zh-CN"/>
              </w:rPr>
              <w:t>的救助方式。通过政府购买服务，为社会救助家庭中生活不能自理的老年人、未成年人、残疾人等特殊困难群体提供照料护理、精神慰藉、能力提升、社会融入、资源链接等服务，帮助救助对象构建家庭和社会支持网络。</w:t>
            </w:r>
          </w:p>
          <w:p w14:paraId="36734D29">
            <w:pPr>
              <w:pStyle w:val="12"/>
              <w:widowControl w:val="0"/>
              <w:adjustRightInd w:val="0"/>
              <w:snapToGrid w:val="0"/>
              <w:spacing w:before="0" w:beforeAutospacing="0" w:after="0" w:afterAutospacing="0" w:line="380" w:lineRule="exact"/>
              <w:ind w:firstLine="482" w:firstLineChars="200"/>
              <w:rPr>
                <w:rFonts w:ascii="Times New Roman" w:eastAsia="方正仿宋简体" w:cs="Times New Roman"/>
                <w:b/>
                <w:bCs/>
                <w:kern w:val="2"/>
                <w:sz w:val="32"/>
                <w:szCs w:val="32"/>
                <w:lang w:val="zh-CN"/>
              </w:rPr>
            </w:pPr>
            <w:r>
              <w:rPr>
                <w:rFonts w:ascii="Times New Roman" w:eastAsia="方正仿宋简体" w:cs="Times New Roman"/>
                <w:b/>
              </w:rPr>
              <w:t>3.</w:t>
            </w:r>
            <w:r>
              <w:rPr>
                <w:rFonts w:hint="eastAsia" w:ascii="Times New Roman" w:eastAsia="方正仿宋简体" w:cs="Times New Roman"/>
                <w:b/>
                <w:lang w:val="zh-CN"/>
              </w:rPr>
              <w:t>社会救助服务热线：</w:t>
            </w:r>
            <w:r>
              <w:rPr>
                <w:rFonts w:hint="eastAsia" w:ascii="Times New Roman" w:eastAsia="方正仿宋简体" w:cs="Times New Roman"/>
                <w:lang w:val="zh-CN"/>
              </w:rPr>
              <w:t>依靠全省统一开通的社会救助服务热线，为群众提供社会救助政策咨询、投诉举报、救急难事项受理等服务。指导县级民政部门做好与服务热线对接工作，督促各地及时处置热线转办救助申请事项并反馈处置结果。</w:t>
            </w:r>
          </w:p>
          <w:p w14:paraId="0EBF4861">
            <w:pPr>
              <w:pStyle w:val="12"/>
              <w:widowControl w:val="0"/>
              <w:adjustRightInd w:val="0"/>
              <w:snapToGrid w:val="0"/>
              <w:spacing w:before="0" w:beforeAutospacing="0" w:after="0" w:afterAutospacing="0" w:line="380" w:lineRule="exact"/>
              <w:ind w:firstLine="482" w:firstLineChars="200"/>
              <w:rPr>
                <w:rFonts w:ascii="Times New Roman" w:eastAsia="仿宋_GB2312" w:cs="Times New Roman"/>
              </w:rPr>
            </w:pPr>
            <w:r>
              <w:rPr>
                <w:rFonts w:ascii="Times New Roman" w:eastAsia="方正仿宋简体" w:cs="Times New Roman"/>
                <w:b/>
              </w:rPr>
              <w:t>4.</w:t>
            </w:r>
            <w:r>
              <w:rPr>
                <w:rFonts w:hint="eastAsia" w:ascii="Times New Roman" w:eastAsia="方正仿宋简体" w:cs="Times New Roman"/>
                <w:b/>
              </w:rPr>
              <w:t>社会救助家庭经济状况核对平台：</w:t>
            </w:r>
            <w:r>
              <w:rPr>
                <w:rFonts w:hint="eastAsia" w:ascii="Times New Roman" w:eastAsia="方正仿宋简体" w:cs="Times New Roman"/>
              </w:rPr>
              <w:t>健全社会救助家庭经济状况核对机制，指导各地社会救助家庭经济状况核对机构及时根据省级核对平台提供的相关核对信息，做好查询服务或协调建立查询工作机制。充分利用社会救助家庭经济状况核对平台建设成果，强化部门数据共享和数据核对，夯实精准救助基础。</w:t>
            </w:r>
          </w:p>
        </w:tc>
      </w:tr>
      <w:bookmarkEnd w:id="21"/>
    </w:tbl>
    <w:p w14:paraId="55F423B5">
      <w:pPr>
        <w:pStyle w:val="25"/>
        <w:widowControl w:val="0"/>
        <w:outlineLvl w:val="1"/>
        <w:rPr>
          <w:rFonts w:eastAsia="方正黑体简体"/>
          <w:b w:val="0"/>
          <w:color w:val="000000"/>
        </w:rPr>
      </w:pPr>
      <w:bookmarkStart w:id="22" w:name="_Toc22752"/>
      <w:bookmarkStart w:id="23" w:name="_Toc21228"/>
    </w:p>
    <w:p w14:paraId="2A96012F">
      <w:pPr>
        <w:pStyle w:val="25"/>
        <w:widowControl w:val="0"/>
        <w:outlineLvl w:val="1"/>
        <w:rPr>
          <w:rFonts w:eastAsia="方正黑体简体"/>
          <w:b w:val="0"/>
          <w:color w:val="000000"/>
        </w:rPr>
      </w:pPr>
      <w:r>
        <w:rPr>
          <w:rFonts w:hint="eastAsia" w:eastAsia="方正黑体简体"/>
          <w:b w:val="0"/>
          <w:color w:val="000000"/>
        </w:rPr>
        <w:t>第三节　发展儿童福利事业</w:t>
      </w:r>
      <w:bookmarkEnd w:id="22"/>
      <w:bookmarkEnd w:id="23"/>
    </w:p>
    <w:p w14:paraId="5036CAB1">
      <w:pPr>
        <w:ind w:firstLine="31680"/>
        <w:rPr>
          <w:color w:val="000000"/>
        </w:rPr>
      </w:pPr>
    </w:p>
    <w:p w14:paraId="63CF28DD">
      <w:pPr>
        <w:adjustRightInd w:val="0"/>
        <w:snapToGrid w:val="0"/>
        <w:ind w:firstLine="31680"/>
        <w:rPr>
          <w:color w:val="000000"/>
        </w:rPr>
      </w:pPr>
      <w:r>
        <w:rPr>
          <w:rFonts w:hint="eastAsia"/>
          <w:b/>
          <w:color w:val="000000"/>
        </w:rPr>
        <w:t>完善孤儿和事实无人抚养儿童福利制度。</w:t>
      </w:r>
      <w:r>
        <w:rPr>
          <w:rFonts w:hint="eastAsia"/>
          <w:color w:val="000000"/>
        </w:rPr>
        <w:t>规范落实事实无人抚养儿童认定标准和程序。建立孤儿和事实无人抚养儿童基本生活保障标准动态调整机制，使保障标准与我市经济社会发展水平相匹配、与相关社会福利标准相衔接。落实孤儿和事实无人抚养儿童动态管理制度，做到</w:t>
      </w:r>
      <w:r>
        <w:rPr>
          <w:color w:val="000000"/>
        </w:rPr>
        <w:t>“</w:t>
      </w:r>
      <w:r>
        <w:rPr>
          <w:rFonts w:hint="eastAsia"/>
          <w:color w:val="000000"/>
        </w:rPr>
        <w:t>应保尽保，一个不漏</w:t>
      </w:r>
      <w:r>
        <w:rPr>
          <w:color w:val="000000"/>
        </w:rPr>
        <w:t>”</w:t>
      </w:r>
      <w:r>
        <w:rPr>
          <w:rFonts w:hint="eastAsia"/>
          <w:color w:val="000000"/>
        </w:rPr>
        <w:t>。优化完善社会散居孤儿、家庭寄养儿童、事实无人抚养儿童家庭走访、家庭培训和监护评估、监护保护制度。</w:t>
      </w:r>
    </w:p>
    <w:p w14:paraId="7B821A67">
      <w:pPr>
        <w:adjustRightInd w:val="0"/>
        <w:snapToGrid w:val="0"/>
        <w:ind w:firstLine="31680"/>
        <w:rPr>
          <w:color w:val="000000"/>
        </w:rPr>
      </w:pPr>
      <w:r>
        <w:rPr>
          <w:rFonts w:hint="eastAsia"/>
          <w:b/>
          <w:color w:val="000000"/>
        </w:rPr>
        <w:t>加强困境儿童分类保障。</w:t>
      </w:r>
      <w:r>
        <w:rPr>
          <w:rFonts w:hint="eastAsia"/>
          <w:color w:val="000000"/>
        </w:rPr>
        <w:t>按照困境儿童保障标准，分类实施保障政策。建立详实完备的困境儿童信息台账，实现一人一档案，实行动态管理。完善因突发事件影响造成监护缺失儿童救助保护制度措施。加强对困难家庭的重病、重残儿童生活保障和救助工作。动员引导企业、公益慈善等社会力量参与困境儿童保障和关爱服务。</w:t>
      </w:r>
    </w:p>
    <w:p w14:paraId="664442DA">
      <w:pPr>
        <w:adjustRightInd w:val="0"/>
        <w:snapToGrid w:val="0"/>
        <w:ind w:firstLine="31680"/>
        <w:rPr>
          <w:color w:val="000000"/>
        </w:rPr>
      </w:pPr>
      <w:r>
        <w:rPr>
          <w:rFonts w:hint="eastAsia"/>
          <w:b/>
          <w:color w:val="000000"/>
        </w:rPr>
        <w:t>深入关爱保护农村留守儿童。</w:t>
      </w:r>
      <w:r>
        <w:rPr>
          <w:rFonts w:hint="eastAsia"/>
          <w:color w:val="000000"/>
        </w:rPr>
        <w:t>加强动态信息管理，为农村留守儿童精准化管理、个性化服务提供数据支撑。健全监护指导制度措施，督促指导农村留守儿童监护人依法履行监护职责。推动因外出务工等原因在一定期限内不能完全履行监护职责的父母或其他监护人依法确定被委托照护人，指导其签订书面照护协议。指导外出务工父母或其他监护人加强与留守子女亲情关爱和日常联络沟通，密切亲情。指导村（居）委会有效履行强制报告、预防干预等职责。推进实施</w:t>
      </w:r>
      <w:r>
        <w:rPr>
          <w:color w:val="000000"/>
        </w:rPr>
        <w:t>“</w:t>
      </w:r>
      <w:r>
        <w:rPr>
          <w:rFonts w:hint="eastAsia"/>
          <w:color w:val="000000"/>
        </w:rPr>
        <w:t>福蕾行动计划</w:t>
      </w:r>
      <w:r>
        <w:rPr>
          <w:color w:val="000000"/>
        </w:rPr>
        <w:t>”</w:t>
      </w:r>
      <w:r>
        <w:rPr>
          <w:rFonts w:hint="eastAsia"/>
          <w:color w:val="000000"/>
        </w:rPr>
        <w:t>，健全完善市、县（市、区）、乡镇（街道）、村（居）四级关爱服务网络；积极引导社会力量参与农村留守儿童关爱服务，打造一批具有社会影响力的农村留守儿童关爱服务项目。</w:t>
      </w:r>
    </w:p>
    <w:p w14:paraId="3373BDF1">
      <w:pPr>
        <w:adjustRightInd w:val="0"/>
        <w:snapToGrid w:val="0"/>
        <w:ind w:firstLine="31680"/>
        <w:rPr>
          <w:color w:val="000000"/>
        </w:rPr>
      </w:pPr>
      <w:r>
        <w:rPr>
          <w:rFonts w:hint="eastAsia"/>
          <w:b/>
          <w:color w:val="000000"/>
        </w:rPr>
        <w:t>提升儿童福利机构服务水平。</w:t>
      </w:r>
      <w:r>
        <w:rPr>
          <w:rFonts w:hint="eastAsia"/>
          <w:color w:val="000000"/>
        </w:rPr>
        <w:t>加快推进儿童福利机构养育、康复、教育、医疗、社会工作一体化发展，拓展服务范围，提升服务质量。市级和部分养育儿童较多、综合条件较好的县级儿童福利机构集中养育本辖区由民政部门长期监护的儿童。推动市社会福利中心提升集中养育的专业化水平。推进县级儿童福利机构转型发展，重点为社会散居孤儿、农村留守儿童和困境儿童等未成年人提供救助保护服务。支持儿童福利机构建造家庭式居所，推广家庭式养育模式。推进儿童福利机构与专业康复机构、专业医疗机构、特教机构融合发展。推动儿童福利机构达到定点康复机构标准。加强儿童福利标准化建设，提升全市儿童福利机构标准化管理水平。</w:t>
      </w:r>
    </w:p>
    <w:p w14:paraId="11ED2142">
      <w:pPr>
        <w:adjustRightInd w:val="0"/>
        <w:snapToGrid w:val="0"/>
        <w:ind w:firstLine="31680"/>
        <w:rPr>
          <w:color w:val="000000"/>
        </w:rPr>
      </w:pPr>
      <w:r>
        <w:rPr>
          <w:rFonts w:hint="eastAsia"/>
          <w:b/>
          <w:color w:val="000000"/>
        </w:rPr>
        <w:t>完善收养登记管理。</w:t>
      </w:r>
      <w:r>
        <w:rPr>
          <w:rFonts w:hint="eastAsia"/>
          <w:color w:val="000000"/>
        </w:rPr>
        <w:t>健全完善儿童收养登记制度，进一步提升收养登记信息化水平。建立收养评估标准，全面实施收养评估。支持家庭收养儿童福利机构病残儿童。</w:t>
      </w:r>
    </w:p>
    <w:tbl>
      <w:tblPr>
        <w:tblStyle w:val="13"/>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6344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084" w:type="dxa"/>
          </w:tcPr>
          <w:p w14:paraId="6632D0D7">
            <w:pPr>
              <w:pStyle w:val="12"/>
              <w:widowControl w:val="0"/>
              <w:snapToGrid w:val="0"/>
              <w:spacing w:before="0" w:beforeAutospacing="0" w:after="0" w:afterAutospacing="0" w:line="400" w:lineRule="exact"/>
              <w:ind w:firstLine="560"/>
              <w:jc w:val="center"/>
              <w:rPr>
                <w:rFonts w:ascii="Times New Roman" w:eastAsia="方正仿宋简体" w:cs="Times New Roman"/>
                <w:b/>
                <w:sz w:val="28"/>
                <w:szCs w:val="28"/>
              </w:rPr>
            </w:pPr>
            <w:r>
              <w:rPr>
                <w:rFonts w:hint="eastAsia" w:ascii="Times New Roman" w:eastAsia="方正仿宋简体" w:cs="Times New Roman"/>
                <w:b/>
                <w:kern w:val="2"/>
                <w:sz w:val="28"/>
                <w:szCs w:val="28"/>
              </w:rPr>
              <w:t>专栏</w:t>
            </w:r>
            <w:r>
              <w:rPr>
                <w:rFonts w:ascii="Times New Roman" w:eastAsia="方正仿宋简体" w:cs="Times New Roman"/>
                <w:b/>
                <w:kern w:val="2"/>
                <w:sz w:val="28"/>
                <w:szCs w:val="28"/>
              </w:rPr>
              <w:t>4</w:t>
            </w:r>
            <w:r>
              <w:rPr>
                <w:rFonts w:hint="eastAsia" w:ascii="Times New Roman" w:eastAsia="方正仿宋简体" w:cs="Times New Roman"/>
                <w:b/>
                <w:kern w:val="2"/>
                <w:sz w:val="28"/>
                <w:szCs w:val="28"/>
              </w:rPr>
              <w:t>：儿童福利服务提升工程</w:t>
            </w:r>
          </w:p>
        </w:tc>
      </w:tr>
      <w:tr w14:paraId="52E6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084" w:type="dxa"/>
          </w:tcPr>
          <w:p w14:paraId="3638B7DF">
            <w:pPr>
              <w:spacing w:line="400" w:lineRule="exact"/>
              <w:ind w:firstLine="472" w:firstLineChars="196"/>
              <w:rPr>
                <w:rFonts w:eastAsia="方正仿宋简体"/>
                <w:color w:val="000000"/>
                <w:kern w:val="0"/>
                <w:sz w:val="24"/>
              </w:rPr>
            </w:pPr>
            <w:r>
              <w:rPr>
                <w:rFonts w:eastAsia="方正仿宋简体"/>
                <w:b/>
                <w:color w:val="000000"/>
                <w:sz w:val="24"/>
                <w:szCs w:val="24"/>
              </w:rPr>
              <w:t>1.“</w:t>
            </w:r>
            <w:r>
              <w:rPr>
                <w:rFonts w:hint="eastAsia" w:eastAsia="方正仿宋简体"/>
                <w:b/>
                <w:color w:val="000000"/>
                <w:sz w:val="24"/>
                <w:szCs w:val="24"/>
              </w:rPr>
              <w:t>福蕾行动计划</w:t>
            </w:r>
            <w:r>
              <w:rPr>
                <w:rFonts w:eastAsia="方正仿宋简体"/>
                <w:b/>
                <w:color w:val="000000"/>
                <w:sz w:val="24"/>
                <w:szCs w:val="24"/>
              </w:rPr>
              <w:t>”</w:t>
            </w:r>
            <w:r>
              <w:rPr>
                <w:rFonts w:hint="eastAsia" w:eastAsia="方正仿宋简体"/>
                <w:b/>
                <w:color w:val="000000"/>
                <w:sz w:val="24"/>
                <w:szCs w:val="24"/>
              </w:rPr>
              <w:t>：</w:t>
            </w:r>
            <w:r>
              <w:rPr>
                <w:rFonts w:hint="eastAsia" w:eastAsia="方正仿宋简体"/>
                <w:color w:val="000000"/>
                <w:kern w:val="0"/>
                <w:sz w:val="24"/>
                <w:szCs w:val="24"/>
              </w:rPr>
              <w:t>建立市、县（市、区）、乡镇（街道）、村（居）四级儿童福利保障及关爱服务网络，打造具有我市特色的儿童福利保障和关爱服务品牌。</w:t>
            </w:r>
          </w:p>
          <w:p w14:paraId="3BB17A6D">
            <w:pPr>
              <w:spacing w:line="400" w:lineRule="exact"/>
              <w:ind w:firstLine="472" w:firstLineChars="196"/>
              <w:rPr>
                <w:rFonts w:eastAsia="方正仿宋简体"/>
                <w:color w:val="000000"/>
                <w:kern w:val="0"/>
                <w:sz w:val="24"/>
              </w:rPr>
            </w:pPr>
            <w:r>
              <w:rPr>
                <w:rFonts w:eastAsia="方正仿宋简体"/>
                <w:b/>
                <w:color w:val="000000"/>
                <w:sz w:val="24"/>
                <w:szCs w:val="24"/>
              </w:rPr>
              <w:t>2.“</w:t>
            </w:r>
            <w:r>
              <w:rPr>
                <w:rFonts w:hint="eastAsia" w:eastAsia="方正仿宋简体"/>
                <w:b/>
                <w:color w:val="000000"/>
                <w:sz w:val="24"/>
                <w:szCs w:val="24"/>
              </w:rPr>
              <w:t>福彩圆梦</w:t>
            </w:r>
            <w:r>
              <w:rPr>
                <w:rFonts w:eastAsia="方正仿宋简体"/>
                <w:b/>
                <w:color w:val="000000"/>
                <w:sz w:val="24"/>
                <w:szCs w:val="24"/>
              </w:rPr>
              <w:t>·</w:t>
            </w:r>
            <w:r>
              <w:rPr>
                <w:rFonts w:hint="eastAsia" w:eastAsia="方正仿宋简体"/>
                <w:b/>
                <w:color w:val="000000"/>
                <w:sz w:val="24"/>
                <w:szCs w:val="24"/>
              </w:rPr>
              <w:t>孤儿助学工程</w:t>
            </w:r>
            <w:r>
              <w:rPr>
                <w:rFonts w:eastAsia="方正仿宋简体"/>
                <w:b/>
                <w:color w:val="000000"/>
                <w:sz w:val="24"/>
                <w:szCs w:val="24"/>
              </w:rPr>
              <w:t>”</w:t>
            </w:r>
            <w:r>
              <w:rPr>
                <w:rFonts w:hint="eastAsia" w:eastAsia="方正仿宋简体"/>
                <w:b/>
                <w:color w:val="000000"/>
                <w:sz w:val="24"/>
                <w:szCs w:val="24"/>
              </w:rPr>
              <w:t>：</w:t>
            </w:r>
            <w:r>
              <w:rPr>
                <w:rFonts w:hint="eastAsia" w:eastAsia="方正仿宋简体"/>
                <w:color w:val="000000"/>
                <w:kern w:val="0"/>
                <w:sz w:val="24"/>
                <w:szCs w:val="24"/>
              </w:rPr>
              <w:t>资助已被认定孤儿身份、年满</w:t>
            </w:r>
            <w:r>
              <w:rPr>
                <w:rFonts w:eastAsia="方正仿宋简体"/>
                <w:color w:val="000000"/>
                <w:kern w:val="0"/>
                <w:sz w:val="24"/>
                <w:szCs w:val="24"/>
              </w:rPr>
              <w:t>18</w:t>
            </w:r>
            <w:r>
              <w:rPr>
                <w:rFonts w:hint="eastAsia" w:eastAsia="方正仿宋简体"/>
                <w:color w:val="000000"/>
                <w:kern w:val="0"/>
                <w:sz w:val="24"/>
                <w:szCs w:val="24"/>
              </w:rPr>
              <w:t>周岁仍在就读普通全日制大中专、本科、硕士的学生，每人每学年</w:t>
            </w:r>
            <w:r>
              <w:rPr>
                <w:rFonts w:eastAsia="方正仿宋简体"/>
                <w:color w:val="000000"/>
                <w:kern w:val="0"/>
                <w:sz w:val="24"/>
                <w:szCs w:val="24"/>
              </w:rPr>
              <w:t>1</w:t>
            </w:r>
            <w:r>
              <w:rPr>
                <w:rFonts w:hint="eastAsia" w:eastAsia="方正仿宋简体"/>
                <w:color w:val="000000"/>
                <w:kern w:val="0"/>
                <w:sz w:val="24"/>
                <w:szCs w:val="24"/>
              </w:rPr>
              <w:t>万元，至其毕业。</w:t>
            </w:r>
          </w:p>
        </w:tc>
      </w:tr>
    </w:tbl>
    <w:p w14:paraId="0C0C1AB9">
      <w:pPr>
        <w:pStyle w:val="25"/>
        <w:widowControl w:val="0"/>
        <w:outlineLvl w:val="1"/>
        <w:rPr>
          <w:rFonts w:eastAsia="方正黑体简体"/>
          <w:b w:val="0"/>
          <w:color w:val="000000"/>
        </w:rPr>
      </w:pPr>
      <w:bookmarkStart w:id="24" w:name="_Toc9121"/>
      <w:bookmarkStart w:id="25" w:name="_Toc22164"/>
      <w:bookmarkStart w:id="26" w:name="_Toc21401"/>
      <w:bookmarkStart w:id="27" w:name="_Toc32601"/>
      <w:bookmarkStart w:id="28" w:name="_Toc22077"/>
      <w:bookmarkStart w:id="29" w:name="_Toc7779"/>
      <w:bookmarkStart w:id="30" w:name="_Toc32137"/>
      <w:r>
        <w:rPr>
          <w:rFonts w:hint="eastAsia" w:eastAsia="方正黑体简体"/>
          <w:b w:val="0"/>
          <w:color w:val="000000"/>
        </w:rPr>
        <w:t>第四节　逐步提升助残服务能力</w:t>
      </w:r>
      <w:bookmarkEnd w:id="24"/>
      <w:bookmarkEnd w:id="25"/>
      <w:bookmarkEnd w:id="26"/>
      <w:bookmarkEnd w:id="27"/>
      <w:bookmarkEnd w:id="28"/>
      <w:bookmarkEnd w:id="29"/>
      <w:bookmarkEnd w:id="30"/>
    </w:p>
    <w:p w14:paraId="654549D1">
      <w:pPr>
        <w:ind w:firstLine="31680"/>
        <w:rPr>
          <w:color w:val="000000"/>
        </w:rPr>
      </w:pPr>
    </w:p>
    <w:p w14:paraId="7FC9BD89">
      <w:pPr>
        <w:ind w:firstLine="31680"/>
        <w:rPr>
          <w:b/>
          <w:color w:val="000000"/>
          <w:kern w:val="0"/>
          <w:szCs w:val="32"/>
        </w:rPr>
      </w:pPr>
      <w:bookmarkStart w:id="31" w:name="OLE_LINK1"/>
      <w:r>
        <w:rPr>
          <w:rFonts w:hint="eastAsia"/>
          <w:b/>
          <w:color w:val="000000"/>
          <w:kern w:val="0"/>
          <w:szCs w:val="32"/>
        </w:rPr>
        <w:t>健全残疾人</w:t>
      </w:r>
      <w:r>
        <w:rPr>
          <w:b/>
          <w:color w:val="000000"/>
          <w:kern w:val="0"/>
          <w:szCs w:val="32"/>
        </w:rPr>
        <w:t>“</w:t>
      </w:r>
      <w:r>
        <w:rPr>
          <w:rFonts w:hint="eastAsia"/>
          <w:b/>
          <w:color w:val="000000"/>
          <w:kern w:val="0"/>
          <w:szCs w:val="32"/>
        </w:rPr>
        <w:t>两项补贴</w:t>
      </w:r>
      <w:r>
        <w:rPr>
          <w:b/>
          <w:color w:val="000000"/>
          <w:kern w:val="0"/>
          <w:szCs w:val="32"/>
        </w:rPr>
        <w:t>”</w:t>
      </w:r>
      <w:r>
        <w:rPr>
          <w:rFonts w:hint="eastAsia"/>
          <w:b/>
          <w:color w:val="000000"/>
          <w:kern w:val="0"/>
          <w:szCs w:val="32"/>
        </w:rPr>
        <w:t>制度。</w:t>
      </w:r>
      <w:bookmarkEnd w:id="31"/>
      <w:r>
        <w:rPr>
          <w:rFonts w:hint="eastAsia"/>
          <w:color w:val="000000"/>
          <w:kern w:val="0"/>
          <w:szCs w:val="32"/>
        </w:rPr>
        <w:t>全面落</w:t>
      </w:r>
      <w:r>
        <w:rPr>
          <w:rFonts w:hint="eastAsia"/>
          <w:color w:val="000000"/>
          <w:spacing w:val="-6"/>
          <w:kern w:val="0"/>
          <w:szCs w:val="32"/>
        </w:rPr>
        <w:t>实残疾人</w:t>
      </w:r>
      <w:r>
        <w:rPr>
          <w:color w:val="000000"/>
          <w:spacing w:val="-6"/>
          <w:kern w:val="0"/>
          <w:szCs w:val="32"/>
        </w:rPr>
        <w:t>“</w:t>
      </w:r>
      <w:r>
        <w:rPr>
          <w:rFonts w:hint="eastAsia"/>
          <w:color w:val="000000"/>
          <w:spacing w:val="-6"/>
          <w:kern w:val="0"/>
          <w:szCs w:val="32"/>
        </w:rPr>
        <w:t>两项补贴</w:t>
      </w:r>
      <w:r>
        <w:rPr>
          <w:color w:val="000000"/>
          <w:spacing w:val="-6"/>
          <w:kern w:val="0"/>
          <w:szCs w:val="32"/>
        </w:rPr>
        <w:t>”</w:t>
      </w:r>
      <w:r>
        <w:rPr>
          <w:rFonts w:hint="eastAsia"/>
          <w:color w:val="000000"/>
          <w:spacing w:val="-6"/>
          <w:kern w:val="0"/>
          <w:szCs w:val="32"/>
        </w:rPr>
        <w:t>动态调整机制，逐步提标扩面</w:t>
      </w:r>
      <w:r>
        <w:rPr>
          <w:rFonts w:hint="eastAsia"/>
          <w:color w:val="000000"/>
        </w:rPr>
        <w:t>，确保符合条件的残疾人全部纳入</w:t>
      </w:r>
      <w:r>
        <w:rPr>
          <w:color w:val="000000"/>
        </w:rPr>
        <w:t>“</w:t>
      </w:r>
      <w:r>
        <w:rPr>
          <w:rFonts w:hint="eastAsia"/>
          <w:color w:val="000000"/>
        </w:rPr>
        <w:t>两项补贴</w:t>
      </w:r>
      <w:r>
        <w:rPr>
          <w:color w:val="000000"/>
        </w:rPr>
        <w:t>”</w:t>
      </w:r>
      <w:r>
        <w:rPr>
          <w:rFonts w:hint="eastAsia"/>
          <w:color w:val="000000"/>
        </w:rPr>
        <w:t>发放范围。</w:t>
      </w:r>
      <w:r>
        <w:rPr>
          <w:rFonts w:hint="eastAsia"/>
          <w:color w:val="000000"/>
          <w:spacing w:val="-6"/>
          <w:kern w:val="0"/>
          <w:szCs w:val="32"/>
        </w:rPr>
        <w:t>探索推动护理补贴覆盖范围向三、四级智力等非重度残疾人延伸，鼓励有条件的县（市、区）将困难残疾人生活补贴延伸至低收入家庭。全面落实残疾人</w:t>
      </w:r>
      <w:r>
        <w:rPr>
          <w:color w:val="000000"/>
          <w:spacing w:val="-6"/>
          <w:kern w:val="0"/>
          <w:szCs w:val="32"/>
        </w:rPr>
        <w:t>“</w:t>
      </w:r>
      <w:r>
        <w:rPr>
          <w:rFonts w:hint="eastAsia"/>
          <w:color w:val="000000"/>
          <w:spacing w:val="-6"/>
          <w:kern w:val="0"/>
          <w:szCs w:val="32"/>
        </w:rPr>
        <w:t>两项补贴</w:t>
      </w:r>
      <w:r>
        <w:rPr>
          <w:color w:val="000000"/>
          <w:spacing w:val="-6"/>
          <w:kern w:val="0"/>
          <w:szCs w:val="32"/>
        </w:rPr>
        <w:t>”</w:t>
      </w:r>
      <w:r>
        <w:rPr>
          <w:rFonts w:hint="eastAsia"/>
          <w:color w:val="000000"/>
          <w:spacing w:val="-6"/>
          <w:kern w:val="0"/>
          <w:szCs w:val="32"/>
        </w:rPr>
        <w:t>资格认定申请跨省通办，为残疾人提供更加贴心暖心的服务。加强残疾人</w:t>
      </w:r>
      <w:r>
        <w:rPr>
          <w:color w:val="000000"/>
          <w:spacing w:val="-6"/>
          <w:kern w:val="0"/>
          <w:szCs w:val="32"/>
        </w:rPr>
        <w:t>“</w:t>
      </w:r>
      <w:r>
        <w:rPr>
          <w:rFonts w:hint="eastAsia"/>
          <w:color w:val="000000"/>
          <w:spacing w:val="-6"/>
          <w:kern w:val="0"/>
          <w:szCs w:val="32"/>
        </w:rPr>
        <w:t>两项补贴</w:t>
      </w:r>
      <w:r>
        <w:rPr>
          <w:color w:val="000000"/>
          <w:spacing w:val="-6"/>
          <w:kern w:val="0"/>
          <w:szCs w:val="32"/>
        </w:rPr>
        <w:t>”</w:t>
      </w:r>
      <w:r>
        <w:rPr>
          <w:rFonts w:hint="eastAsia"/>
          <w:color w:val="000000"/>
          <w:spacing w:val="-6"/>
          <w:kern w:val="0"/>
          <w:szCs w:val="32"/>
        </w:rPr>
        <w:t>制度与长期护理保险、老年人福利、社会救助等制度相衔接，形成残疾人</w:t>
      </w:r>
      <w:r>
        <w:rPr>
          <w:rFonts w:hint="eastAsia"/>
          <w:color w:val="000000"/>
          <w:kern w:val="0"/>
          <w:szCs w:val="32"/>
        </w:rPr>
        <w:t>社会保障合力。</w:t>
      </w:r>
      <w:r>
        <w:rPr>
          <w:rFonts w:hint="eastAsia"/>
          <w:color w:val="000000"/>
          <w:spacing w:val="-6"/>
          <w:kern w:val="0"/>
          <w:szCs w:val="32"/>
        </w:rPr>
        <w:t>鼓励有条件的县（市、区）探索新的补贴内容和形式。</w:t>
      </w:r>
    </w:p>
    <w:p w14:paraId="2D4A0748">
      <w:pPr>
        <w:ind w:firstLine="31680"/>
        <w:rPr>
          <w:rStyle w:val="30"/>
          <w:rFonts w:ascii="Times New Roman" w:hAnsi="Times New Roman" w:cs="Times New Roman"/>
          <w:strike w:val="0"/>
          <w:color w:val="000000"/>
        </w:rPr>
      </w:pPr>
      <w:r>
        <w:rPr>
          <w:rFonts w:hint="eastAsia"/>
          <w:b/>
          <w:color w:val="000000"/>
          <w:kern w:val="0"/>
          <w:szCs w:val="32"/>
        </w:rPr>
        <w:t>加快精神卫生福利机构和精神障碍社区康复服务发展。</w:t>
      </w:r>
      <w:r>
        <w:rPr>
          <w:rFonts w:hint="eastAsia"/>
          <w:color w:val="000000"/>
        </w:rPr>
        <w:t>加强民政精神卫生福利机构建设，合理确定新建、扩建及设施更新改造项目，按需增加容量，扩展和提升功能。推动精神障碍残疾人康复服务向社区延伸，发挥精神卫生专业机构的技术指导作用，推动精神障碍社区康复机构与精神卫生社会福利、残疾人康复、残疾人托养、社区卫生服务等机构服务对接、场地共用、资源共享。支持社会力量参与社区精神障碍康复机构建设，鼓励有条件的县（市、区）在服务设施、运营补贴、职称待遇等方面给予扶持，将居家康复、照护技能培训纳入精神障碍社区康复基本服务范围，为家庭提供照护资讯、政策咨询、情感支持等专业服务，巩固和增强家庭照护功能。</w:t>
      </w:r>
    </w:p>
    <w:tbl>
      <w:tblPr>
        <w:tblStyle w:val="13"/>
        <w:tblW w:w="86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79"/>
      </w:tblGrid>
      <w:tr w14:paraId="57BEF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679" w:type="dxa"/>
          </w:tcPr>
          <w:p w14:paraId="24D942BC">
            <w:pPr>
              <w:ind w:firstLine="31680"/>
              <w:jc w:val="center"/>
              <w:rPr>
                <w:rFonts w:eastAsia="方正仿宋简体"/>
                <w:b/>
                <w:bCs/>
                <w:color w:val="000000"/>
                <w:sz w:val="28"/>
                <w:szCs w:val="28"/>
              </w:rPr>
            </w:pPr>
            <w:r>
              <w:rPr>
                <w:rFonts w:hint="eastAsia" w:eastAsia="方正仿宋简体"/>
                <w:b/>
                <w:color w:val="000000"/>
                <w:sz w:val="28"/>
                <w:szCs w:val="28"/>
              </w:rPr>
              <w:t>专栏</w:t>
            </w:r>
            <w:r>
              <w:rPr>
                <w:rFonts w:eastAsia="方正仿宋简体"/>
                <w:b/>
                <w:color w:val="000000"/>
                <w:sz w:val="28"/>
                <w:szCs w:val="28"/>
              </w:rPr>
              <w:t>5</w:t>
            </w:r>
            <w:r>
              <w:rPr>
                <w:rFonts w:hint="eastAsia" w:eastAsia="方正仿宋简体"/>
                <w:b/>
                <w:color w:val="000000"/>
                <w:sz w:val="28"/>
                <w:szCs w:val="28"/>
              </w:rPr>
              <w:t>：助残服务能力提升工程</w:t>
            </w:r>
          </w:p>
        </w:tc>
      </w:tr>
      <w:tr w14:paraId="6E78F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679" w:type="dxa"/>
          </w:tcPr>
          <w:p w14:paraId="1A59E6A5">
            <w:pPr>
              <w:ind w:firstLine="472" w:firstLineChars="196"/>
              <w:rPr>
                <w:rFonts w:eastAsia="方正仿宋简体"/>
                <w:strike/>
                <w:color w:val="000000"/>
                <w:kern w:val="0"/>
                <w:sz w:val="24"/>
                <w:szCs w:val="24"/>
              </w:rPr>
            </w:pPr>
            <w:r>
              <w:rPr>
                <w:rFonts w:eastAsia="方正仿宋简体"/>
                <w:b/>
                <w:bCs/>
                <w:color w:val="000000"/>
                <w:kern w:val="0"/>
                <w:sz w:val="24"/>
                <w:szCs w:val="24"/>
              </w:rPr>
              <w:t>1.</w:t>
            </w:r>
            <w:r>
              <w:rPr>
                <w:rFonts w:hint="eastAsia" w:eastAsia="方正仿宋简体"/>
                <w:b/>
                <w:bCs/>
                <w:color w:val="000000"/>
                <w:kern w:val="0"/>
                <w:sz w:val="24"/>
                <w:szCs w:val="24"/>
              </w:rPr>
              <w:t>民政精神卫生福利设施建设：</w:t>
            </w:r>
            <w:r>
              <w:rPr>
                <w:rFonts w:hint="eastAsia" w:eastAsia="方正仿宋简体"/>
                <w:color w:val="000000"/>
                <w:kern w:val="0"/>
                <w:sz w:val="24"/>
                <w:szCs w:val="24"/>
              </w:rPr>
              <w:t>依托现有资源拓展服务功能，全面推进精神障碍患者社区康复服务。</w:t>
            </w:r>
            <w:r>
              <w:rPr>
                <w:rStyle w:val="30"/>
                <w:rFonts w:hint="eastAsia" w:ascii="Times New Roman" w:hAnsi="Times New Roman" w:eastAsia="方正仿宋简体" w:cs="Times New Roman"/>
                <w:strike w:val="0"/>
                <w:color w:val="000000"/>
                <w:sz w:val="24"/>
                <w:szCs w:val="24"/>
              </w:rPr>
              <w:t>支持改扩建</w:t>
            </w:r>
            <w:r>
              <w:rPr>
                <w:rStyle w:val="30"/>
                <w:rFonts w:ascii="Times New Roman" w:hAnsi="Times New Roman" w:eastAsia="方正仿宋简体" w:cs="Times New Roman"/>
                <w:strike w:val="0"/>
                <w:color w:val="000000"/>
                <w:sz w:val="24"/>
                <w:szCs w:val="24"/>
              </w:rPr>
              <w:t>1</w:t>
            </w:r>
            <w:r>
              <w:rPr>
                <w:rStyle w:val="30"/>
                <w:rFonts w:hint="eastAsia" w:ascii="Times New Roman" w:hAnsi="Times New Roman" w:eastAsia="方正仿宋简体" w:cs="Times New Roman"/>
                <w:strike w:val="0"/>
                <w:color w:val="000000"/>
                <w:sz w:val="24"/>
                <w:szCs w:val="24"/>
              </w:rPr>
              <w:t>所精神卫生福利机构。</w:t>
            </w:r>
          </w:p>
          <w:p w14:paraId="4E143E23">
            <w:pPr>
              <w:ind w:firstLine="472" w:firstLineChars="196"/>
              <w:rPr>
                <w:rFonts w:eastAsia="方正仿宋简体"/>
                <w:strike/>
                <w:color w:val="000000"/>
                <w:sz w:val="28"/>
                <w:szCs w:val="28"/>
              </w:rPr>
            </w:pPr>
            <w:r>
              <w:rPr>
                <w:rFonts w:eastAsia="方正仿宋简体"/>
                <w:b/>
                <w:bCs/>
                <w:color w:val="000000"/>
                <w:kern w:val="0"/>
                <w:sz w:val="24"/>
                <w:szCs w:val="24"/>
              </w:rPr>
              <w:t>2.“</w:t>
            </w:r>
            <w:r>
              <w:rPr>
                <w:rFonts w:hint="eastAsia" w:eastAsia="方正仿宋简体"/>
                <w:b/>
                <w:bCs/>
                <w:color w:val="000000"/>
                <w:kern w:val="0"/>
                <w:sz w:val="24"/>
                <w:szCs w:val="24"/>
              </w:rPr>
              <w:t>福康工程</w:t>
            </w:r>
            <w:r>
              <w:rPr>
                <w:rFonts w:eastAsia="方正仿宋简体"/>
                <w:b/>
                <w:bCs/>
                <w:color w:val="000000"/>
                <w:kern w:val="0"/>
                <w:sz w:val="24"/>
                <w:szCs w:val="24"/>
              </w:rPr>
              <w:t>”</w:t>
            </w:r>
            <w:r>
              <w:rPr>
                <w:rFonts w:hint="eastAsia" w:eastAsia="方正仿宋简体"/>
                <w:b/>
                <w:bCs/>
                <w:color w:val="000000"/>
                <w:kern w:val="0"/>
                <w:sz w:val="24"/>
                <w:szCs w:val="24"/>
              </w:rPr>
              <w:t>项目：</w:t>
            </w:r>
            <w:r>
              <w:rPr>
                <w:rFonts w:hint="eastAsia" w:eastAsia="方正仿宋简体"/>
                <w:bCs/>
                <w:color w:val="000000"/>
                <w:kern w:val="0"/>
                <w:sz w:val="24"/>
                <w:szCs w:val="24"/>
              </w:rPr>
              <w:t>配合省上为</w:t>
            </w:r>
            <w:r>
              <w:rPr>
                <w:rFonts w:hint="eastAsia" w:eastAsia="方正仿宋简体"/>
                <w:color w:val="000000"/>
                <w:kern w:val="0"/>
                <w:sz w:val="24"/>
                <w:szCs w:val="24"/>
              </w:rPr>
              <w:t>符合条件的重度残疾人配置康复辅助器具、提供康复指导训练。</w:t>
            </w:r>
          </w:p>
        </w:tc>
      </w:tr>
    </w:tbl>
    <w:p w14:paraId="331B80A5">
      <w:pPr>
        <w:pStyle w:val="25"/>
        <w:widowControl w:val="0"/>
        <w:outlineLvl w:val="1"/>
        <w:rPr>
          <w:rFonts w:eastAsia="宋体"/>
          <w:color w:val="000000"/>
        </w:rPr>
      </w:pPr>
      <w:bookmarkStart w:id="32" w:name="_Toc22704"/>
      <w:bookmarkStart w:id="33" w:name="_Toc6174"/>
      <w:bookmarkStart w:id="34" w:name="_Toc2652"/>
      <w:bookmarkStart w:id="35" w:name="_Toc666"/>
      <w:bookmarkStart w:id="36" w:name="_Toc10290"/>
      <w:bookmarkStart w:id="37" w:name="_Toc5604"/>
      <w:bookmarkStart w:id="38" w:name="_Toc15670"/>
    </w:p>
    <w:p w14:paraId="57F64175">
      <w:pPr>
        <w:pStyle w:val="25"/>
        <w:widowControl w:val="0"/>
        <w:outlineLvl w:val="1"/>
        <w:rPr>
          <w:rFonts w:eastAsia="方正黑体简体"/>
          <w:b w:val="0"/>
          <w:color w:val="000000"/>
        </w:rPr>
      </w:pPr>
      <w:r>
        <w:rPr>
          <w:rFonts w:hint="eastAsia" w:eastAsia="方正黑体简体"/>
          <w:b w:val="0"/>
          <w:color w:val="000000"/>
        </w:rPr>
        <w:t>第五节　发挥福利彩票支持保障作用</w:t>
      </w:r>
      <w:bookmarkEnd w:id="32"/>
      <w:bookmarkEnd w:id="33"/>
      <w:bookmarkEnd w:id="34"/>
      <w:bookmarkEnd w:id="35"/>
      <w:bookmarkEnd w:id="36"/>
      <w:bookmarkEnd w:id="37"/>
      <w:bookmarkEnd w:id="38"/>
    </w:p>
    <w:p w14:paraId="09D108C2">
      <w:pPr>
        <w:ind w:firstLine="31680"/>
        <w:rPr>
          <w:color w:val="000000"/>
        </w:rPr>
      </w:pPr>
    </w:p>
    <w:p w14:paraId="4C0D48C2">
      <w:pPr>
        <w:ind w:firstLine="31680"/>
        <w:rPr>
          <w:color w:val="000000"/>
          <w:kern w:val="0"/>
          <w:szCs w:val="32"/>
        </w:rPr>
      </w:pPr>
      <w:r>
        <w:rPr>
          <w:rFonts w:hint="eastAsia"/>
          <w:b/>
          <w:color w:val="000000"/>
          <w:kern w:val="0"/>
          <w:szCs w:val="32"/>
        </w:rPr>
        <w:t>确保福利彩票健康运行。</w:t>
      </w:r>
      <w:r>
        <w:rPr>
          <w:rFonts w:hint="eastAsia"/>
          <w:color w:val="000000"/>
          <w:kern w:val="0"/>
          <w:szCs w:val="32"/>
        </w:rPr>
        <w:t>完善管理制度，强化制度执行。坚持系统观念，落实全省行业激励约束机制、市场调控机制和监督管理机制，促进福利彩票市场协调发展，不断提高整体性、协同性。建立健全风险防控和安全管理机制，提升风险防控能力。根据中国福利彩票发行管理中心统一技术标准，强化我市福利彩票技术能力建设，在保障安全运行基础上，配合中国福利彩票发行管理中心建立大数据分析和决策支持系统，强化系统数据监管，确保发行销售安全高效。</w:t>
      </w:r>
    </w:p>
    <w:p w14:paraId="4C422383">
      <w:pPr>
        <w:ind w:firstLine="31680"/>
        <w:rPr>
          <w:color w:val="000000"/>
          <w:kern w:val="0"/>
          <w:szCs w:val="32"/>
        </w:rPr>
      </w:pPr>
      <w:r>
        <w:rPr>
          <w:rFonts w:hint="eastAsia"/>
          <w:b/>
          <w:color w:val="000000"/>
          <w:kern w:val="0"/>
          <w:szCs w:val="32"/>
        </w:rPr>
        <w:t>推进福利彩票创新发展。</w:t>
      </w:r>
      <w:r>
        <w:rPr>
          <w:rFonts w:hint="eastAsia"/>
          <w:color w:val="000000"/>
          <w:kern w:val="0"/>
          <w:szCs w:val="32"/>
        </w:rPr>
        <w:t>顺应新时代人民群众文化娱乐消费新趋势，逐步建立规范化精细化渠道管理体系，推动传统销售网点转型发展，加强渠道创新，提高购彩便利性，培育购彩新习惯。创新营销品牌，加强营销宣传统筹整合力度，开展跨机构、跨票种、跨区域营销活动。更好发挥市场在资源配置中的决定性作用，积极探索符合我市公益事业发展规律和彩票市场发展规律的运营模式，提高运营效率。深入推进福利彩票社会责任建设，宣传普及彩票基础知识，防范非理性购彩，保障参与者合法权益。加强游戏研发、信息技术、营销宣传、市场管理、理论研究等专业人才培养。</w:t>
      </w:r>
    </w:p>
    <w:p w14:paraId="1A8B399C">
      <w:pPr>
        <w:ind w:firstLine="31680"/>
        <w:rPr>
          <w:color w:val="000000"/>
          <w:kern w:val="0"/>
          <w:szCs w:val="32"/>
        </w:rPr>
      </w:pPr>
      <w:bookmarkStart w:id="39" w:name="OLE_LINK2"/>
      <w:r>
        <w:rPr>
          <w:rFonts w:hint="eastAsia"/>
          <w:b/>
          <w:color w:val="000000"/>
          <w:kern w:val="0"/>
          <w:szCs w:val="32"/>
        </w:rPr>
        <w:t>提升福利彩票公益品牌形象。</w:t>
      </w:r>
      <w:bookmarkEnd w:id="39"/>
      <w:r>
        <w:rPr>
          <w:rFonts w:hint="eastAsia"/>
          <w:color w:val="000000"/>
          <w:kern w:val="0"/>
          <w:szCs w:val="32"/>
        </w:rPr>
        <w:t>适应融媒体信息传播模式，建立健全品牌建设和营销宣传工作机制，整合资源开展福利彩票整体营销。加大福利彩票公益宣传力度，创新宣传手段，打造公益品牌，展现福利彩票为民、责任、阳光形象，促进公益金使用和发行销售良性循环、相得益彰。</w:t>
      </w:r>
    </w:p>
    <w:p w14:paraId="36C47869">
      <w:pPr>
        <w:spacing w:line="200" w:lineRule="exact"/>
        <w:ind w:firstLine="31680"/>
        <w:rPr>
          <w:color w:val="000000"/>
          <w:kern w:val="0"/>
          <w:szCs w:val="32"/>
        </w:rPr>
      </w:pPr>
    </w:p>
    <w:tbl>
      <w:tblPr>
        <w:tblStyle w:val="13"/>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7FB1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084" w:type="dxa"/>
          </w:tcPr>
          <w:p w14:paraId="4FB71047">
            <w:pPr>
              <w:pStyle w:val="12"/>
              <w:widowControl w:val="0"/>
              <w:snapToGrid w:val="0"/>
              <w:spacing w:before="0" w:beforeAutospacing="0" w:after="0" w:afterAutospacing="0" w:line="400" w:lineRule="exact"/>
              <w:jc w:val="center"/>
              <w:rPr>
                <w:rFonts w:ascii="Times New Roman" w:eastAsia="方正仿宋简体" w:cs="Times New Roman"/>
                <w:b/>
                <w:sz w:val="28"/>
                <w:szCs w:val="28"/>
              </w:rPr>
            </w:pPr>
            <w:r>
              <w:rPr>
                <w:rFonts w:hint="eastAsia" w:ascii="Times New Roman" w:eastAsia="方正仿宋简体" w:cs="Times New Roman"/>
                <w:b/>
                <w:kern w:val="2"/>
                <w:sz w:val="28"/>
                <w:szCs w:val="28"/>
              </w:rPr>
              <w:t>专栏</w:t>
            </w:r>
            <w:r>
              <w:rPr>
                <w:rFonts w:ascii="Times New Roman" w:eastAsia="方正仿宋简体" w:cs="Times New Roman"/>
                <w:b/>
                <w:kern w:val="2"/>
                <w:sz w:val="28"/>
                <w:szCs w:val="28"/>
              </w:rPr>
              <w:t>6</w:t>
            </w:r>
            <w:r>
              <w:rPr>
                <w:rFonts w:hint="eastAsia" w:ascii="Times New Roman" w:eastAsia="方正仿宋简体" w:cs="Times New Roman"/>
                <w:b/>
                <w:kern w:val="2"/>
                <w:sz w:val="28"/>
                <w:szCs w:val="28"/>
              </w:rPr>
              <w:t>：</w:t>
            </w:r>
            <w:r>
              <w:rPr>
                <w:rFonts w:hint="eastAsia" w:ascii="Times New Roman" w:eastAsia="方正仿宋简体" w:cs="Times New Roman"/>
                <w:b/>
                <w:sz w:val="28"/>
                <w:szCs w:val="28"/>
              </w:rPr>
              <w:t>福利彩票规范发展</w:t>
            </w:r>
            <w:r>
              <w:rPr>
                <w:rFonts w:hint="eastAsia" w:ascii="Times New Roman" w:eastAsia="方正仿宋简体" w:cs="Times New Roman"/>
                <w:b/>
                <w:kern w:val="2"/>
                <w:sz w:val="28"/>
                <w:szCs w:val="28"/>
              </w:rPr>
              <w:t>工程</w:t>
            </w:r>
          </w:p>
        </w:tc>
      </w:tr>
      <w:tr w14:paraId="311A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5" w:hRule="atLeast"/>
          <w:jc w:val="center"/>
        </w:trPr>
        <w:tc>
          <w:tcPr>
            <w:tcW w:w="9084" w:type="dxa"/>
          </w:tcPr>
          <w:p w14:paraId="30F66C56">
            <w:pPr>
              <w:spacing w:line="400" w:lineRule="exact"/>
              <w:ind w:firstLine="472" w:firstLineChars="196"/>
              <w:rPr>
                <w:rFonts w:eastAsia="方正仿宋简体"/>
                <w:color w:val="000000"/>
                <w:spacing w:val="-11"/>
                <w:kern w:val="0"/>
                <w:sz w:val="24"/>
              </w:rPr>
            </w:pPr>
            <w:r>
              <w:rPr>
                <w:rFonts w:eastAsia="方正仿宋简体"/>
                <w:b/>
                <w:bCs/>
                <w:color w:val="000000"/>
                <w:kern w:val="0"/>
                <w:sz w:val="24"/>
                <w:szCs w:val="24"/>
              </w:rPr>
              <w:t>1.</w:t>
            </w:r>
            <w:r>
              <w:rPr>
                <w:rFonts w:hint="eastAsia" w:eastAsia="方正仿宋简体"/>
                <w:b/>
                <w:bCs/>
                <w:color w:val="000000"/>
                <w:kern w:val="0"/>
                <w:sz w:val="24"/>
                <w:szCs w:val="24"/>
              </w:rPr>
              <w:t>推进福利彩票销售渠道规范化精细化管理：</w:t>
            </w:r>
            <w:r>
              <w:rPr>
                <w:rFonts w:hint="eastAsia" w:eastAsia="方正仿宋简体"/>
                <w:color w:val="000000"/>
                <w:kern w:val="0"/>
                <w:sz w:val="24"/>
                <w:szCs w:val="24"/>
              </w:rPr>
              <w:t>以优</w:t>
            </w:r>
            <w:r>
              <w:rPr>
                <w:rFonts w:hint="eastAsia" w:eastAsia="方正仿宋简体"/>
                <w:color w:val="000000"/>
                <w:spacing w:val="-11"/>
                <w:kern w:val="0"/>
                <w:sz w:val="24"/>
                <w:szCs w:val="24"/>
              </w:rPr>
              <w:t>化布局、加强服务、提升形象为重点，推动传统销售网点转型发展。加强新渠道拓展，提高购彩便利性。加强精细化管理，搭建渠道分类分级管理体系，强化渠道培训和服务，增强渠道可持续发展能力。</w:t>
            </w:r>
          </w:p>
          <w:p w14:paraId="34BD27C7">
            <w:pPr>
              <w:spacing w:line="400" w:lineRule="exact"/>
              <w:ind w:firstLine="472" w:firstLineChars="196"/>
              <w:rPr>
                <w:rFonts w:eastAsia="方正仿宋简体"/>
                <w:color w:val="000000"/>
                <w:sz w:val="24"/>
                <w:szCs w:val="24"/>
              </w:rPr>
            </w:pPr>
            <w:r>
              <w:rPr>
                <w:rFonts w:eastAsia="方正仿宋简体"/>
                <w:b/>
                <w:bCs/>
                <w:color w:val="000000"/>
                <w:kern w:val="0"/>
                <w:sz w:val="24"/>
                <w:szCs w:val="24"/>
              </w:rPr>
              <w:t>2.</w:t>
            </w:r>
            <w:r>
              <w:rPr>
                <w:rFonts w:hint="eastAsia" w:eastAsia="方正仿宋简体"/>
                <w:b/>
                <w:bCs/>
                <w:color w:val="000000"/>
                <w:kern w:val="0"/>
                <w:sz w:val="24"/>
                <w:szCs w:val="24"/>
              </w:rPr>
              <w:t>提升福利彩票公益品牌形象：</w:t>
            </w:r>
            <w:r>
              <w:rPr>
                <w:rFonts w:hint="eastAsia" w:eastAsia="方正仿宋简体"/>
                <w:color w:val="000000"/>
                <w:kern w:val="0"/>
                <w:sz w:val="24"/>
                <w:szCs w:val="24"/>
              </w:rPr>
              <w:t>适应融媒体信息传播模式，建立健全品牌建设和营销宣传工作机制，整合资源开展福利彩票整体营销。依托福利彩票销售场所，建设集公益宣传、便民服务、彩票销售功能于一体的</w:t>
            </w:r>
            <w:r>
              <w:rPr>
                <w:rFonts w:eastAsia="方正仿宋简体"/>
                <w:color w:val="000000"/>
                <w:kern w:val="0"/>
                <w:sz w:val="24"/>
                <w:szCs w:val="24"/>
              </w:rPr>
              <w:t>“</w:t>
            </w:r>
            <w:r>
              <w:rPr>
                <w:rFonts w:hint="eastAsia" w:eastAsia="方正仿宋简体"/>
                <w:color w:val="000000"/>
                <w:kern w:val="0"/>
                <w:sz w:val="24"/>
                <w:szCs w:val="24"/>
              </w:rPr>
              <w:t>福彩公益驿站</w:t>
            </w:r>
            <w:r>
              <w:rPr>
                <w:rFonts w:eastAsia="方正仿宋简体"/>
                <w:color w:val="000000"/>
                <w:kern w:val="0"/>
                <w:sz w:val="24"/>
                <w:szCs w:val="24"/>
              </w:rPr>
              <w:t>”</w:t>
            </w:r>
            <w:r>
              <w:rPr>
                <w:rFonts w:hint="eastAsia" w:eastAsia="方正仿宋简体"/>
                <w:color w:val="000000"/>
                <w:kern w:val="0"/>
                <w:sz w:val="24"/>
                <w:szCs w:val="24"/>
              </w:rPr>
              <w:t>。加大福利彩票公益金使用宣传力度，强化信息公开，推动资助项目标识设置全覆盖。</w:t>
            </w:r>
          </w:p>
        </w:tc>
      </w:tr>
    </w:tbl>
    <w:p w14:paraId="5936B379">
      <w:pPr>
        <w:pStyle w:val="25"/>
        <w:widowControl w:val="0"/>
        <w:spacing w:line="580" w:lineRule="exact"/>
        <w:rPr>
          <w:rFonts w:eastAsia="宋体"/>
          <w:color w:val="000000"/>
        </w:rPr>
      </w:pPr>
      <w:bookmarkStart w:id="40" w:name="_Toc27154"/>
      <w:bookmarkStart w:id="41" w:name="_Toc18851"/>
      <w:bookmarkStart w:id="42" w:name="_Toc9498"/>
      <w:bookmarkStart w:id="43" w:name="_Toc3779"/>
      <w:bookmarkStart w:id="44" w:name="_Toc30216"/>
      <w:bookmarkStart w:id="45" w:name="_Toc25814"/>
    </w:p>
    <w:p w14:paraId="01010A47">
      <w:pPr>
        <w:pStyle w:val="25"/>
        <w:widowControl w:val="0"/>
        <w:spacing w:line="580" w:lineRule="exact"/>
        <w:rPr>
          <w:rFonts w:eastAsia="方正黑体简体"/>
          <w:b w:val="0"/>
          <w:color w:val="000000"/>
        </w:rPr>
      </w:pPr>
      <w:r>
        <w:rPr>
          <w:rFonts w:hint="eastAsia" w:eastAsia="方正黑体简体"/>
          <w:b w:val="0"/>
          <w:color w:val="000000"/>
        </w:rPr>
        <w:t>第六节　做好对口帮扶工作</w:t>
      </w:r>
      <w:bookmarkEnd w:id="40"/>
      <w:bookmarkEnd w:id="41"/>
      <w:bookmarkEnd w:id="42"/>
      <w:bookmarkEnd w:id="43"/>
      <w:bookmarkEnd w:id="44"/>
      <w:bookmarkEnd w:id="45"/>
    </w:p>
    <w:p w14:paraId="6B4A8031">
      <w:pPr>
        <w:spacing w:line="580" w:lineRule="exact"/>
        <w:ind w:firstLine="31680"/>
        <w:rPr>
          <w:color w:val="000000"/>
        </w:rPr>
      </w:pPr>
    </w:p>
    <w:p w14:paraId="47CB61D1">
      <w:pPr>
        <w:spacing w:line="580" w:lineRule="exact"/>
        <w:ind w:firstLine="31680"/>
        <w:rPr>
          <w:color w:val="000000"/>
          <w:szCs w:val="32"/>
        </w:rPr>
      </w:pPr>
      <w:r>
        <w:rPr>
          <w:rFonts w:hint="eastAsia" w:hAnsi="仿宋_GB2312"/>
          <w:b/>
          <w:bCs/>
          <w:color w:val="000000"/>
          <w:szCs w:val="32"/>
        </w:rPr>
        <w:t>贯彻落实党委政府决策部署。</w:t>
      </w:r>
      <w:r>
        <w:rPr>
          <w:rFonts w:hint="eastAsia" w:hAnsi="仿宋_GB2312"/>
          <w:color w:val="000000"/>
          <w:szCs w:val="32"/>
        </w:rPr>
        <w:t>深入贯彻落实党委政府援藏援疆、东西部协作、挂钩帮扶等部署要求，把保障和改善民生作为对口帮扶工作的出发点和落脚点，坚持走具有民政品牌特色、符合帮扶地实际的支援路子，按照</w:t>
      </w:r>
      <w:r>
        <w:rPr>
          <w:color w:val="000000"/>
          <w:szCs w:val="32"/>
        </w:rPr>
        <w:t>“</w:t>
      </w:r>
      <w:r>
        <w:rPr>
          <w:rFonts w:hint="eastAsia" w:hAnsi="仿宋_GB2312"/>
          <w:color w:val="000000"/>
          <w:szCs w:val="32"/>
        </w:rPr>
        <w:t>四个不摘</w:t>
      </w:r>
      <w:r>
        <w:rPr>
          <w:color w:val="000000"/>
          <w:szCs w:val="32"/>
        </w:rPr>
        <w:t>”</w:t>
      </w:r>
      <w:r>
        <w:rPr>
          <w:rFonts w:hint="eastAsia" w:hAnsi="仿宋_GB2312"/>
          <w:color w:val="000000"/>
          <w:szCs w:val="32"/>
        </w:rPr>
        <w:t>要求，科学谋划巩固拓展民政领域脱贫攻坚成果同乡村振兴有效衔接，助力帮扶地向第二个百年奋斗目标扎实迈进。</w:t>
      </w:r>
    </w:p>
    <w:p w14:paraId="47B6B05B">
      <w:pPr>
        <w:spacing w:line="580" w:lineRule="exact"/>
        <w:ind w:firstLine="31680"/>
        <w:rPr>
          <w:color w:val="000000"/>
          <w:szCs w:val="32"/>
        </w:rPr>
      </w:pPr>
      <w:r>
        <w:rPr>
          <w:rFonts w:hint="eastAsia" w:hAnsi="仿宋_GB2312"/>
          <w:b/>
          <w:bCs/>
          <w:color w:val="000000"/>
          <w:szCs w:val="32"/>
        </w:rPr>
        <w:t>全面加强民政领域帮扶力度。</w:t>
      </w:r>
      <w:r>
        <w:rPr>
          <w:rFonts w:hint="eastAsia" w:hAnsi="仿宋_GB2312"/>
          <w:color w:val="000000"/>
          <w:szCs w:val="32"/>
        </w:rPr>
        <w:t>建立健全民政系统对口帮扶工作机制。强化与帮扶地沟通衔接，在政策制定、项目投入、资金支持、人才交流和培训等方面加大倾斜支持力度。坚持精准帮扶，积极争取省级预算内项目资金安排，全力推进帮扶地民政事业持续健康发展。</w:t>
      </w:r>
    </w:p>
    <w:p w14:paraId="7D2C1B3D">
      <w:pPr>
        <w:spacing w:line="580" w:lineRule="exact"/>
        <w:ind w:firstLine="31680"/>
        <w:rPr>
          <w:color w:val="000000"/>
          <w:szCs w:val="32"/>
        </w:rPr>
      </w:pPr>
      <w:r>
        <w:rPr>
          <w:rFonts w:hint="eastAsia" w:hAnsi="仿宋_GB2312"/>
          <w:b/>
          <w:bCs/>
          <w:color w:val="000000"/>
          <w:szCs w:val="32"/>
        </w:rPr>
        <w:t>动员引导社会力量参与对口帮扶。</w:t>
      </w:r>
      <w:r>
        <w:rPr>
          <w:rFonts w:hint="eastAsia" w:hAnsi="仿宋_GB2312"/>
          <w:color w:val="000000"/>
          <w:szCs w:val="32"/>
        </w:rPr>
        <w:t>积极引导社会组织、慈善机构、爱心企业、社会工作者等发挥优势，参与对口帮扶工作，从乡村振兴、民生保障、项目援助、消费帮扶、</w:t>
      </w:r>
      <w:r>
        <w:rPr>
          <w:color w:val="000000"/>
          <w:szCs w:val="32"/>
        </w:rPr>
        <w:t>“</w:t>
      </w:r>
      <w:r>
        <w:rPr>
          <w:rFonts w:hint="eastAsia" w:hAnsi="仿宋_GB2312"/>
          <w:color w:val="000000"/>
          <w:szCs w:val="32"/>
        </w:rPr>
        <w:t>传帮带</w:t>
      </w:r>
      <w:r>
        <w:rPr>
          <w:color w:val="000000"/>
          <w:szCs w:val="32"/>
        </w:rPr>
        <w:t>”</w:t>
      </w:r>
      <w:r>
        <w:rPr>
          <w:rFonts w:hint="eastAsia" w:hAnsi="仿宋_GB2312"/>
          <w:color w:val="000000"/>
          <w:szCs w:val="32"/>
        </w:rPr>
        <w:t>等方面，广泛开展</w:t>
      </w:r>
      <w:r>
        <w:rPr>
          <w:color w:val="000000"/>
          <w:szCs w:val="32"/>
        </w:rPr>
        <w:t>“</w:t>
      </w:r>
      <w:r>
        <w:rPr>
          <w:rFonts w:hint="eastAsia" w:hAnsi="仿宋_GB2312"/>
          <w:color w:val="000000"/>
          <w:szCs w:val="32"/>
        </w:rPr>
        <w:t>助老、助残、助医、助学</w:t>
      </w:r>
      <w:r>
        <w:rPr>
          <w:color w:val="000000"/>
          <w:szCs w:val="32"/>
        </w:rPr>
        <w:t>”</w:t>
      </w:r>
      <w:r>
        <w:rPr>
          <w:rFonts w:hint="eastAsia" w:hAnsi="仿宋_GB2312"/>
          <w:color w:val="000000"/>
          <w:szCs w:val="32"/>
        </w:rPr>
        <w:t>结对帮扶、慈善公益和志愿服务活动，携手打造具有民政特色帮扶品牌。</w:t>
      </w:r>
    </w:p>
    <w:p w14:paraId="7CCA0D89">
      <w:pPr>
        <w:widowControl/>
        <w:spacing w:line="240" w:lineRule="auto"/>
        <w:ind w:firstLine="0" w:firstLineChars="0"/>
        <w:jc w:val="left"/>
        <w:rPr>
          <w:color w:val="000000"/>
          <w:szCs w:val="32"/>
        </w:rPr>
      </w:pPr>
      <w:r>
        <w:rPr>
          <w:color w:val="000000"/>
          <w:szCs w:val="32"/>
        </w:rPr>
        <w:br w:type="page"/>
      </w:r>
    </w:p>
    <w:p w14:paraId="60B7D6B1">
      <w:pPr>
        <w:pStyle w:val="24"/>
        <w:widowControl w:val="0"/>
        <w:spacing w:line="540" w:lineRule="exact"/>
        <w:outlineLvl w:val="0"/>
        <w:rPr>
          <w:rFonts w:ascii="Times New Roman" w:hAnsi="Times New Roman" w:eastAsia="方正小标宋简体"/>
          <w:color w:val="000000"/>
          <w:sz w:val="44"/>
        </w:rPr>
      </w:pPr>
      <w:bookmarkStart w:id="46" w:name="_Toc13786"/>
      <w:bookmarkStart w:id="47" w:name="_Toc23965"/>
      <w:bookmarkStart w:id="48" w:name="_Toc20317"/>
      <w:bookmarkStart w:id="49" w:name="_Toc10127"/>
      <w:bookmarkStart w:id="50" w:name="_Toc8802"/>
      <w:bookmarkStart w:id="51" w:name="_Toc22654"/>
      <w:bookmarkStart w:id="52" w:name="_Toc12050"/>
      <w:r>
        <w:rPr>
          <w:rFonts w:hint="eastAsia" w:ascii="Times New Roman" w:hAnsi="Times New Roman" w:eastAsia="方正小标宋简体"/>
          <w:color w:val="000000"/>
          <w:sz w:val="44"/>
        </w:rPr>
        <w:t>第三章　构建基层社会治理新格局</w:t>
      </w:r>
      <w:bookmarkEnd w:id="46"/>
      <w:bookmarkEnd w:id="47"/>
      <w:bookmarkEnd w:id="48"/>
      <w:bookmarkEnd w:id="49"/>
      <w:bookmarkEnd w:id="50"/>
      <w:bookmarkEnd w:id="51"/>
      <w:bookmarkEnd w:id="52"/>
    </w:p>
    <w:p w14:paraId="2BCAE2BC">
      <w:pPr>
        <w:pStyle w:val="24"/>
        <w:widowControl w:val="0"/>
        <w:adjustRightInd w:val="0"/>
        <w:snapToGrid w:val="0"/>
        <w:spacing w:line="540" w:lineRule="exact"/>
        <w:outlineLvl w:val="0"/>
        <w:rPr>
          <w:rFonts w:ascii="Times New Roman" w:hAnsi="Times New Roman"/>
          <w:color w:val="000000"/>
        </w:rPr>
      </w:pPr>
    </w:p>
    <w:p w14:paraId="5468F0F4">
      <w:pPr>
        <w:spacing w:line="540" w:lineRule="exact"/>
        <w:ind w:firstLine="31680"/>
        <w:rPr>
          <w:color w:val="000000"/>
          <w:spacing w:val="-6"/>
          <w:kern w:val="0"/>
          <w:szCs w:val="32"/>
        </w:rPr>
      </w:pPr>
      <w:r>
        <w:rPr>
          <w:rFonts w:hint="eastAsia"/>
          <w:color w:val="000000"/>
          <w:kern w:val="0"/>
          <w:szCs w:val="32"/>
        </w:rPr>
        <w:t>加强社会治理体系现代化建设，健全党在基层社会治理体系中的全面领导，完善城乡社区治理，深化基层群众自治，创新社会组织发展模式，促进慈善事业、社会工作和志愿服务高质量发展，推进基层社会治理体系和治理能力现代化，加快形成体系完</w:t>
      </w:r>
      <w:r>
        <w:rPr>
          <w:rFonts w:hint="eastAsia"/>
          <w:color w:val="000000"/>
          <w:spacing w:val="-6"/>
          <w:kern w:val="0"/>
          <w:szCs w:val="32"/>
        </w:rPr>
        <w:t>备、共治共享、和谐有序、群众满意的现代化基层社会治理新格局。</w:t>
      </w:r>
    </w:p>
    <w:p w14:paraId="6FE582CD">
      <w:pPr>
        <w:spacing w:line="540" w:lineRule="exact"/>
        <w:ind w:firstLine="31680"/>
        <w:rPr>
          <w:color w:val="000000"/>
          <w:spacing w:val="-6"/>
          <w:kern w:val="0"/>
          <w:szCs w:val="32"/>
        </w:rPr>
      </w:pPr>
    </w:p>
    <w:p w14:paraId="633B21DB">
      <w:pPr>
        <w:pStyle w:val="25"/>
        <w:widowControl w:val="0"/>
        <w:spacing w:line="540" w:lineRule="exact"/>
        <w:outlineLvl w:val="1"/>
        <w:rPr>
          <w:rFonts w:eastAsia="方正黑体简体"/>
          <w:b w:val="0"/>
          <w:color w:val="000000"/>
        </w:rPr>
      </w:pPr>
      <w:bookmarkStart w:id="53" w:name="_Toc7896"/>
      <w:bookmarkStart w:id="54" w:name="_Toc9663"/>
      <w:bookmarkStart w:id="55" w:name="_Toc16054"/>
      <w:bookmarkStart w:id="56" w:name="_Toc18409"/>
      <w:bookmarkStart w:id="57" w:name="_Toc8436"/>
      <w:bookmarkStart w:id="58" w:name="_Toc1545"/>
      <w:bookmarkStart w:id="59" w:name="_Toc27583"/>
      <w:r>
        <w:rPr>
          <w:rFonts w:hint="eastAsia" w:eastAsia="方正黑体简体"/>
          <w:b w:val="0"/>
          <w:color w:val="000000"/>
        </w:rPr>
        <w:t>第一节　完善城乡社区治理</w:t>
      </w:r>
      <w:bookmarkEnd w:id="53"/>
      <w:bookmarkEnd w:id="54"/>
      <w:bookmarkEnd w:id="55"/>
      <w:bookmarkEnd w:id="56"/>
      <w:bookmarkEnd w:id="57"/>
      <w:bookmarkEnd w:id="58"/>
      <w:bookmarkEnd w:id="59"/>
    </w:p>
    <w:p w14:paraId="3BA176DF">
      <w:pPr>
        <w:spacing w:line="540" w:lineRule="exact"/>
        <w:ind w:firstLine="31680"/>
        <w:rPr>
          <w:color w:val="000000"/>
        </w:rPr>
      </w:pPr>
    </w:p>
    <w:p w14:paraId="7492522E">
      <w:pPr>
        <w:spacing w:line="540" w:lineRule="exact"/>
        <w:ind w:firstLine="31680"/>
        <w:rPr>
          <w:color w:val="000000"/>
          <w:kern w:val="0"/>
          <w:szCs w:val="32"/>
        </w:rPr>
      </w:pPr>
      <w:r>
        <w:rPr>
          <w:rFonts w:hint="eastAsia"/>
          <w:b/>
          <w:color w:val="000000"/>
          <w:kern w:val="0"/>
          <w:szCs w:val="32"/>
        </w:rPr>
        <w:t>健全党领导的基层群众自治制度。</w:t>
      </w:r>
      <w:r>
        <w:rPr>
          <w:rFonts w:hint="eastAsia"/>
          <w:color w:val="000000"/>
          <w:kern w:val="0"/>
          <w:szCs w:val="32"/>
        </w:rPr>
        <w:t>落实好党中央、国务院关于加强基层治理体系和治理能力现代化建设的意见，健全党组织领导的自治、法治、德治相结合的城乡基层治理体系。发挥基层群众性自治组织在城乡社区治理中的基础作用，加强基层群众性自治组织规范化建设，建立城乡基层群众自治领域扫黑除恶常态化工作机制。依法依规做好村（居）民委员会换届选举相关工作，稳步扩大社区居民委员会直接选举范围，力争到</w:t>
      </w:r>
      <w:r>
        <w:rPr>
          <w:color w:val="000000"/>
          <w:kern w:val="0"/>
          <w:szCs w:val="32"/>
        </w:rPr>
        <w:t>2025</w:t>
      </w:r>
      <w:r>
        <w:rPr>
          <w:rFonts w:hint="eastAsia"/>
          <w:color w:val="000000"/>
          <w:kern w:val="0"/>
          <w:szCs w:val="32"/>
        </w:rPr>
        <w:t>年直接选举率达到</w:t>
      </w:r>
      <w:r>
        <w:rPr>
          <w:color w:val="000000"/>
          <w:kern w:val="0"/>
          <w:szCs w:val="32"/>
        </w:rPr>
        <w:t>30%</w:t>
      </w:r>
      <w:r>
        <w:rPr>
          <w:rFonts w:hint="eastAsia"/>
          <w:color w:val="000000"/>
          <w:kern w:val="0"/>
          <w:szCs w:val="32"/>
        </w:rPr>
        <w:t>以上，推动社区居民委员会设立环境和物业管理委员会，逐步提高村民委员会成员中女性比例。以村级组织换届为契机，推动党的组织有效嵌入村（社区）各类组织。完善社区依法履行职责、挂牌保留目录等清单，改进和规范基层群众性自治组织出具证明工作，开展</w:t>
      </w:r>
      <w:r>
        <w:rPr>
          <w:color w:val="000000"/>
          <w:kern w:val="0"/>
          <w:szCs w:val="32"/>
        </w:rPr>
        <w:t>“</w:t>
      </w:r>
      <w:r>
        <w:rPr>
          <w:rFonts w:hint="eastAsia"/>
          <w:color w:val="000000"/>
          <w:kern w:val="0"/>
          <w:szCs w:val="32"/>
        </w:rPr>
        <w:t>社区万能章</w:t>
      </w:r>
      <w:r>
        <w:rPr>
          <w:color w:val="000000"/>
          <w:kern w:val="0"/>
          <w:szCs w:val="32"/>
        </w:rPr>
        <w:t>”3</w:t>
      </w:r>
      <w:r>
        <w:rPr>
          <w:rFonts w:hint="eastAsia"/>
          <w:color w:val="000000"/>
          <w:kern w:val="0"/>
          <w:szCs w:val="32"/>
        </w:rPr>
        <w:t>年专项治理行动，推进社区减负增效。</w:t>
      </w:r>
    </w:p>
    <w:p w14:paraId="573567FD">
      <w:pPr>
        <w:ind w:firstLine="31680"/>
        <w:rPr>
          <w:color w:val="000000"/>
          <w:kern w:val="0"/>
          <w:szCs w:val="32"/>
        </w:rPr>
      </w:pPr>
      <w:r>
        <w:rPr>
          <w:rFonts w:hint="eastAsia"/>
          <w:b/>
          <w:color w:val="000000"/>
          <w:kern w:val="0"/>
          <w:szCs w:val="32"/>
        </w:rPr>
        <w:t>拓宽群众参与基层治理的制度化渠道。</w:t>
      </w:r>
      <w:r>
        <w:rPr>
          <w:rFonts w:hint="eastAsia"/>
          <w:color w:val="000000"/>
          <w:kern w:val="0"/>
          <w:szCs w:val="32"/>
        </w:rPr>
        <w:t>健全党组织主导的城乡社区民主协商议事制度，保障村（居）民会议、村（居）民代表会议制度落实，实现村（社区）民主议事厅全覆盖，达到民事民议民决。探索建立乡镇（街道）协商与城乡社区协商的联动机制，不断丰富村（居）民有效参与公共事项决策的形式。制定村庄撤并的审批权限和具体程序，指导村民委员会在村庄撤并中履行民主决策程序。加强村（居）务监督委员会建设，落实村（居）务公开制度，到</w:t>
      </w:r>
      <w:r>
        <w:rPr>
          <w:color w:val="000000"/>
          <w:kern w:val="0"/>
          <w:szCs w:val="32"/>
        </w:rPr>
        <w:t>2025</w:t>
      </w:r>
      <w:r>
        <w:rPr>
          <w:rFonts w:hint="eastAsia"/>
          <w:color w:val="000000"/>
          <w:kern w:val="0"/>
          <w:szCs w:val="32"/>
        </w:rPr>
        <w:t>年，村（社区）全部制定或修订村（居）民自治章程、村规民约（居民公约），并在社区治理中发挥重要作用。挖掘、展示和推广优秀村规民约，推动移风易俗，树立文明乡风。</w:t>
      </w:r>
      <w:r>
        <w:rPr>
          <w:rFonts w:hint="eastAsia"/>
          <w:color w:val="000000"/>
        </w:rPr>
        <w:t>开展</w:t>
      </w:r>
      <w:r>
        <w:rPr>
          <w:color w:val="000000"/>
        </w:rPr>
        <w:t>“</w:t>
      </w:r>
      <w:r>
        <w:rPr>
          <w:rFonts w:hint="eastAsia"/>
          <w:color w:val="000000"/>
        </w:rPr>
        <w:t>共建共享</w:t>
      </w:r>
      <w:r>
        <w:rPr>
          <w:color w:val="000000"/>
        </w:rPr>
        <w:t>”</w:t>
      </w:r>
      <w:r>
        <w:rPr>
          <w:rFonts w:hint="eastAsia"/>
          <w:color w:val="000000"/>
        </w:rPr>
        <w:t>社区治理建设，健全社区</w:t>
      </w:r>
      <w:r>
        <w:rPr>
          <w:color w:val="000000"/>
        </w:rPr>
        <w:t>“</w:t>
      </w:r>
      <w:r>
        <w:rPr>
          <w:rFonts w:hint="eastAsia"/>
          <w:color w:val="000000"/>
        </w:rPr>
        <w:t>微议事、微协商</w:t>
      </w:r>
      <w:r>
        <w:rPr>
          <w:color w:val="000000"/>
        </w:rPr>
        <w:t>”</w:t>
      </w:r>
      <w:r>
        <w:rPr>
          <w:rFonts w:hint="eastAsia"/>
          <w:color w:val="000000"/>
        </w:rPr>
        <w:t>机制，深化社区、网格、住宅小区（街巷）、楼栋的四级议事协商体系和完整闭环体系。</w:t>
      </w:r>
    </w:p>
    <w:p w14:paraId="436C9D3B">
      <w:pPr>
        <w:ind w:firstLine="31680"/>
        <w:rPr>
          <w:color w:val="000000"/>
          <w:kern w:val="0"/>
          <w:szCs w:val="32"/>
        </w:rPr>
      </w:pPr>
      <w:r>
        <w:rPr>
          <w:rFonts w:hint="eastAsia"/>
          <w:b/>
          <w:color w:val="000000"/>
          <w:kern w:val="0"/>
          <w:szCs w:val="32"/>
        </w:rPr>
        <w:t>深化乡镇（街道）服务能力建设。</w:t>
      </w:r>
      <w:r>
        <w:rPr>
          <w:rFonts w:hint="eastAsia"/>
          <w:color w:val="000000"/>
          <w:kern w:val="0"/>
          <w:szCs w:val="32"/>
        </w:rPr>
        <w:t>开展乡镇政府服务能力建设试点，培育一批乡镇政府服务能力建设典型，以点带面，推动全市乡镇政府服务能力上新台阶。积极推行乡镇（街道）政务服务</w:t>
      </w:r>
      <w:r>
        <w:rPr>
          <w:color w:val="000000"/>
          <w:kern w:val="0"/>
          <w:szCs w:val="32"/>
        </w:rPr>
        <w:t>“</w:t>
      </w:r>
      <w:r>
        <w:rPr>
          <w:rFonts w:hint="eastAsia"/>
          <w:color w:val="000000"/>
          <w:kern w:val="0"/>
          <w:szCs w:val="32"/>
        </w:rPr>
        <w:t>好差评</w:t>
      </w:r>
      <w:r>
        <w:rPr>
          <w:color w:val="000000"/>
          <w:kern w:val="0"/>
          <w:szCs w:val="32"/>
        </w:rPr>
        <w:t>”</w:t>
      </w:r>
      <w:r>
        <w:rPr>
          <w:rFonts w:hint="eastAsia"/>
          <w:color w:val="000000"/>
          <w:kern w:val="0"/>
          <w:szCs w:val="32"/>
        </w:rPr>
        <w:t>机制。深化乡镇（街道）服务管理体制改革，提高</w:t>
      </w:r>
      <w:r>
        <w:rPr>
          <w:color w:val="000000"/>
          <w:kern w:val="0"/>
          <w:szCs w:val="32"/>
        </w:rPr>
        <w:t>“</w:t>
      </w:r>
      <w:r>
        <w:rPr>
          <w:rFonts w:hint="eastAsia"/>
          <w:color w:val="000000"/>
          <w:kern w:val="0"/>
          <w:szCs w:val="32"/>
        </w:rPr>
        <w:t>放管服</w:t>
      </w:r>
      <w:r>
        <w:rPr>
          <w:color w:val="000000"/>
          <w:kern w:val="0"/>
          <w:szCs w:val="32"/>
        </w:rPr>
        <w:t>”</w:t>
      </w:r>
      <w:r>
        <w:rPr>
          <w:rFonts w:hint="eastAsia"/>
          <w:color w:val="000000"/>
          <w:kern w:val="0"/>
          <w:szCs w:val="32"/>
        </w:rPr>
        <w:t>承接能力，实行</w:t>
      </w:r>
      <w:r>
        <w:rPr>
          <w:color w:val="000000"/>
          <w:kern w:val="0"/>
          <w:szCs w:val="32"/>
        </w:rPr>
        <w:t>“</w:t>
      </w:r>
      <w:r>
        <w:rPr>
          <w:rFonts w:hint="eastAsia"/>
          <w:color w:val="000000"/>
          <w:kern w:val="0"/>
          <w:szCs w:val="32"/>
        </w:rPr>
        <w:t>一站式</w:t>
      </w:r>
      <w:r>
        <w:rPr>
          <w:color w:val="000000"/>
          <w:kern w:val="0"/>
          <w:szCs w:val="32"/>
        </w:rPr>
        <w:t>”</w:t>
      </w:r>
      <w:r>
        <w:rPr>
          <w:rFonts w:hint="eastAsia"/>
          <w:color w:val="000000"/>
          <w:kern w:val="0"/>
          <w:szCs w:val="32"/>
        </w:rPr>
        <w:t>服务和</w:t>
      </w:r>
      <w:r>
        <w:rPr>
          <w:color w:val="000000"/>
          <w:kern w:val="0"/>
          <w:szCs w:val="32"/>
        </w:rPr>
        <w:t>“</w:t>
      </w:r>
      <w:r>
        <w:rPr>
          <w:rFonts w:hint="eastAsia"/>
          <w:color w:val="000000"/>
          <w:kern w:val="0"/>
          <w:szCs w:val="32"/>
        </w:rPr>
        <w:t>一窗式</w:t>
      </w:r>
      <w:r>
        <w:rPr>
          <w:color w:val="000000"/>
          <w:kern w:val="0"/>
          <w:szCs w:val="32"/>
        </w:rPr>
        <w:t>”</w:t>
      </w:r>
      <w:r>
        <w:rPr>
          <w:rFonts w:hint="eastAsia"/>
          <w:color w:val="000000"/>
          <w:kern w:val="0"/>
          <w:szCs w:val="32"/>
        </w:rPr>
        <w:t>办理，推动乡镇（街道）一站式服务中心或便民服务、一体化在线政务服务平台覆盖率达到</w:t>
      </w:r>
      <w:r>
        <w:rPr>
          <w:color w:val="000000"/>
          <w:kern w:val="0"/>
          <w:szCs w:val="32"/>
        </w:rPr>
        <w:t>100%</w:t>
      </w:r>
      <w:r>
        <w:rPr>
          <w:rFonts w:hint="eastAsia"/>
          <w:color w:val="000000"/>
          <w:kern w:val="0"/>
          <w:szCs w:val="32"/>
        </w:rPr>
        <w:t>。</w:t>
      </w:r>
    </w:p>
    <w:p w14:paraId="4815B8AF">
      <w:pPr>
        <w:ind w:firstLine="31680"/>
        <w:rPr>
          <w:color w:val="000000"/>
          <w:kern w:val="0"/>
          <w:szCs w:val="32"/>
        </w:rPr>
      </w:pPr>
      <w:r>
        <w:rPr>
          <w:rFonts w:hint="eastAsia"/>
          <w:b/>
          <w:color w:val="000000"/>
          <w:kern w:val="0"/>
          <w:szCs w:val="32"/>
        </w:rPr>
        <w:t>加强社区工作者队伍建设。</w:t>
      </w:r>
      <w:r>
        <w:rPr>
          <w:rFonts w:hint="eastAsia"/>
          <w:color w:val="000000"/>
          <w:kern w:val="0"/>
          <w:szCs w:val="32"/>
        </w:rPr>
        <w:t>建立社区工作者职业发展体系，建立健全与岗位特点、工作年限、教育程度、专业水平相匹配的社区工作者岗位等级序列，建立社区工作者薪酬体系和待遇正常增长机制。健全完善参加社会保险和缴存住房公积金制度。建立健全城乡社区工作者分级培训制度，支持社区工作者参加社会工作职业资格评价和学历教育等，推动实施对获得社会工作职业资格的给予职业津贴。继续组织实施高校毕业生服务社区计划，引导高校毕业生到社区就业创业。</w:t>
      </w:r>
    </w:p>
    <w:p w14:paraId="2A8469CA">
      <w:pPr>
        <w:ind w:firstLine="31680"/>
        <w:rPr>
          <w:color w:val="000000"/>
          <w:kern w:val="0"/>
          <w:szCs w:val="32"/>
        </w:rPr>
      </w:pPr>
      <w:r>
        <w:rPr>
          <w:rFonts w:hint="eastAsia"/>
          <w:b/>
          <w:color w:val="000000"/>
          <w:kern w:val="0"/>
          <w:szCs w:val="32"/>
        </w:rPr>
        <w:t>扩大城乡社区服务有效供给。</w:t>
      </w:r>
      <w:r>
        <w:rPr>
          <w:rFonts w:hint="eastAsia"/>
          <w:bCs/>
          <w:color w:val="000000"/>
        </w:rPr>
        <w:t>按照每百户居民拥有综合服务设施面积不低于</w:t>
      </w:r>
      <w:r>
        <w:rPr>
          <w:bCs/>
          <w:color w:val="000000"/>
        </w:rPr>
        <w:t>30</w:t>
      </w:r>
      <w:r>
        <w:rPr>
          <w:rFonts w:hint="eastAsia"/>
          <w:bCs/>
          <w:color w:val="000000"/>
        </w:rPr>
        <w:t>平方米的标准，</w:t>
      </w:r>
      <w:r>
        <w:rPr>
          <w:rFonts w:hint="eastAsia"/>
          <w:color w:val="000000"/>
          <w:kern w:val="0"/>
          <w:szCs w:val="32"/>
        </w:rPr>
        <w:t>引导各地将社区服务体系建设作为重要内容纳入国民经济和社会发展规划、国土空间规划和新型城镇化建设工程，强化社区为民、便民、安民功能。创新社区近邻服务模式，完善幼有所育、老有颐养、住有宜居、弱有众扶等服务功能。指导和支持各地实施社区发展行动计划，着力解决社区急难愁盼的突出问题。推动社区服务智能化，推广应用智慧社区信息系统和简便应用软件，提高城乡社区服务效能。推进城乡社区服务标准化建设，建立系统完善、层次分明、衔接配套、科学适用的社区基本公共服务标准体系，实施社区服务质量认证。优化城乡社区服务设施布局，加快补齐村级综合服务设施建设短板，加强村级综合服务设施管护，推进城市社区生活性服务综合体建设，深化社区便民惠民服务。支持城乡社区综合服务设施（场地）设立家政服务网点，助力国家级家政服务业提质扩容</w:t>
      </w:r>
      <w:r>
        <w:rPr>
          <w:color w:val="000000"/>
          <w:kern w:val="0"/>
          <w:szCs w:val="32"/>
        </w:rPr>
        <w:t>“</w:t>
      </w:r>
      <w:r>
        <w:rPr>
          <w:rFonts w:hint="eastAsia"/>
          <w:color w:val="000000"/>
          <w:kern w:val="0"/>
          <w:szCs w:val="32"/>
        </w:rPr>
        <w:t>领跑者</w:t>
      </w:r>
      <w:r>
        <w:rPr>
          <w:color w:val="000000"/>
          <w:kern w:val="0"/>
          <w:szCs w:val="32"/>
        </w:rPr>
        <w:t>”</w:t>
      </w:r>
      <w:r>
        <w:rPr>
          <w:rFonts w:hint="eastAsia"/>
          <w:color w:val="000000"/>
          <w:kern w:val="0"/>
          <w:szCs w:val="32"/>
        </w:rPr>
        <w:t>行动重点推进城市等试点建设。引导社会组织、社会工作专业人才、志愿服务组织进入城乡社区，提供社区养老、托育、家政等专业化、个性化服务。创新城乡社区公共服务提供方式，</w:t>
      </w:r>
      <w:r>
        <w:rPr>
          <w:rFonts w:hint="eastAsia"/>
          <w:color w:val="000000"/>
          <w:spacing w:val="-10"/>
          <w:kern w:val="0"/>
          <w:szCs w:val="32"/>
        </w:rPr>
        <w:t>全面推进政府购买社区服务机制建设，完善政府购买社区服务清单。</w:t>
      </w:r>
    </w:p>
    <w:p w14:paraId="2D4E63C8">
      <w:pPr>
        <w:ind w:firstLine="31680"/>
        <w:rPr>
          <w:color w:val="000000"/>
          <w:kern w:val="0"/>
          <w:szCs w:val="32"/>
        </w:rPr>
      </w:pPr>
    </w:p>
    <w:p w14:paraId="21527094">
      <w:pPr>
        <w:pStyle w:val="25"/>
        <w:widowControl w:val="0"/>
        <w:outlineLvl w:val="1"/>
        <w:rPr>
          <w:rFonts w:eastAsia="方正黑体简体"/>
          <w:b w:val="0"/>
          <w:color w:val="000000"/>
        </w:rPr>
      </w:pPr>
      <w:bookmarkStart w:id="60" w:name="_Toc14149"/>
      <w:bookmarkStart w:id="61" w:name="_Toc26949"/>
      <w:bookmarkStart w:id="62" w:name="_Toc7400"/>
      <w:bookmarkStart w:id="63" w:name="_Toc24676"/>
      <w:bookmarkStart w:id="64" w:name="_Toc12023"/>
      <w:bookmarkStart w:id="65" w:name="_Toc5875"/>
      <w:bookmarkStart w:id="66" w:name="_Toc4940"/>
      <w:r>
        <w:rPr>
          <w:rFonts w:hint="eastAsia" w:eastAsia="方正黑体简体"/>
          <w:b w:val="0"/>
          <w:color w:val="000000"/>
        </w:rPr>
        <w:t>第二节　创新社会组织发展</w:t>
      </w:r>
      <w:bookmarkEnd w:id="60"/>
      <w:bookmarkEnd w:id="61"/>
      <w:bookmarkEnd w:id="62"/>
      <w:bookmarkEnd w:id="63"/>
      <w:bookmarkEnd w:id="64"/>
      <w:bookmarkEnd w:id="65"/>
      <w:bookmarkEnd w:id="66"/>
    </w:p>
    <w:p w14:paraId="2C5071CF">
      <w:pPr>
        <w:ind w:firstLine="31680"/>
        <w:rPr>
          <w:color w:val="000000"/>
        </w:rPr>
      </w:pPr>
    </w:p>
    <w:p w14:paraId="0DA3E62A">
      <w:pPr>
        <w:ind w:firstLine="31680"/>
        <w:rPr>
          <w:color w:val="000000"/>
          <w:szCs w:val="32"/>
        </w:rPr>
      </w:pPr>
      <w:r>
        <w:rPr>
          <w:rFonts w:hint="eastAsia"/>
          <w:b/>
          <w:bCs/>
          <w:color w:val="000000"/>
          <w:kern w:val="0"/>
          <w:szCs w:val="32"/>
        </w:rPr>
        <w:t>加强党对社会组织的领导。</w:t>
      </w:r>
      <w:r>
        <w:rPr>
          <w:rFonts w:hint="eastAsia"/>
          <w:color w:val="000000"/>
          <w:szCs w:val="32"/>
        </w:rPr>
        <w:t>充分发挥社会组织党组织政治引领作用，</w:t>
      </w:r>
      <w:r>
        <w:rPr>
          <w:rFonts w:hint="eastAsia"/>
          <w:color w:val="000000"/>
          <w:kern w:val="0"/>
          <w:szCs w:val="32"/>
        </w:rPr>
        <w:t>确保社会组织正确发展方向。坚持党的领导与社会组织依法自治相统一，把党的工作融入社会组织运行和发展过程。在社会组织章程中写入党的建设和社会主义核心价值观。</w:t>
      </w:r>
      <w:r>
        <w:rPr>
          <w:rFonts w:hint="eastAsia"/>
          <w:color w:val="000000"/>
          <w:szCs w:val="32"/>
        </w:rPr>
        <w:t>落实党建工作与登记、年检（年报）、评估</w:t>
      </w:r>
      <w:r>
        <w:rPr>
          <w:color w:val="000000"/>
          <w:szCs w:val="32"/>
        </w:rPr>
        <w:t>“</w:t>
      </w:r>
      <w:r>
        <w:rPr>
          <w:rFonts w:hint="eastAsia"/>
          <w:color w:val="000000"/>
          <w:szCs w:val="32"/>
        </w:rPr>
        <w:t>三同步</w:t>
      </w:r>
      <w:r>
        <w:rPr>
          <w:color w:val="000000"/>
          <w:szCs w:val="32"/>
        </w:rPr>
        <w:t>”</w:t>
      </w:r>
      <w:r>
        <w:rPr>
          <w:rFonts w:hint="eastAsia"/>
          <w:color w:val="000000"/>
          <w:szCs w:val="32"/>
        </w:rPr>
        <w:t>制度，按照应建尽建原则，持续推进社会组织党的组织和党的工作从有形覆盖向有效覆盖转化。以政治建设为统领，以提升组织力为重点，不断提高社会组织党组织建设质量。鼓励社会组织负责人和党组织书记依法依规交叉任职，促进党的建设与业务发展深度融合，确保党组织有效引导和监督社会组织依法执业、诚信从业，有效发挥党组织保证政治方向、推动事业发展、团结服务群众、促进社会和谐等作用。</w:t>
      </w:r>
    </w:p>
    <w:p w14:paraId="362A8265">
      <w:pPr>
        <w:ind w:firstLine="31680"/>
        <w:rPr>
          <w:color w:val="000000"/>
          <w:kern w:val="0"/>
          <w:szCs w:val="32"/>
        </w:rPr>
      </w:pPr>
      <w:r>
        <w:rPr>
          <w:rFonts w:hint="eastAsia"/>
          <w:b/>
          <w:color w:val="000000"/>
          <w:kern w:val="0"/>
          <w:szCs w:val="32"/>
        </w:rPr>
        <w:t>推动社会组织高质量发展。</w:t>
      </w:r>
      <w:r>
        <w:rPr>
          <w:rFonts w:hint="eastAsia"/>
          <w:color w:val="000000"/>
          <w:kern w:val="0"/>
          <w:szCs w:val="32"/>
        </w:rPr>
        <w:t>推进社会组织直接登记改革，培育发展行业协会商会类、科技类、公益慈善类、城乡社区服务类社会组织。持续深化行业协会商会改革，总结脱钩改革经验，组织实施以</w:t>
      </w:r>
      <w:r>
        <w:rPr>
          <w:color w:val="000000"/>
          <w:kern w:val="0"/>
          <w:szCs w:val="32"/>
        </w:rPr>
        <w:t>“</w:t>
      </w:r>
      <w:r>
        <w:rPr>
          <w:rFonts w:hint="eastAsia"/>
          <w:color w:val="000000"/>
          <w:kern w:val="0"/>
          <w:szCs w:val="32"/>
        </w:rPr>
        <w:t>查漏项、补短板、促发展</w:t>
      </w:r>
      <w:r>
        <w:rPr>
          <w:color w:val="000000"/>
          <w:kern w:val="0"/>
          <w:szCs w:val="32"/>
        </w:rPr>
        <w:t>”</w:t>
      </w:r>
      <w:r>
        <w:rPr>
          <w:rFonts w:hint="eastAsia"/>
          <w:color w:val="000000"/>
          <w:kern w:val="0"/>
          <w:szCs w:val="32"/>
        </w:rPr>
        <w:t>为主题的脱钩改革</w:t>
      </w:r>
      <w:r>
        <w:rPr>
          <w:color w:val="000000"/>
          <w:kern w:val="0"/>
          <w:szCs w:val="32"/>
        </w:rPr>
        <w:t>“</w:t>
      </w:r>
      <w:r>
        <w:rPr>
          <w:rFonts w:hint="eastAsia"/>
          <w:color w:val="000000"/>
          <w:kern w:val="0"/>
          <w:szCs w:val="32"/>
        </w:rPr>
        <w:t>回头看</w:t>
      </w:r>
      <w:r>
        <w:rPr>
          <w:color w:val="000000"/>
          <w:kern w:val="0"/>
          <w:szCs w:val="32"/>
        </w:rPr>
        <w:t>”</w:t>
      </w:r>
      <w:r>
        <w:rPr>
          <w:rFonts w:hint="eastAsia"/>
          <w:color w:val="000000"/>
          <w:kern w:val="0"/>
          <w:szCs w:val="32"/>
        </w:rPr>
        <w:t>，巩固脱钩成果，在服务企业发展、规范市场秩序、开展行业自律、维护会员权益、调解贸易纠纷等方面发挥行业协会商会作用，使之成为推动经济发展的重要力量。推动社会组织孵化基地建设，落实国家对社会组织各项税收优惠政策、公益慈善事业捐赠税收优惠制度。</w:t>
      </w:r>
    </w:p>
    <w:p w14:paraId="757CD469">
      <w:pPr>
        <w:ind w:firstLine="31680"/>
        <w:rPr>
          <w:color w:val="000000"/>
          <w:kern w:val="0"/>
          <w:szCs w:val="32"/>
        </w:rPr>
      </w:pPr>
      <w:r>
        <w:rPr>
          <w:rFonts w:hint="eastAsia"/>
          <w:b/>
          <w:bCs/>
          <w:color w:val="000000"/>
          <w:kern w:val="0"/>
          <w:szCs w:val="32"/>
        </w:rPr>
        <w:t>完善社会组织监管。</w:t>
      </w:r>
      <w:r>
        <w:rPr>
          <w:rFonts w:hint="eastAsia"/>
          <w:bCs/>
          <w:color w:val="000000"/>
          <w:kern w:val="0"/>
          <w:szCs w:val="32"/>
        </w:rPr>
        <w:t>落实</w:t>
      </w:r>
      <w:r>
        <w:rPr>
          <w:rFonts w:hint="eastAsia"/>
          <w:color w:val="000000"/>
          <w:kern w:val="0"/>
          <w:szCs w:val="32"/>
        </w:rPr>
        <w:t>社会组织年检改年报改革，以年报促规范。加强社会组织事中事后监管，开展评估、约谈、双随机抽查、财务抽查审计等工作，促进社会组织依法依规运行。完善社会组织法人库建设，加强社会组织活动异常名录和严重违法失信名单的有效归集和信息公开，推进部门联合惩戒。优化</w:t>
      </w:r>
      <w:r>
        <w:rPr>
          <w:color w:val="000000"/>
          <w:kern w:val="0"/>
          <w:szCs w:val="32"/>
        </w:rPr>
        <w:t>“</w:t>
      </w:r>
      <w:r>
        <w:rPr>
          <w:rFonts w:hint="eastAsia"/>
          <w:color w:val="000000"/>
          <w:kern w:val="0"/>
          <w:szCs w:val="32"/>
        </w:rPr>
        <w:t>互联网</w:t>
      </w:r>
      <w:r>
        <w:rPr>
          <w:color w:val="000000"/>
          <w:kern w:val="0"/>
          <w:szCs w:val="32"/>
        </w:rPr>
        <w:t>+”</w:t>
      </w:r>
      <w:r>
        <w:rPr>
          <w:rFonts w:hint="eastAsia"/>
          <w:color w:val="000000"/>
          <w:kern w:val="0"/>
          <w:szCs w:val="32"/>
        </w:rPr>
        <w:t>社会组织管理服务，推动事前审批和事中事后监管信息深度融合，推进大数据监测分析和预测预警，强化线上线下一体化监管。加大执法力度，完善快速反应机制和综合执法机制，常态化开展非法社会组织打击工作。</w:t>
      </w:r>
    </w:p>
    <w:p w14:paraId="37789721">
      <w:pPr>
        <w:ind w:firstLine="31680"/>
        <w:rPr>
          <w:color w:val="000000"/>
          <w:kern w:val="0"/>
          <w:szCs w:val="32"/>
        </w:rPr>
      </w:pPr>
      <w:r>
        <w:rPr>
          <w:rFonts w:hint="eastAsia"/>
          <w:b/>
          <w:bCs/>
          <w:color w:val="000000"/>
          <w:kern w:val="0"/>
          <w:szCs w:val="32"/>
        </w:rPr>
        <w:t>强化社会组织自身建设。</w:t>
      </w:r>
      <w:r>
        <w:rPr>
          <w:rFonts w:hint="eastAsia"/>
          <w:color w:val="000000"/>
          <w:kern w:val="0"/>
          <w:szCs w:val="32"/>
        </w:rPr>
        <w:t>引导社会组织依法依规开展活动，完善以章程为核心的法人治理结构，建立完善民主决策、科学管理、自我约束、规范发展的内部运行机制，使社会组织成为独立承担法律责任、权责明确、运转协调、制衡有效的法人主体。加强社会组织诚信自律建设，增强社会组织服务功能，充分发挥社会组织服务国家、服务社会、服务群众、服务行业的积极作用。</w:t>
      </w:r>
    </w:p>
    <w:p w14:paraId="0548A42D">
      <w:pPr>
        <w:ind w:firstLine="31680"/>
        <w:rPr>
          <w:color w:val="000000"/>
          <w:kern w:val="0"/>
          <w:szCs w:val="32"/>
        </w:rPr>
      </w:pPr>
    </w:p>
    <w:p w14:paraId="1EAF746C">
      <w:pPr>
        <w:pStyle w:val="25"/>
        <w:widowControl w:val="0"/>
        <w:outlineLvl w:val="1"/>
        <w:rPr>
          <w:rFonts w:eastAsia="方正黑体简体"/>
          <w:b w:val="0"/>
          <w:color w:val="000000"/>
        </w:rPr>
      </w:pPr>
      <w:bookmarkStart w:id="67" w:name="_Toc9991"/>
      <w:bookmarkStart w:id="68" w:name="_Toc31737"/>
      <w:bookmarkStart w:id="69" w:name="_Toc25783"/>
      <w:bookmarkStart w:id="70" w:name="_Toc25539"/>
      <w:bookmarkStart w:id="71" w:name="_Toc27877"/>
      <w:bookmarkStart w:id="72" w:name="_Toc22952"/>
      <w:bookmarkStart w:id="73" w:name="_Toc32048"/>
      <w:r>
        <w:rPr>
          <w:rFonts w:hint="eastAsia" w:eastAsia="方正黑体简体"/>
          <w:b w:val="0"/>
          <w:color w:val="000000"/>
        </w:rPr>
        <w:t>第三节　健全社会工作和志愿服务体系</w:t>
      </w:r>
      <w:bookmarkEnd w:id="67"/>
      <w:bookmarkEnd w:id="68"/>
      <w:bookmarkEnd w:id="69"/>
      <w:bookmarkEnd w:id="70"/>
      <w:bookmarkEnd w:id="71"/>
      <w:bookmarkEnd w:id="72"/>
      <w:bookmarkEnd w:id="73"/>
    </w:p>
    <w:p w14:paraId="731552A4">
      <w:pPr>
        <w:ind w:firstLine="31680"/>
      </w:pPr>
    </w:p>
    <w:p w14:paraId="3A9B2189">
      <w:pPr>
        <w:ind w:firstLine="31680"/>
        <w:rPr>
          <w:color w:val="000000"/>
          <w:szCs w:val="32"/>
        </w:rPr>
      </w:pPr>
      <w:r>
        <w:rPr>
          <w:rFonts w:hint="eastAsia"/>
          <w:b/>
          <w:color w:val="000000"/>
          <w:szCs w:val="32"/>
        </w:rPr>
        <w:t>构建以基层社会工作站为基础的社会工作服务体系。</w:t>
      </w:r>
      <w:r>
        <w:rPr>
          <w:rFonts w:hint="eastAsia"/>
          <w:color w:val="000000"/>
          <w:szCs w:val="32"/>
        </w:rPr>
        <w:t>健全党委领导、政府负责、群团助推、社会协同、公众参与的社会工作统筹机制，形成分工协作、齐抓共管、高效顺畅的工作格局。建立县（市、区）、乡镇（街道）、村（居）三级社会工作服务体系，按照</w:t>
      </w:r>
      <w:r>
        <w:rPr>
          <w:color w:val="000000"/>
          <w:szCs w:val="32"/>
        </w:rPr>
        <w:t>“</w:t>
      </w:r>
      <w:r>
        <w:rPr>
          <w:rFonts w:hint="eastAsia"/>
          <w:color w:val="000000"/>
          <w:szCs w:val="32"/>
        </w:rPr>
        <w:t>有场地、有设备、有人员、有服务功能、有工作流程、有规章制度</w:t>
      </w:r>
      <w:r>
        <w:rPr>
          <w:color w:val="000000"/>
          <w:szCs w:val="32"/>
        </w:rPr>
        <w:t>”</w:t>
      </w:r>
      <w:r>
        <w:rPr>
          <w:rFonts w:hint="eastAsia"/>
          <w:color w:val="000000"/>
          <w:szCs w:val="32"/>
        </w:rPr>
        <w:t>的标准，实现乡镇（街道）社会工作服务站全覆盖，村（社区）都有社会工作者提供服务，把基层社工站打造成为民服务的一线阵地，</w:t>
      </w:r>
      <w:r>
        <w:rPr>
          <w:rFonts w:hint="eastAsia"/>
          <w:bCs/>
          <w:color w:val="000000"/>
          <w:szCs w:val="32"/>
        </w:rPr>
        <w:t>以规模化社会工作服务站和专业化人才队伍提升基层服务水平</w:t>
      </w:r>
      <w:r>
        <w:rPr>
          <w:rFonts w:hint="eastAsia"/>
          <w:color w:val="000000"/>
          <w:kern w:val="0"/>
          <w:szCs w:val="32"/>
        </w:rPr>
        <w:t>，</w:t>
      </w:r>
      <w:r>
        <w:rPr>
          <w:rFonts w:hint="eastAsia"/>
          <w:color w:val="000000"/>
          <w:szCs w:val="32"/>
        </w:rPr>
        <w:t>推动社会工作融入社会治理格局。</w:t>
      </w:r>
    </w:p>
    <w:p w14:paraId="4F530E5C">
      <w:pPr>
        <w:ind w:firstLine="31680"/>
        <w:rPr>
          <w:color w:val="000000"/>
          <w:szCs w:val="32"/>
        </w:rPr>
      </w:pPr>
      <w:r>
        <w:rPr>
          <w:rFonts w:hint="eastAsia"/>
          <w:b/>
          <w:color w:val="000000"/>
          <w:szCs w:val="32"/>
        </w:rPr>
        <w:t>加强社会工作专业人才队伍建设。</w:t>
      </w:r>
      <w:r>
        <w:rPr>
          <w:rFonts w:hint="eastAsia"/>
          <w:color w:val="000000"/>
          <w:szCs w:val="32"/>
        </w:rPr>
        <w:t>健全社会工作人才薪酬待遇和激励保障机制，引导动员各领域社会工作从业人员参加全国社会工作者职业水平考试，获得相应职业资格。支持高等院校设置相关领域课程，增设相关领域硕士专业学位社会工作专门方向。</w:t>
      </w:r>
      <w:r>
        <w:rPr>
          <w:rFonts w:hint="eastAsia"/>
          <w:bCs/>
          <w:color w:val="000000"/>
          <w:szCs w:val="32"/>
        </w:rPr>
        <w:t>建立分级培养机制和分类培训体系，</w:t>
      </w:r>
      <w:r>
        <w:rPr>
          <w:rFonts w:hint="eastAsia"/>
          <w:color w:val="000000"/>
          <w:szCs w:val="32"/>
        </w:rPr>
        <w:t>健全继续教育和督导培养制度，培养一批社会工作专业领军人才，建设一批社会工作专业人才基地，全面提升</w:t>
      </w:r>
      <w:r>
        <w:rPr>
          <w:rFonts w:hint="eastAsia"/>
          <w:bCs/>
          <w:color w:val="000000"/>
          <w:szCs w:val="32"/>
        </w:rPr>
        <w:t>队伍专业化水平</w:t>
      </w:r>
      <w:r>
        <w:rPr>
          <w:rFonts w:hint="eastAsia"/>
          <w:color w:val="000000"/>
          <w:szCs w:val="32"/>
        </w:rPr>
        <w:t>。配合有关部门加大事业单位、基层经办机构、社区和社会服务机构社会工作岗位开发设置力度，加强社会工作专业人才配备使用。推动将社会工作专业知识纳入党校培训课程，提升社会工作普及率。</w:t>
      </w:r>
      <w:r>
        <w:rPr>
          <w:rFonts w:hint="eastAsia"/>
          <w:bCs/>
          <w:color w:val="000000"/>
        </w:rPr>
        <w:t>到</w:t>
      </w:r>
      <w:r>
        <w:rPr>
          <w:bCs/>
          <w:color w:val="000000"/>
        </w:rPr>
        <w:t>2025</w:t>
      </w:r>
      <w:r>
        <w:rPr>
          <w:rFonts w:hint="eastAsia"/>
          <w:bCs/>
          <w:color w:val="000000"/>
        </w:rPr>
        <w:t>年，全市力争实现每万人拥有持证社工</w:t>
      </w:r>
      <w:r>
        <w:rPr>
          <w:bCs/>
          <w:color w:val="000000"/>
        </w:rPr>
        <w:t>10</w:t>
      </w:r>
      <w:r>
        <w:rPr>
          <w:rFonts w:hint="eastAsia"/>
          <w:bCs/>
          <w:color w:val="000000"/>
        </w:rPr>
        <w:t>人，建立一支</w:t>
      </w:r>
      <w:r>
        <w:rPr>
          <w:rFonts w:hint="eastAsia"/>
          <w:color w:val="000000"/>
        </w:rPr>
        <w:t>门类</w:t>
      </w:r>
      <w:r>
        <w:rPr>
          <w:rFonts w:hint="eastAsia"/>
          <w:bCs/>
          <w:color w:val="000000"/>
        </w:rPr>
        <w:t>齐全、结构合理、专业精湛的社会工作人才队伍。</w:t>
      </w:r>
    </w:p>
    <w:p w14:paraId="1442F63C">
      <w:pPr>
        <w:adjustRightInd w:val="0"/>
        <w:snapToGrid w:val="0"/>
        <w:ind w:firstLine="31680"/>
        <w:rPr>
          <w:color w:val="000000"/>
          <w:szCs w:val="32"/>
        </w:rPr>
      </w:pPr>
      <w:r>
        <w:rPr>
          <w:rFonts w:hint="eastAsia"/>
          <w:b/>
          <w:bCs/>
          <w:color w:val="000000"/>
          <w:szCs w:val="32"/>
        </w:rPr>
        <w:t>提升社会工作服务机构能力。</w:t>
      </w:r>
      <w:r>
        <w:rPr>
          <w:rFonts w:hint="eastAsia"/>
          <w:color w:val="000000"/>
          <w:szCs w:val="32"/>
        </w:rPr>
        <w:t>优先发展以救助对象、老年人、残疾人、困境儿童、农村留守人员、流浪乞讨人员等特殊困难群体为重点服务对象和以婚姻家庭、精神卫生、教育辅导、就业援助、职工帮扶、犯罪预防、禁毒戒毒、矫治帮教等为重点服务领域的社会工作服务机构，分领域制定社会工作服务机构的标准和规范，打造一批社会工作服务品牌。推动社会工作服务机构党的组织和工作覆盖，支持社会工作行业组织发展，加强行业自律和管理，促进社会工作服务机构健康有序发展。</w:t>
      </w:r>
    </w:p>
    <w:p w14:paraId="56FF0EF4">
      <w:pPr>
        <w:adjustRightInd w:val="0"/>
        <w:snapToGrid w:val="0"/>
        <w:ind w:firstLine="31680"/>
        <w:rPr>
          <w:color w:val="000000"/>
          <w:szCs w:val="32"/>
        </w:rPr>
      </w:pPr>
      <w:r>
        <w:rPr>
          <w:rFonts w:hint="eastAsia"/>
          <w:b/>
          <w:color w:val="000000"/>
          <w:szCs w:val="32"/>
        </w:rPr>
        <w:t>健全政府购买社会工作服务长效机制。</w:t>
      </w:r>
      <w:r>
        <w:rPr>
          <w:rFonts w:hint="eastAsia"/>
          <w:color w:val="000000"/>
          <w:szCs w:val="32"/>
        </w:rPr>
        <w:t>发挥财政性资金引导作用，统筹彩票公益金和困难群众救助补助等资金支持开展社会工作和购买服务，积极引导慈善等社会资金投入社会工作领域。健全社会工作服务项目资金管理、评审评价、购买服务、绩效评估等系列制度，规范项目购买和服务管理，保障社会工作专业作用发挥。</w:t>
      </w:r>
    </w:p>
    <w:p w14:paraId="0085FA3C">
      <w:pPr>
        <w:adjustRightInd w:val="0"/>
        <w:snapToGrid w:val="0"/>
        <w:ind w:firstLine="31680"/>
        <w:rPr>
          <w:color w:val="000000"/>
          <w:szCs w:val="32"/>
        </w:rPr>
      </w:pPr>
      <w:r>
        <w:rPr>
          <w:rFonts w:hint="eastAsia"/>
          <w:b/>
          <w:color w:val="000000"/>
          <w:szCs w:val="32"/>
        </w:rPr>
        <w:t>推动志愿服务持续健康发展。</w:t>
      </w:r>
      <w:r>
        <w:rPr>
          <w:rFonts w:hint="eastAsia"/>
          <w:color w:val="000000"/>
          <w:szCs w:val="32"/>
        </w:rPr>
        <w:t>贯彻落实《福建省志愿服务条例》，加强志愿服务行政管理，推动出台规范志愿服务事业发展的政策措施。培育发展志愿服务组织，依法做好志愿服务组织登记管理工作，依法规范志愿服务组织活动。推广应用全国志愿服务信息系统，推动乡镇（街道）、城乡社区依托社区综合服务设施、社会工作服务站（室）建设志愿服务站，为群众参与和接受志愿服务提供便利条件。到</w:t>
      </w:r>
      <w:r>
        <w:rPr>
          <w:color w:val="000000"/>
          <w:szCs w:val="32"/>
        </w:rPr>
        <w:t>2025</w:t>
      </w:r>
      <w:r>
        <w:rPr>
          <w:rFonts w:hint="eastAsia"/>
          <w:color w:val="000000"/>
          <w:szCs w:val="32"/>
        </w:rPr>
        <w:t>年，全市注册志愿者占总人口比例超过</w:t>
      </w:r>
      <w:r>
        <w:rPr>
          <w:color w:val="000000"/>
          <w:szCs w:val="32"/>
        </w:rPr>
        <w:t>18%</w:t>
      </w:r>
      <w:r>
        <w:rPr>
          <w:rFonts w:hint="eastAsia"/>
          <w:color w:val="000000"/>
          <w:szCs w:val="32"/>
        </w:rPr>
        <w:t>。加强志愿服务记录和证明出具工作，持续推进志愿服务信息数据的归集和管理。配合有关部门进一步健全志愿服务激励嘉许、保险保障等制度，完善新时代文明实践志愿服务体系，鼓励开展志愿服务</w:t>
      </w:r>
      <w:r>
        <w:rPr>
          <w:color w:val="000000"/>
          <w:szCs w:val="32"/>
        </w:rPr>
        <w:t>“</w:t>
      </w:r>
      <w:r>
        <w:rPr>
          <w:rFonts w:hint="eastAsia"/>
          <w:color w:val="000000"/>
          <w:szCs w:val="32"/>
        </w:rPr>
        <w:t>时间银行</w:t>
      </w:r>
      <w:r>
        <w:rPr>
          <w:color w:val="000000"/>
          <w:szCs w:val="32"/>
        </w:rPr>
        <w:t>”</w:t>
      </w:r>
      <w:r>
        <w:rPr>
          <w:rFonts w:hint="eastAsia"/>
          <w:color w:val="000000"/>
          <w:szCs w:val="32"/>
        </w:rPr>
        <w:t>等实践，推动志愿服务制度化常态化发展。完善</w:t>
      </w:r>
      <w:r>
        <w:rPr>
          <w:color w:val="000000"/>
          <w:szCs w:val="32"/>
        </w:rPr>
        <w:t>“</w:t>
      </w:r>
      <w:r>
        <w:rPr>
          <w:rFonts w:hint="eastAsia"/>
          <w:color w:val="000000"/>
          <w:szCs w:val="32"/>
        </w:rPr>
        <w:t>社会工作者</w:t>
      </w:r>
      <w:r>
        <w:rPr>
          <w:color w:val="000000"/>
          <w:szCs w:val="32"/>
        </w:rPr>
        <w:t>+</w:t>
      </w:r>
      <w:r>
        <w:rPr>
          <w:rFonts w:hint="eastAsia"/>
          <w:color w:val="000000"/>
          <w:szCs w:val="32"/>
        </w:rPr>
        <w:t>志愿者</w:t>
      </w:r>
      <w:r>
        <w:rPr>
          <w:color w:val="000000"/>
          <w:szCs w:val="32"/>
        </w:rPr>
        <w:t>”</w:t>
      </w:r>
      <w:r>
        <w:rPr>
          <w:rFonts w:hint="eastAsia"/>
          <w:color w:val="000000"/>
          <w:szCs w:val="32"/>
        </w:rPr>
        <w:t>联动机制，逐步实现社会工作者与志愿者协同服务模式常态化，形成社会工作人才引领志愿者、志愿者协助社会工作人才开展服务的良性互动。推动养老机构、儿童福利机构、未成年人救助保护机构、婚姻登记机关、城乡社区等建立相对稳定的志愿服务队伍，在社会救助、移风易俗、养老助残、儿童福利和保护等领域组织开展专项志愿服务活动，推动民政领域志愿服务精准化、常态化、专业化。</w:t>
      </w:r>
    </w:p>
    <w:p w14:paraId="026E1B18">
      <w:pPr>
        <w:adjustRightInd w:val="0"/>
        <w:snapToGrid w:val="0"/>
        <w:spacing w:line="200" w:lineRule="exact"/>
        <w:ind w:firstLine="31680"/>
        <w:rPr>
          <w:color w:val="000000"/>
          <w:szCs w:val="32"/>
        </w:rPr>
      </w:pPr>
    </w:p>
    <w:tbl>
      <w:tblPr>
        <w:tblStyle w:val="13"/>
        <w:tblpPr w:leftFromText="180" w:rightFromText="180" w:vertAnchor="text" w:horzAnchor="page" w:tblpX="1708" w:tblpY="92"/>
        <w:tblOverlap w:val="never"/>
        <w:tblW w:w="9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028B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84" w:type="dxa"/>
          </w:tcPr>
          <w:p w14:paraId="7ED2F465">
            <w:pPr>
              <w:spacing w:line="440" w:lineRule="exact"/>
              <w:ind w:firstLine="31680"/>
              <w:jc w:val="center"/>
              <w:rPr>
                <w:rFonts w:eastAsia="方正仿宋简体"/>
                <w:b/>
                <w:color w:val="000000"/>
                <w:sz w:val="28"/>
                <w:szCs w:val="28"/>
              </w:rPr>
            </w:pPr>
            <w:bookmarkStart w:id="74" w:name="_Toc51218632"/>
            <w:bookmarkStart w:id="75" w:name="_Toc53904188"/>
            <w:bookmarkStart w:id="76" w:name="_Toc51153200"/>
            <w:bookmarkStart w:id="77" w:name="_Toc25700"/>
            <w:bookmarkStart w:id="78" w:name="_Toc27269"/>
            <w:bookmarkStart w:id="79" w:name="_Toc4361"/>
            <w:bookmarkStart w:id="80" w:name="_Toc26406"/>
            <w:bookmarkStart w:id="81" w:name="_Toc22963"/>
            <w:bookmarkStart w:id="82" w:name="_Toc12872"/>
            <w:bookmarkStart w:id="83" w:name="_Toc6463"/>
            <w:r>
              <w:rPr>
                <w:rFonts w:hint="eastAsia" w:eastAsia="方正仿宋简体"/>
                <w:b/>
                <w:color w:val="000000"/>
                <w:sz w:val="28"/>
                <w:szCs w:val="28"/>
              </w:rPr>
              <w:t>专栏</w:t>
            </w:r>
            <w:r>
              <w:rPr>
                <w:rFonts w:eastAsia="方正仿宋简体"/>
                <w:b/>
                <w:color w:val="000000"/>
                <w:sz w:val="28"/>
                <w:szCs w:val="28"/>
              </w:rPr>
              <w:t>7</w:t>
            </w:r>
            <w:r>
              <w:rPr>
                <w:rFonts w:hint="eastAsia" w:eastAsia="方正仿宋简体"/>
                <w:b/>
                <w:color w:val="000000"/>
                <w:sz w:val="28"/>
                <w:szCs w:val="28"/>
              </w:rPr>
              <w:t>：推动基层社会治理现代化重大工程</w:t>
            </w:r>
            <w:bookmarkEnd w:id="74"/>
            <w:bookmarkEnd w:id="75"/>
            <w:bookmarkEnd w:id="76"/>
          </w:p>
        </w:tc>
      </w:tr>
      <w:tr w14:paraId="075B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84" w:type="dxa"/>
          </w:tcPr>
          <w:p w14:paraId="348DB8C0">
            <w:pPr>
              <w:pStyle w:val="12"/>
              <w:widowControl w:val="0"/>
              <w:snapToGrid w:val="0"/>
              <w:spacing w:before="0" w:beforeAutospacing="0" w:after="0" w:afterAutospacing="0" w:line="440" w:lineRule="exact"/>
              <w:ind w:firstLine="482" w:firstLineChars="200"/>
              <w:rPr>
                <w:rFonts w:ascii="Times New Roman" w:eastAsia="方正仿宋简体" w:cs="Times New Roman"/>
                <w:spacing w:val="-12"/>
              </w:rPr>
            </w:pPr>
            <w:r>
              <w:rPr>
                <w:rFonts w:ascii="Times New Roman" w:eastAsia="方正仿宋简体" w:cs="Times New Roman"/>
                <w:b/>
              </w:rPr>
              <w:t>1.</w:t>
            </w:r>
            <w:r>
              <w:rPr>
                <w:rFonts w:hint="eastAsia" w:ascii="Times New Roman" w:eastAsia="方正仿宋简体" w:cs="Times New Roman"/>
                <w:b/>
              </w:rPr>
              <w:t>城乡社区综合服务设施：</w:t>
            </w:r>
            <w:r>
              <w:rPr>
                <w:rFonts w:hint="eastAsia" w:ascii="Times New Roman" w:eastAsia="方正仿宋简体" w:cs="Times New Roman"/>
                <w:bCs/>
              </w:rPr>
              <w:t>按照每百户居民拥有综合服务设施面积不低于</w:t>
            </w:r>
            <w:r>
              <w:rPr>
                <w:rFonts w:ascii="Times New Roman" w:eastAsia="方正仿宋简体" w:cs="Times New Roman"/>
                <w:bCs/>
              </w:rPr>
              <w:t>30</w:t>
            </w:r>
            <w:r>
              <w:rPr>
                <w:rFonts w:hint="eastAsia" w:ascii="Times New Roman" w:eastAsia="方正仿宋简体" w:cs="Times New Roman"/>
                <w:bCs/>
              </w:rPr>
              <w:t>平方米的标准，到</w:t>
            </w:r>
            <w:r>
              <w:rPr>
                <w:rFonts w:ascii="Times New Roman" w:eastAsia="方正仿宋简体" w:cs="Times New Roman"/>
                <w:bCs/>
              </w:rPr>
              <w:t>2025</w:t>
            </w:r>
            <w:r>
              <w:rPr>
                <w:rFonts w:hint="eastAsia" w:ascii="Times New Roman" w:eastAsia="方正仿宋简体" w:cs="Times New Roman"/>
                <w:bCs/>
              </w:rPr>
              <w:t>年底，</w:t>
            </w:r>
            <w:r>
              <w:rPr>
                <w:rFonts w:hint="eastAsia" w:ascii="Times New Roman" w:eastAsia="方正仿宋简体" w:cs="Times New Roman"/>
                <w:spacing w:val="-12"/>
              </w:rPr>
              <w:t>城乡社区综合服务设施建设水平得到进一步提升。</w:t>
            </w:r>
          </w:p>
          <w:p w14:paraId="702129B4">
            <w:pPr>
              <w:pStyle w:val="12"/>
              <w:widowControl w:val="0"/>
              <w:snapToGrid w:val="0"/>
              <w:spacing w:before="0" w:beforeAutospacing="0" w:after="0" w:afterAutospacing="0" w:line="440" w:lineRule="exact"/>
              <w:ind w:firstLine="482" w:firstLineChars="200"/>
              <w:rPr>
                <w:rFonts w:ascii="Times New Roman" w:eastAsia="方正仿宋简体" w:cs="Times New Roman"/>
                <w:b/>
                <w:spacing w:val="-12"/>
              </w:rPr>
            </w:pPr>
            <w:r>
              <w:rPr>
                <w:rFonts w:ascii="Times New Roman" w:eastAsia="方正仿宋简体" w:cs="Times New Roman"/>
                <w:b/>
              </w:rPr>
              <w:t>2.</w:t>
            </w:r>
            <w:r>
              <w:rPr>
                <w:rFonts w:hint="eastAsia" w:ascii="Times New Roman" w:eastAsia="方正仿宋简体" w:cs="Times New Roman"/>
                <w:b/>
              </w:rPr>
              <w:t>基层社会工作服务站点：</w:t>
            </w:r>
            <w:r>
              <w:rPr>
                <w:rFonts w:hint="eastAsia" w:ascii="Times New Roman" w:eastAsia="方正仿宋简体" w:cs="Times New Roman"/>
              </w:rPr>
              <w:t>按照</w:t>
            </w:r>
            <w:r>
              <w:rPr>
                <w:rFonts w:ascii="Times New Roman" w:eastAsia="方正仿宋简体" w:cs="Times New Roman"/>
              </w:rPr>
              <w:t>“</w:t>
            </w:r>
            <w:r>
              <w:rPr>
                <w:rFonts w:hint="eastAsia" w:ascii="Times New Roman" w:eastAsia="方正仿宋简体" w:cs="Times New Roman"/>
              </w:rPr>
              <w:t>一年覆盖、两年规范、三年提升</w:t>
            </w:r>
            <w:r>
              <w:rPr>
                <w:rFonts w:ascii="Times New Roman" w:eastAsia="方正仿宋简体" w:cs="Times New Roman"/>
              </w:rPr>
              <w:t>”</w:t>
            </w:r>
            <w:r>
              <w:rPr>
                <w:rFonts w:hint="eastAsia" w:ascii="Times New Roman" w:eastAsia="方正仿宋简体" w:cs="Times New Roman"/>
              </w:rPr>
              <w:t>的工作目标，全面推进乡镇（街道）社会工作服务站建设。</w:t>
            </w:r>
            <w:r>
              <w:rPr>
                <w:rFonts w:ascii="Times New Roman" w:eastAsia="方正仿宋简体" w:cs="Times New Roman"/>
              </w:rPr>
              <w:t>2021</w:t>
            </w:r>
            <w:r>
              <w:rPr>
                <w:rFonts w:hint="eastAsia" w:ascii="Times New Roman" w:eastAsia="方正仿宋简体" w:cs="Times New Roman"/>
              </w:rPr>
              <w:t>年，按照</w:t>
            </w:r>
            <w:r>
              <w:rPr>
                <w:rFonts w:ascii="Times New Roman" w:eastAsia="方正仿宋简体" w:cs="Times New Roman"/>
              </w:rPr>
              <w:t>“</w:t>
            </w:r>
            <w:r>
              <w:rPr>
                <w:rFonts w:hint="eastAsia" w:ascii="Times New Roman" w:eastAsia="方正仿宋简体" w:cs="Times New Roman"/>
              </w:rPr>
              <w:t>有场地、有人员、有项</w:t>
            </w:r>
            <w:r>
              <w:rPr>
                <w:rFonts w:hint="eastAsia" w:ascii="Times New Roman" w:eastAsia="方正仿宋简体" w:cs="Times New Roman"/>
                <w:spacing w:val="-12"/>
              </w:rPr>
              <w:t>目</w:t>
            </w:r>
            <w:r>
              <w:rPr>
                <w:rFonts w:ascii="Times New Roman" w:eastAsia="方正仿宋简体" w:cs="Times New Roman"/>
                <w:spacing w:val="-12"/>
              </w:rPr>
              <w:t>”</w:t>
            </w:r>
            <w:r>
              <w:rPr>
                <w:rFonts w:hint="eastAsia" w:ascii="Times New Roman" w:eastAsia="方正仿宋简体" w:cs="Times New Roman"/>
                <w:spacing w:val="-12"/>
              </w:rPr>
              <w:t>的标准，实现全市</w:t>
            </w:r>
            <w:r>
              <w:rPr>
                <w:rFonts w:ascii="Times New Roman" w:eastAsia="方正仿宋简体" w:cs="Times New Roman"/>
                <w:spacing w:val="-12"/>
              </w:rPr>
              <w:t>163</w:t>
            </w:r>
            <w:r>
              <w:rPr>
                <w:rFonts w:hint="eastAsia" w:ascii="Times New Roman" w:eastAsia="方正仿宋简体" w:cs="Times New Roman"/>
                <w:spacing w:val="-12"/>
              </w:rPr>
              <w:t>个乡镇（街道）社会工作服务站全覆盖；</w:t>
            </w:r>
            <w:r>
              <w:rPr>
                <w:rFonts w:ascii="Times New Roman" w:eastAsia="方正仿宋简体" w:cs="Times New Roman"/>
                <w:spacing w:val="-12"/>
              </w:rPr>
              <w:t>2022</w:t>
            </w:r>
            <w:r>
              <w:rPr>
                <w:rFonts w:hint="eastAsia" w:ascii="Times New Roman" w:eastAsia="方正仿宋简体" w:cs="Times New Roman"/>
                <w:spacing w:val="-12"/>
              </w:rPr>
              <w:t>年，按照</w:t>
            </w:r>
            <w:r>
              <w:rPr>
                <w:rFonts w:ascii="Times New Roman" w:eastAsia="方正仿宋简体" w:cs="Times New Roman"/>
                <w:spacing w:val="-12"/>
              </w:rPr>
              <w:t>“</w:t>
            </w:r>
            <w:r>
              <w:rPr>
                <w:rFonts w:hint="eastAsia" w:ascii="Times New Roman" w:eastAsia="方正仿宋简体" w:cs="Times New Roman"/>
                <w:spacing w:val="-12"/>
              </w:rPr>
              <w:t>有服务标准、有工作流程、有规章制度、有专业功能</w:t>
            </w:r>
            <w:r>
              <w:rPr>
                <w:rFonts w:ascii="Times New Roman" w:eastAsia="方正仿宋简体" w:cs="Times New Roman"/>
                <w:spacing w:val="-12"/>
              </w:rPr>
              <w:t>”</w:t>
            </w:r>
            <w:r>
              <w:rPr>
                <w:rFonts w:hint="eastAsia" w:ascii="Times New Roman" w:eastAsia="方正仿宋简体" w:cs="Times New Roman"/>
                <w:spacing w:val="-12"/>
              </w:rPr>
              <w:t>的标准，实现站点规范化建设；</w:t>
            </w:r>
            <w:r>
              <w:rPr>
                <w:rFonts w:ascii="Times New Roman" w:eastAsia="方正仿宋简体" w:cs="Times New Roman"/>
                <w:spacing w:val="-12"/>
              </w:rPr>
              <w:t>2023</w:t>
            </w:r>
            <w:r>
              <w:rPr>
                <w:rFonts w:hint="eastAsia" w:ascii="Times New Roman" w:eastAsia="方正仿宋简体" w:cs="Times New Roman"/>
                <w:spacing w:val="-12"/>
              </w:rPr>
              <w:t>年底前，实现以规模化、专业化的社会工作服务夯实基层为民平台，提升民生服务效能。</w:t>
            </w:r>
          </w:p>
          <w:p w14:paraId="0F069A73">
            <w:pPr>
              <w:pStyle w:val="12"/>
              <w:widowControl w:val="0"/>
              <w:snapToGrid w:val="0"/>
              <w:spacing w:before="0" w:beforeAutospacing="0" w:after="0" w:afterAutospacing="0" w:line="440" w:lineRule="exact"/>
              <w:ind w:firstLine="482" w:firstLineChars="200"/>
              <w:rPr>
                <w:rFonts w:ascii="Times New Roman" w:eastAsia="方正仿宋简体" w:cs="Times New Roman"/>
                <w:bCs/>
                <w:sz w:val="28"/>
                <w:szCs w:val="28"/>
              </w:rPr>
            </w:pPr>
            <w:r>
              <w:rPr>
                <w:rFonts w:ascii="Times New Roman" w:eastAsia="方正仿宋简体" w:cs="Times New Roman"/>
                <w:b/>
              </w:rPr>
              <w:t>3.</w:t>
            </w:r>
            <w:r>
              <w:rPr>
                <w:rFonts w:hint="eastAsia" w:ascii="Times New Roman" w:eastAsia="方正仿宋简体" w:cs="Times New Roman"/>
                <w:b/>
              </w:rPr>
              <w:t>社会工作人才队伍：</w:t>
            </w:r>
            <w:r>
              <w:rPr>
                <w:rFonts w:hint="eastAsia" w:ascii="Times New Roman" w:eastAsia="方正仿宋简体" w:cs="Times New Roman"/>
                <w:bCs/>
              </w:rPr>
              <w:t>到</w:t>
            </w:r>
            <w:r>
              <w:rPr>
                <w:rFonts w:ascii="Times New Roman" w:eastAsia="方正仿宋简体" w:cs="Times New Roman"/>
                <w:bCs/>
              </w:rPr>
              <w:t>2025</w:t>
            </w:r>
            <w:r>
              <w:rPr>
                <w:rFonts w:hint="eastAsia" w:ascii="Times New Roman" w:eastAsia="方正仿宋简体" w:cs="Times New Roman"/>
                <w:bCs/>
              </w:rPr>
              <w:t>年，全市力争实现每万人拥有持证社工</w:t>
            </w:r>
            <w:r>
              <w:rPr>
                <w:rFonts w:ascii="Times New Roman" w:eastAsia="方正仿宋简体" w:cs="Times New Roman"/>
                <w:bCs/>
              </w:rPr>
              <w:t>10</w:t>
            </w:r>
            <w:r>
              <w:rPr>
                <w:rFonts w:hint="eastAsia" w:ascii="Times New Roman" w:eastAsia="方正仿宋简体" w:cs="Times New Roman"/>
                <w:bCs/>
              </w:rPr>
              <w:t>人，建立一支</w:t>
            </w:r>
            <w:r>
              <w:rPr>
                <w:rFonts w:hint="eastAsia" w:ascii="Times New Roman" w:eastAsia="方正仿宋简体" w:cs="Times New Roman"/>
              </w:rPr>
              <w:t>门类</w:t>
            </w:r>
            <w:r>
              <w:rPr>
                <w:rFonts w:hint="eastAsia" w:ascii="Times New Roman" w:eastAsia="方正仿宋简体" w:cs="Times New Roman"/>
                <w:bCs/>
              </w:rPr>
              <w:t>齐全、结构合理、专业精湛的社会工作人才队伍。</w:t>
            </w:r>
          </w:p>
        </w:tc>
      </w:tr>
    </w:tbl>
    <w:p w14:paraId="623FDC01">
      <w:pPr>
        <w:pStyle w:val="25"/>
        <w:widowControl w:val="0"/>
        <w:jc w:val="both"/>
        <w:outlineLvl w:val="1"/>
        <w:rPr>
          <w:rFonts w:eastAsia="宋体"/>
          <w:color w:val="000000"/>
        </w:rPr>
      </w:pPr>
    </w:p>
    <w:p w14:paraId="4C53F1B6">
      <w:pPr>
        <w:pStyle w:val="25"/>
        <w:widowControl w:val="0"/>
        <w:outlineLvl w:val="1"/>
        <w:rPr>
          <w:rFonts w:eastAsia="方正黑体简体"/>
          <w:b w:val="0"/>
          <w:color w:val="000000"/>
        </w:rPr>
      </w:pPr>
      <w:r>
        <w:rPr>
          <w:rFonts w:hint="eastAsia" w:eastAsia="方正黑体简体"/>
          <w:b w:val="0"/>
          <w:color w:val="000000"/>
        </w:rPr>
        <w:t>第四节　推动慈善事业健康发展</w:t>
      </w:r>
      <w:bookmarkEnd w:id="77"/>
      <w:bookmarkEnd w:id="78"/>
      <w:bookmarkEnd w:id="79"/>
      <w:bookmarkEnd w:id="80"/>
      <w:bookmarkEnd w:id="81"/>
      <w:bookmarkEnd w:id="82"/>
      <w:bookmarkEnd w:id="83"/>
    </w:p>
    <w:p w14:paraId="6D4B56A5">
      <w:pPr>
        <w:ind w:firstLine="31680"/>
        <w:rPr>
          <w:color w:val="000000"/>
        </w:rPr>
      </w:pPr>
    </w:p>
    <w:p w14:paraId="4AD5E9C2">
      <w:pPr>
        <w:ind w:firstLine="31680"/>
        <w:rPr>
          <w:color w:val="000000"/>
          <w:kern w:val="0"/>
          <w:szCs w:val="32"/>
        </w:rPr>
      </w:pPr>
      <w:r>
        <w:rPr>
          <w:rFonts w:hint="eastAsia"/>
          <w:b/>
          <w:color w:val="000000"/>
          <w:kern w:val="0"/>
          <w:szCs w:val="32"/>
        </w:rPr>
        <w:t>贯彻落实慈善事业政策法规。</w:t>
      </w:r>
      <w:r>
        <w:rPr>
          <w:rFonts w:hint="eastAsia" w:hAnsi="仿宋_GB2312"/>
          <w:bCs/>
          <w:color w:val="000000"/>
          <w:szCs w:val="32"/>
        </w:rPr>
        <w:t>贯彻落实</w:t>
      </w:r>
      <w:r>
        <w:rPr>
          <w:rFonts w:hint="eastAsia"/>
          <w:color w:val="000000"/>
          <w:kern w:val="0"/>
          <w:szCs w:val="32"/>
        </w:rPr>
        <w:t>《福建省慈善事业促进办法》，</w:t>
      </w:r>
      <w:r>
        <w:rPr>
          <w:rFonts w:hint="eastAsia" w:hAnsi="仿宋_GB2312"/>
          <w:bCs/>
          <w:color w:val="000000"/>
          <w:szCs w:val="32"/>
        </w:rPr>
        <w:t>重视发挥慈善事业在第三次分配中的积极作用，加强社会救助、社会福利制度同慈善事业制度有机衔接。协调落实和强化慈善事业在税收、政府购买服务等方面的激励扶持政策，鼓励发展慈善组织和慈善信托。探索建立慈善力量参与应对突发事件的体制机制。</w:t>
      </w:r>
      <w:r>
        <w:rPr>
          <w:rFonts w:hint="eastAsia"/>
          <w:color w:val="000000"/>
          <w:kern w:val="0"/>
          <w:szCs w:val="32"/>
        </w:rPr>
        <w:t>畅通慈善领域投诉举报渠道，加强日常监管检查力度，及时查处违法违规行为。</w:t>
      </w:r>
    </w:p>
    <w:p w14:paraId="356E262A">
      <w:pPr>
        <w:adjustRightInd w:val="0"/>
        <w:snapToGrid w:val="0"/>
        <w:spacing w:line="580" w:lineRule="exact"/>
        <w:ind w:firstLine="31680"/>
        <w:rPr>
          <w:bCs/>
          <w:color w:val="000000"/>
          <w:spacing w:val="-11"/>
          <w:szCs w:val="32"/>
        </w:rPr>
      </w:pPr>
      <w:r>
        <w:rPr>
          <w:rFonts w:hint="eastAsia"/>
          <w:b/>
          <w:color w:val="000000"/>
          <w:kern w:val="0"/>
          <w:szCs w:val="32"/>
        </w:rPr>
        <w:t>推动慈善事业创新发展。</w:t>
      </w:r>
      <w:r>
        <w:rPr>
          <w:rFonts w:hint="eastAsia" w:hAnsi="仿宋_GB2312"/>
          <w:bCs/>
          <w:color w:val="000000"/>
          <w:spacing w:val="-11"/>
          <w:szCs w:val="32"/>
        </w:rPr>
        <w:t>鼓励互联网</w:t>
      </w:r>
      <w:r>
        <w:rPr>
          <w:bCs/>
          <w:color w:val="000000"/>
          <w:spacing w:val="-11"/>
          <w:szCs w:val="32"/>
        </w:rPr>
        <w:t>+</w:t>
      </w:r>
      <w:r>
        <w:rPr>
          <w:rFonts w:hint="eastAsia" w:hAnsi="仿宋_GB2312"/>
          <w:bCs/>
          <w:color w:val="000000"/>
          <w:spacing w:val="-11"/>
          <w:szCs w:val="32"/>
        </w:rPr>
        <w:t>慈善模式创新、技术创新、管理创新，加大对互联网慈善的引导支持力度。探索搭建慈善供需对接平台，引导慈善资源与慈善需求有效对接。</w:t>
      </w:r>
      <w:r>
        <w:rPr>
          <w:rFonts w:hint="eastAsia"/>
          <w:color w:val="000000"/>
        </w:rPr>
        <w:t>依托</w:t>
      </w:r>
      <w:r>
        <w:rPr>
          <w:color w:val="000000"/>
        </w:rPr>
        <w:t>“</w:t>
      </w:r>
      <w:r>
        <w:rPr>
          <w:rFonts w:hint="eastAsia"/>
          <w:color w:val="000000"/>
        </w:rPr>
        <w:t>福建慈善手拉手</w:t>
      </w:r>
      <w:r>
        <w:rPr>
          <w:color w:val="000000"/>
        </w:rPr>
        <w:t>”</w:t>
      </w:r>
      <w:r>
        <w:rPr>
          <w:rFonts w:hint="eastAsia"/>
          <w:color w:val="000000"/>
        </w:rPr>
        <w:t>慈善资源信息对接平台，积极动员引导慈善组织积极参与低收入人口救助帮扶。为慈善组织、爱心企业、爱心人士、低收入人口等提供高效的慈善资源供需对接服务，实现慈善救助个性化、精准化、常态化。</w:t>
      </w:r>
      <w:r>
        <w:rPr>
          <w:rFonts w:hint="eastAsia" w:hAnsi="仿宋_GB2312"/>
          <w:bCs/>
          <w:color w:val="000000"/>
          <w:spacing w:val="-11"/>
          <w:szCs w:val="32"/>
        </w:rPr>
        <w:t>加大慈善宣传力度，促进慈善交流、展示，弘扬慈善文化，传播慈善精神。</w:t>
      </w:r>
      <w:r>
        <w:rPr>
          <w:rFonts w:hint="eastAsia"/>
          <w:color w:val="000000"/>
          <w:spacing w:val="-11"/>
          <w:kern w:val="0"/>
          <w:szCs w:val="32"/>
        </w:rPr>
        <w:t>加强慈善知识和业务技能培训，提升慈善工作业务水平。</w:t>
      </w:r>
      <w:r>
        <w:rPr>
          <w:rFonts w:hint="eastAsia" w:hAnsi="仿宋_GB2312"/>
          <w:bCs/>
          <w:color w:val="000000"/>
          <w:spacing w:val="-11"/>
          <w:szCs w:val="32"/>
        </w:rPr>
        <w:t>进一步优化慈善组织年度报告、等级管理，推动慈善组织信息公开，加强慈善活动监督，规范慈善主体行为，促进慈善事业健康发展。</w:t>
      </w:r>
    </w:p>
    <w:p w14:paraId="1B1E4B15">
      <w:pPr>
        <w:adjustRightInd w:val="0"/>
        <w:snapToGrid w:val="0"/>
        <w:spacing w:line="580" w:lineRule="exact"/>
        <w:ind w:firstLine="31680"/>
        <w:rPr>
          <w:bCs/>
          <w:color w:val="000000"/>
          <w:spacing w:val="-11"/>
          <w:szCs w:val="32"/>
        </w:rPr>
      </w:pPr>
    </w:p>
    <w:p w14:paraId="1BA33562">
      <w:pPr>
        <w:pStyle w:val="25"/>
        <w:widowControl w:val="0"/>
        <w:spacing w:line="580" w:lineRule="exact"/>
        <w:outlineLvl w:val="1"/>
        <w:rPr>
          <w:rFonts w:eastAsia="方正黑体简体"/>
          <w:b w:val="0"/>
          <w:color w:val="000000"/>
        </w:rPr>
      </w:pPr>
      <w:bookmarkStart w:id="84" w:name="_Toc13829"/>
      <w:bookmarkStart w:id="85" w:name="_Toc9505"/>
      <w:bookmarkStart w:id="86" w:name="_Toc24373"/>
      <w:bookmarkStart w:id="87" w:name="_Toc9751"/>
      <w:bookmarkStart w:id="88" w:name="_Toc8125"/>
      <w:bookmarkStart w:id="89" w:name="_Toc12626"/>
      <w:bookmarkStart w:id="90" w:name="_Toc17026"/>
      <w:r>
        <w:rPr>
          <w:rFonts w:hint="eastAsia" w:eastAsia="方正黑体简体"/>
          <w:b w:val="0"/>
          <w:color w:val="000000"/>
        </w:rPr>
        <w:t>第五节　优化区划地名管理与服务</w:t>
      </w:r>
      <w:bookmarkEnd w:id="84"/>
      <w:bookmarkEnd w:id="85"/>
      <w:bookmarkEnd w:id="86"/>
      <w:bookmarkEnd w:id="87"/>
      <w:bookmarkEnd w:id="88"/>
      <w:bookmarkEnd w:id="89"/>
      <w:bookmarkEnd w:id="90"/>
    </w:p>
    <w:p w14:paraId="4E0B6D1C">
      <w:pPr>
        <w:spacing w:line="580" w:lineRule="exact"/>
        <w:ind w:firstLine="31680"/>
        <w:rPr>
          <w:color w:val="000000"/>
        </w:rPr>
      </w:pPr>
    </w:p>
    <w:p w14:paraId="211FDBA5">
      <w:pPr>
        <w:spacing w:line="580" w:lineRule="exact"/>
        <w:ind w:firstLine="31680"/>
        <w:rPr>
          <w:color w:val="000000"/>
          <w:kern w:val="0"/>
          <w:szCs w:val="32"/>
        </w:rPr>
      </w:pPr>
      <w:r>
        <w:rPr>
          <w:rFonts w:hint="eastAsia"/>
          <w:b/>
          <w:bCs/>
          <w:color w:val="000000"/>
          <w:kern w:val="0"/>
          <w:szCs w:val="32"/>
        </w:rPr>
        <w:t>优化行政区划设置。</w:t>
      </w:r>
      <w:r>
        <w:rPr>
          <w:rFonts w:hint="eastAsia"/>
          <w:color w:val="000000"/>
          <w:kern w:val="0"/>
          <w:szCs w:val="32"/>
        </w:rPr>
        <w:t>贯彻实施《行政区划管理条例》《行政区划管理条例实施办法》，紧紧围绕市委、市政府中心工作，着眼于服务经济社会发展，按照调结构、优空间、促转型、提效能的要求，审慎稳妥优化行政区划设置。严格行政区划调整审核审批程序，进一步健全完善行政区划调整专家论证、风险评估、征求意见、实地调查等工作制度，提升行政区划设置的科学性、规范性、有效性。推动对本级政府审批的行政区划调整的效果评估。</w:t>
      </w:r>
    </w:p>
    <w:p w14:paraId="33354EE1">
      <w:pPr>
        <w:spacing w:line="580" w:lineRule="exact"/>
        <w:ind w:firstLine="31680"/>
        <w:rPr>
          <w:color w:val="000000"/>
          <w:kern w:val="0"/>
          <w:szCs w:val="32"/>
        </w:rPr>
      </w:pPr>
      <w:r>
        <w:rPr>
          <w:rFonts w:hint="eastAsia" w:hAnsi="仿宋_GB2312"/>
          <w:b/>
          <w:bCs/>
          <w:color w:val="000000"/>
          <w:kern w:val="0"/>
          <w:szCs w:val="32"/>
        </w:rPr>
        <w:t>着力推进地名管理和公共管理服务。</w:t>
      </w:r>
      <w:r>
        <w:rPr>
          <w:rFonts w:hint="eastAsia"/>
          <w:color w:val="000000"/>
          <w:kern w:val="0"/>
          <w:szCs w:val="32"/>
        </w:rPr>
        <w:t>贯彻落实《地名管理条例》，</w:t>
      </w:r>
      <w:r>
        <w:rPr>
          <w:rFonts w:hint="eastAsia" w:hAnsi="仿宋_GB2312"/>
          <w:color w:val="000000"/>
          <w:kern w:val="0"/>
          <w:szCs w:val="32"/>
        </w:rPr>
        <w:t>切实加强地名命名更名管理，增强地名管理的科学性，促进地名管理规范有序。积极推广标准地名，加强对地名使用的监督管理，引导社会各界规范使用地名。大力推进地名公共服务，拓展服务形式和内容，提升地名管理服务效能。加强地名文化遗产保护，传承和弘扬优秀传统地名文化。</w:t>
      </w:r>
      <w:r>
        <w:rPr>
          <w:rFonts w:hint="eastAsia"/>
          <w:color w:val="000000"/>
          <w:kern w:val="0"/>
          <w:szCs w:val="32"/>
        </w:rPr>
        <w:t>完善区划地名信息库，利用</w:t>
      </w:r>
      <w:r>
        <w:rPr>
          <w:color w:val="000000"/>
          <w:kern w:val="0"/>
          <w:szCs w:val="32"/>
        </w:rPr>
        <w:t>“</w:t>
      </w:r>
      <w:r>
        <w:rPr>
          <w:rFonts w:hint="eastAsia"/>
          <w:color w:val="000000"/>
          <w:kern w:val="0"/>
          <w:szCs w:val="32"/>
        </w:rPr>
        <w:t>互联网</w:t>
      </w:r>
      <w:r>
        <w:rPr>
          <w:color w:val="000000"/>
          <w:kern w:val="0"/>
          <w:szCs w:val="32"/>
        </w:rPr>
        <w:t>+”</w:t>
      </w:r>
      <w:r>
        <w:rPr>
          <w:rFonts w:hint="eastAsia"/>
          <w:color w:val="000000"/>
          <w:kern w:val="0"/>
          <w:szCs w:val="32"/>
        </w:rPr>
        <w:t>技术进一步完善地名数据。加强区划地名信息的大数据应用，</w:t>
      </w:r>
      <w:r>
        <w:rPr>
          <w:rFonts w:hint="eastAsia" w:hAnsi="仿宋_GB2312"/>
          <w:color w:val="000000"/>
          <w:kern w:val="0"/>
          <w:szCs w:val="32"/>
        </w:rPr>
        <w:t>为社会提供高效、优质、便捷的信息服务。</w:t>
      </w:r>
    </w:p>
    <w:p w14:paraId="5A975C40">
      <w:pPr>
        <w:spacing w:line="580" w:lineRule="exact"/>
        <w:ind w:firstLine="31680"/>
        <w:rPr>
          <w:color w:val="000000"/>
          <w:szCs w:val="32"/>
        </w:rPr>
      </w:pPr>
      <w:r>
        <w:rPr>
          <w:rFonts w:hint="eastAsia"/>
          <w:b/>
          <w:color w:val="000000"/>
          <w:szCs w:val="32"/>
        </w:rPr>
        <w:t>加强行政区域界线管理。</w:t>
      </w:r>
      <w:r>
        <w:rPr>
          <w:rFonts w:hint="eastAsia"/>
          <w:color w:val="000000"/>
          <w:szCs w:val="32"/>
        </w:rPr>
        <w:t>坚持有利于巩固勘界成果、保持行政区域界线走向明确、维护边界地区社会稳定的原则，依法推进第四轮市间、市内（县）界和第三轮乡界联检，启动实施第五轮市间、市内（县）</w:t>
      </w:r>
      <w:r>
        <w:rPr>
          <w:rFonts w:hint="eastAsia"/>
          <w:color w:val="000000"/>
          <w:kern w:val="0"/>
          <w:szCs w:val="32"/>
        </w:rPr>
        <w:t>界和第四轮乡界联检，及时妥善解决联检发现的相关问题</w:t>
      </w:r>
      <w:r>
        <w:rPr>
          <w:rFonts w:hint="eastAsia"/>
          <w:color w:val="000000"/>
          <w:szCs w:val="32"/>
        </w:rPr>
        <w:t>。加强界线界桩管护员队伍建设，做好行政区划变更后的勘界工作。采取全域排查与重点地段排查相结合的方式，重点加强</w:t>
      </w:r>
      <w:r>
        <w:rPr>
          <w:rFonts w:hint="eastAsia"/>
          <w:color w:val="000000"/>
          <w:kern w:val="0"/>
          <w:szCs w:val="32"/>
        </w:rPr>
        <w:t>县界</w:t>
      </w:r>
      <w:r>
        <w:rPr>
          <w:rFonts w:hint="eastAsia"/>
          <w:color w:val="000000"/>
          <w:szCs w:val="32"/>
        </w:rPr>
        <w:t>争议隐患排查，妥善管控分歧，</w:t>
      </w:r>
      <w:r>
        <w:rPr>
          <w:rFonts w:hint="eastAsia"/>
          <w:color w:val="000000"/>
          <w:kern w:val="0"/>
          <w:szCs w:val="32"/>
        </w:rPr>
        <w:t>及时处置因行政区域界线认定不一致等引发的边界争议问题。建立健全信息</w:t>
      </w:r>
      <w:r>
        <w:rPr>
          <w:rFonts w:hint="eastAsia"/>
          <w:color w:val="000000"/>
          <w:szCs w:val="32"/>
        </w:rPr>
        <w:t>共享、定期会晤、联合预防、联合调处、应急处理等长效工作机制，切实维护边界地区和谐稳定。充分发挥联席会议制度作用，</w:t>
      </w:r>
      <w:r>
        <w:rPr>
          <w:rFonts w:hint="eastAsia"/>
          <w:color w:val="000000"/>
          <w:kern w:val="0"/>
          <w:szCs w:val="32"/>
        </w:rPr>
        <w:t>宣传界线联检和平安边界建设工作典型</w:t>
      </w:r>
      <w:r>
        <w:rPr>
          <w:rFonts w:hint="eastAsia"/>
          <w:color w:val="000000"/>
          <w:szCs w:val="32"/>
        </w:rPr>
        <w:t>，开展形式多样的平安边界建设活动，增强边界地区干部群众遵守法定行政区域界线意识，推动平安边界建设和边界文化建设有机结合，深化平安边界建设文化内涵，为边界地区经济社会发展营造良好氛围。</w:t>
      </w:r>
    </w:p>
    <w:tbl>
      <w:tblPr>
        <w:tblStyle w:val="13"/>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4A87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4" w:type="dxa"/>
          </w:tcPr>
          <w:p w14:paraId="47F07533">
            <w:pPr>
              <w:spacing w:line="440" w:lineRule="exact"/>
              <w:ind w:firstLine="31680"/>
              <w:jc w:val="center"/>
              <w:rPr>
                <w:rFonts w:eastAsia="方正仿宋简体"/>
                <w:b/>
                <w:bCs/>
                <w:color w:val="000000"/>
                <w:sz w:val="28"/>
                <w:szCs w:val="28"/>
              </w:rPr>
            </w:pPr>
            <w:r>
              <w:rPr>
                <w:rFonts w:hint="eastAsia" w:eastAsia="方正仿宋简体"/>
                <w:b/>
                <w:color w:val="000000"/>
                <w:sz w:val="28"/>
                <w:szCs w:val="28"/>
              </w:rPr>
              <w:t>专栏</w:t>
            </w:r>
            <w:r>
              <w:rPr>
                <w:rFonts w:eastAsia="方正仿宋简体"/>
                <w:b/>
                <w:color w:val="000000"/>
                <w:sz w:val="28"/>
                <w:szCs w:val="28"/>
              </w:rPr>
              <w:t>8</w:t>
            </w:r>
            <w:r>
              <w:rPr>
                <w:rFonts w:hint="eastAsia" w:eastAsia="方正仿宋简体"/>
                <w:b/>
                <w:color w:val="000000"/>
                <w:sz w:val="28"/>
                <w:szCs w:val="28"/>
              </w:rPr>
              <w:t>：优化区划地名管理与服务工程</w:t>
            </w:r>
          </w:p>
        </w:tc>
      </w:tr>
      <w:tr w14:paraId="3F24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4" w:type="dxa"/>
          </w:tcPr>
          <w:p w14:paraId="506F7C52">
            <w:pPr>
              <w:spacing w:line="440" w:lineRule="exact"/>
              <w:ind w:firstLine="472" w:firstLineChars="196"/>
              <w:rPr>
                <w:rFonts w:eastAsia="方正仿宋简体"/>
                <w:color w:val="000000"/>
                <w:sz w:val="24"/>
              </w:rPr>
            </w:pPr>
            <w:r>
              <w:rPr>
                <w:rFonts w:eastAsia="方正仿宋简体"/>
                <w:b/>
                <w:bCs/>
                <w:color w:val="000000"/>
                <w:sz w:val="24"/>
                <w:szCs w:val="24"/>
              </w:rPr>
              <w:t>1.</w:t>
            </w:r>
            <w:r>
              <w:rPr>
                <w:rFonts w:hint="eastAsia" w:eastAsia="方正仿宋简体"/>
                <w:b/>
                <w:bCs/>
                <w:color w:val="000000"/>
                <w:sz w:val="24"/>
                <w:szCs w:val="24"/>
              </w:rPr>
              <w:t>行政区划调整制度规范：</w:t>
            </w:r>
            <w:r>
              <w:rPr>
                <w:rFonts w:hint="eastAsia" w:eastAsia="方正仿宋简体"/>
                <w:color w:val="000000"/>
                <w:sz w:val="24"/>
                <w:szCs w:val="24"/>
              </w:rPr>
              <w:t>进一步健全完善行政区划调整专家论证、风险评估、征求社会公众等意见、实地调研等工作制度，通过规范行政区划调整酝酿、申报、审批程序，提升行政区划设置科学化、规范化、有效性。</w:t>
            </w:r>
          </w:p>
          <w:p w14:paraId="1F6D4638">
            <w:pPr>
              <w:spacing w:line="440" w:lineRule="exact"/>
              <w:ind w:firstLine="31680"/>
              <w:rPr>
                <w:rFonts w:eastAsia="方正仿宋简体"/>
                <w:color w:val="000000"/>
                <w:sz w:val="24"/>
              </w:rPr>
            </w:pPr>
            <w:r>
              <w:rPr>
                <w:rFonts w:eastAsia="方正仿宋简体"/>
                <w:b/>
                <w:bCs/>
                <w:color w:val="000000"/>
                <w:sz w:val="24"/>
                <w:szCs w:val="24"/>
              </w:rPr>
              <w:t>2.</w:t>
            </w:r>
            <w:r>
              <w:rPr>
                <w:rFonts w:hint="eastAsia" w:eastAsia="方正仿宋简体"/>
                <w:b/>
                <w:bCs/>
                <w:color w:val="000000"/>
                <w:sz w:val="24"/>
                <w:szCs w:val="24"/>
              </w:rPr>
              <w:t>行政区划调整：</w:t>
            </w:r>
            <w:r>
              <w:rPr>
                <w:rFonts w:hint="eastAsia" w:eastAsia="方正仿宋简体"/>
                <w:color w:val="000000"/>
                <w:sz w:val="24"/>
                <w:szCs w:val="24"/>
              </w:rPr>
              <w:t>落实《行政区划管理条例》及其实施办法，审慎稳妥开展行政区划调整审核。</w:t>
            </w:r>
          </w:p>
          <w:p w14:paraId="39BFD7E5">
            <w:pPr>
              <w:spacing w:line="440" w:lineRule="exact"/>
              <w:ind w:firstLine="472" w:firstLineChars="196"/>
              <w:rPr>
                <w:rFonts w:eastAsia="方正仿宋简体"/>
                <w:color w:val="000000"/>
                <w:sz w:val="24"/>
              </w:rPr>
            </w:pPr>
            <w:r>
              <w:rPr>
                <w:rFonts w:eastAsia="方正仿宋简体"/>
                <w:b/>
                <w:bCs/>
                <w:color w:val="000000"/>
                <w:sz w:val="24"/>
                <w:szCs w:val="24"/>
              </w:rPr>
              <w:t>3.</w:t>
            </w:r>
            <w:r>
              <w:rPr>
                <w:rFonts w:hint="eastAsia" w:eastAsia="方正仿宋简体"/>
                <w:b/>
                <w:bCs/>
                <w:color w:val="000000"/>
                <w:sz w:val="24"/>
                <w:szCs w:val="24"/>
              </w:rPr>
              <w:t>地名管理服务：</w:t>
            </w:r>
            <w:r>
              <w:rPr>
                <w:rFonts w:hint="eastAsia" w:eastAsia="方正仿宋简体"/>
                <w:color w:val="000000"/>
                <w:sz w:val="24"/>
                <w:szCs w:val="24"/>
              </w:rPr>
              <w:t>深化地名普查成果转化，发挥地名信息基础性、服务性作用，服务于人民群众生产生活，满足多元化地名需求。</w:t>
            </w:r>
          </w:p>
          <w:p w14:paraId="501950D4">
            <w:pPr>
              <w:spacing w:line="440" w:lineRule="exact"/>
              <w:ind w:firstLine="472" w:firstLineChars="196"/>
              <w:rPr>
                <w:rFonts w:eastAsia="方正仿宋简体"/>
                <w:color w:val="000000"/>
                <w:sz w:val="28"/>
                <w:szCs w:val="28"/>
              </w:rPr>
            </w:pPr>
            <w:r>
              <w:rPr>
                <w:rFonts w:eastAsia="方正仿宋简体"/>
                <w:b/>
                <w:bCs/>
                <w:color w:val="000000"/>
                <w:sz w:val="24"/>
                <w:szCs w:val="24"/>
              </w:rPr>
              <w:t>4.</w:t>
            </w:r>
            <w:r>
              <w:rPr>
                <w:rFonts w:hint="eastAsia" w:eastAsia="方正仿宋简体"/>
                <w:b/>
                <w:bCs/>
                <w:color w:val="000000"/>
                <w:sz w:val="24"/>
                <w:szCs w:val="24"/>
              </w:rPr>
              <w:t>标准地名推广：</w:t>
            </w:r>
            <w:r>
              <w:rPr>
                <w:rFonts w:hint="eastAsia" w:eastAsia="方正仿宋简体"/>
                <w:color w:val="000000"/>
                <w:sz w:val="24"/>
                <w:szCs w:val="24"/>
              </w:rPr>
              <w:t>加强地名用字、拼写管理，规范全国各类型地名标志标识，推广标准地名使用。</w:t>
            </w:r>
          </w:p>
        </w:tc>
      </w:tr>
    </w:tbl>
    <w:p w14:paraId="189501F5">
      <w:pPr>
        <w:pStyle w:val="24"/>
        <w:widowControl w:val="0"/>
        <w:outlineLvl w:val="0"/>
        <w:rPr>
          <w:rFonts w:ascii="Times New Roman" w:hAnsi="Times New Roman"/>
          <w:color w:val="000000"/>
        </w:rPr>
      </w:pPr>
      <w:bookmarkStart w:id="91" w:name="_Toc7691"/>
      <w:bookmarkStart w:id="92" w:name="_Toc25364"/>
      <w:bookmarkStart w:id="93" w:name="_Toc9720"/>
      <w:bookmarkStart w:id="94" w:name="_Toc7497"/>
      <w:bookmarkStart w:id="95" w:name="_Toc26855"/>
      <w:bookmarkStart w:id="96" w:name="_Toc20482"/>
      <w:bookmarkStart w:id="97" w:name="_Toc4913"/>
    </w:p>
    <w:p w14:paraId="62CB12C9">
      <w:pPr>
        <w:widowControl/>
        <w:spacing w:line="240" w:lineRule="auto"/>
        <w:ind w:firstLine="0" w:firstLineChars="0"/>
        <w:jc w:val="left"/>
        <w:rPr>
          <w:rFonts w:eastAsia="黑体"/>
          <w:bCs/>
          <w:color w:val="000000"/>
          <w:szCs w:val="44"/>
        </w:rPr>
      </w:pPr>
      <w:r>
        <w:rPr>
          <w:color w:val="000000"/>
        </w:rPr>
        <w:br w:type="page"/>
      </w:r>
    </w:p>
    <w:p w14:paraId="12A12EB6">
      <w:pPr>
        <w:pStyle w:val="24"/>
        <w:widowControl w:val="0"/>
        <w:outlineLvl w:val="0"/>
        <w:rPr>
          <w:rFonts w:ascii="Times New Roman" w:hAnsi="Times New Roman" w:eastAsia="方正小标宋简体"/>
          <w:color w:val="000000"/>
          <w:sz w:val="44"/>
        </w:rPr>
      </w:pPr>
      <w:r>
        <w:rPr>
          <w:rFonts w:hint="eastAsia" w:ascii="Times New Roman" w:hAnsi="Times New Roman" w:eastAsia="方正小标宋简体"/>
          <w:color w:val="000000"/>
          <w:sz w:val="44"/>
        </w:rPr>
        <w:t>第四章　优化基本社会服务</w:t>
      </w:r>
      <w:bookmarkEnd w:id="91"/>
      <w:bookmarkEnd w:id="92"/>
      <w:bookmarkEnd w:id="93"/>
      <w:bookmarkEnd w:id="94"/>
      <w:bookmarkEnd w:id="95"/>
      <w:bookmarkEnd w:id="96"/>
      <w:bookmarkEnd w:id="97"/>
    </w:p>
    <w:p w14:paraId="4C8E101C">
      <w:pPr>
        <w:pStyle w:val="24"/>
        <w:widowControl w:val="0"/>
        <w:outlineLvl w:val="0"/>
        <w:rPr>
          <w:rFonts w:ascii="Times New Roman" w:hAnsi="Times New Roman"/>
          <w:color w:val="000000"/>
        </w:rPr>
      </w:pPr>
    </w:p>
    <w:p w14:paraId="3E9DBBCA">
      <w:pPr>
        <w:ind w:firstLine="31680"/>
        <w:rPr>
          <w:color w:val="000000"/>
          <w:kern w:val="0"/>
          <w:szCs w:val="32"/>
        </w:rPr>
      </w:pPr>
      <w:r>
        <w:rPr>
          <w:rFonts w:hint="eastAsia"/>
          <w:color w:val="000000"/>
          <w:kern w:val="0"/>
          <w:szCs w:val="32"/>
        </w:rPr>
        <w:t>及时回应未成年人、婚姻当事人等群体的现实关切和迫切需求，立足保基本、兜底线、可持续，以惠民利民为导向，推动基本社会服务精准化、高质量发展。</w:t>
      </w:r>
    </w:p>
    <w:p w14:paraId="4AD192A7">
      <w:pPr>
        <w:ind w:firstLine="31680"/>
        <w:rPr>
          <w:color w:val="000000"/>
          <w:kern w:val="0"/>
          <w:szCs w:val="32"/>
        </w:rPr>
      </w:pPr>
    </w:p>
    <w:p w14:paraId="3AEBEBE6">
      <w:pPr>
        <w:pStyle w:val="25"/>
        <w:widowControl w:val="0"/>
        <w:outlineLvl w:val="1"/>
        <w:rPr>
          <w:rFonts w:eastAsia="方正黑体简体"/>
          <w:b w:val="0"/>
          <w:color w:val="000000"/>
        </w:rPr>
      </w:pPr>
      <w:bookmarkStart w:id="98" w:name="_Toc31097"/>
      <w:bookmarkStart w:id="99" w:name="_Toc8148"/>
      <w:bookmarkStart w:id="100" w:name="_Toc20672"/>
      <w:bookmarkStart w:id="101" w:name="_Toc22548"/>
      <w:bookmarkStart w:id="102" w:name="_Toc30295"/>
      <w:bookmarkStart w:id="103" w:name="_Toc19786"/>
      <w:bookmarkStart w:id="104" w:name="_Toc2318"/>
      <w:r>
        <w:rPr>
          <w:rFonts w:hint="eastAsia" w:eastAsia="方正黑体简体"/>
          <w:b w:val="0"/>
          <w:color w:val="000000"/>
        </w:rPr>
        <w:t>第一节　推进未成年人保护体系建设</w:t>
      </w:r>
      <w:bookmarkEnd w:id="98"/>
      <w:bookmarkEnd w:id="99"/>
      <w:bookmarkEnd w:id="100"/>
      <w:bookmarkEnd w:id="101"/>
      <w:bookmarkEnd w:id="102"/>
      <w:bookmarkEnd w:id="103"/>
      <w:bookmarkEnd w:id="104"/>
    </w:p>
    <w:p w14:paraId="0D343999">
      <w:pPr>
        <w:ind w:firstLine="31680"/>
        <w:rPr>
          <w:color w:val="000000"/>
        </w:rPr>
      </w:pPr>
    </w:p>
    <w:p w14:paraId="5FB5608E">
      <w:pPr>
        <w:ind w:firstLine="31680"/>
        <w:jc w:val="left"/>
        <w:rPr>
          <w:color w:val="000000"/>
          <w:kern w:val="0"/>
          <w:szCs w:val="32"/>
        </w:rPr>
      </w:pPr>
      <w:r>
        <w:rPr>
          <w:rFonts w:hint="eastAsia" w:hAnsi="仿宋_GB2312"/>
          <w:b/>
          <w:bCs/>
          <w:color w:val="000000"/>
          <w:szCs w:val="32"/>
        </w:rPr>
        <w:t>贯彻落实未成年人保护法规政策。</w:t>
      </w:r>
      <w:r>
        <w:rPr>
          <w:rFonts w:hint="eastAsia" w:hAnsi="仿宋_GB2312"/>
          <w:color w:val="000000"/>
          <w:kern w:val="0"/>
          <w:szCs w:val="32"/>
        </w:rPr>
        <w:t>贯彻落实《中华人民共和国民法典》《中华人民共和国未成年人保护法》，构建以</w:t>
      </w:r>
      <w:r>
        <w:rPr>
          <w:color w:val="000000"/>
          <w:kern w:val="0"/>
          <w:szCs w:val="32"/>
        </w:rPr>
        <w:t>“</w:t>
      </w:r>
      <w:r>
        <w:rPr>
          <w:rFonts w:hint="eastAsia" w:hAnsi="仿宋_GB2312"/>
          <w:color w:val="000000"/>
          <w:kern w:val="0"/>
          <w:szCs w:val="32"/>
        </w:rPr>
        <w:t>家庭监护为主体、社会监护为补充、国家监护为兜底</w:t>
      </w:r>
      <w:r>
        <w:rPr>
          <w:color w:val="000000"/>
          <w:kern w:val="0"/>
          <w:szCs w:val="32"/>
        </w:rPr>
        <w:t>”</w:t>
      </w:r>
      <w:r>
        <w:rPr>
          <w:rFonts w:hint="eastAsia" w:hAnsi="仿宋_GB2312"/>
          <w:color w:val="000000"/>
          <w:kern w:val="0"/>
          <w:szCs w:val="32"/>
        </w:rPr>
        <w:t>的监护制度，形成家庭、政府、社会</w:t>
      </w:r>
      <w:r>
        <w:rPr>
          <w:color w:val="000000"/>
          <w:kern w:val="0"/>
          <w:szCs w:val="32"/>
        </w:rPr>
        <w:t>“</w:t>
      </w:r>
      <w:r>
        <w:rPr>
          <w:rFonts w:hint="eastAsia" w:hAnsi="仿宋_GB2312"/>
          <w:color w:val="000000"/>
          <w:kern w:val="0"/>
          <w:szCs w:val="32"/>
        </w:rPr>
        <w:t>三位一体</w:t>
      </w:r>
      <w:r>
        <w:rPr>
          <w:color w:val="000000"/>
          <w:kern w:val="0"/>
          <w:szCs w:val="32"/>
        </w:rPr>
        <w:t>”</w:t>
      </w:r>
      <w:r>
        <w:rPr>
          <w:rFonts w:hint="eastAsia" w:hAnsi="仿宋_GB2312"/>
          <w:color w:val="000000"/>
          <w:kern w:val="0"/>
          <w:szCs w:val="32"/>
        </w:rPr>
        <w:t>的未成年人保护合力。加强国家兜底监护体制机制建设，建立健全民政部门长期监护、临时监护措施。完善未成年人生活保障、康复治疗、助医助学等政策措施。完善</w:t>
      </w:r>
      <w:r>
        <w:rPr>
          <w:color w:val="000000"/>
          <w:kern w:val="0"/>
          <w:szCs w:val="32"/>
        </w:rPr>
        <w:t>“</w:t>
      </w:r>
      <w:r>
        <w:rPr>
          <w:rFonts w:hint="eastAsia" w:hAnsi="仿宋_GB2312"/>
          <w:color w:val="000000"/>
          <w:kern w:val="0"/>
          <w:szCs w:val="32"/>
        </w:rPr>
        <w:t>发现报告、应急处置、评估帮扶、监护干预</w:t>
      </w:r>
      <w:r>
        <w:rPr>
          <w:color w:val="000000"/>
          <w:kern w:val="0"/>
          <w:szCs w:val="32"/>
        </w:rPr>
        <w:t>”</w:t>
      </w:r>
      <w:r>
        <w:rPr>
          <w:rFonts w:hint="eastAsia" w:hAnsi="仿宋_GB2312"/>
          <w:color w:val="000000"/>
          <w:kern w:val="0"/>
          <w:szCs w:val="32"/>
        </w:rPr>
        <w:t>的未成年人保护联动响应机制。重视未成年人心理健康教育，推动建立未成年人心理问题的早期发现和及时干预机制。</w:t>
      </w:r>
    </w:p>
    <w:p w14:paraId="3CB22BC1">
      <w:pPr>
        <w:ind w:firstLine="31680"/>
        <w:jc w:val="left"/>
        <w:rPr>
          <w:color w:val="000000"/>
          <w:szCs w:val="32"/>
        </w:rPr>
      </w:pPr>
      <w:r>
        <w:rPr>
          <w:rFonts w:hint="eastAsia" w:hAnsi="仿宋_GB2312"/>
          <w:b/>
          <w:bCs/>
          <w:color w:val="000000"/>
          <w:kern w:val="0"/>
          <w:szCs w:val="32"/>
        </w:rPr>
        <w:t>充分发挥未成年人保护工作协调机制作用。</w:t>
      </w:r>
      <w:r>
        <w:rPr>
          <w:rFonts w:hint="eastAsia" w:hAnsi="仿宋_GB2312"/>
          <w:color w:val="000000"/>
          <w:kern w:val="0"/>
          <w:szCs w:val="32"/>
        </w:rPr>
        <w:t>建立健全市未成年人保护工作协调机制，协调督促有关部门落实职责，及时督办和处置侵害未成年人合法权益事件。动员村（居）委、社会组织、社会工作者和志愿者开展有利于未成年人健康成长的社会活动和服务，引导社会各界关心关注和积极参与未成年人保护工作。</w:t>
      </w:r>
      <w:r>
        <w:rPr>
          <w:rFonts w:hint="eastAsia" w:hAnsi="仿宋_GB2312"/>
          <w:color w:val="000000"/>
          <w:szCs w:val="32"/>
        </w:rPr>
        <w:t>推动形成</w:t>
      </w:r>
      <w:r>
        <w:rPr>
          <w:color w:val="000000"/>
          <w:szCs w:val="32"/>
        </w:rPr>
        <w:t>“</w:t>
      </w:r>
      <w:r>
        <w:rPr>
          <w:rFonts w:hint="eastAsia" w:hAnsi="仿宋_GB2312"/>
          <w:color w:val="000000"/>
          <w:szCs w:val="32"/>
        </w:rPr>
        <w:t>党委政府领导、民政部门牵头、相关部门各司其职、社会力量广泛参与</w:t>
      </w:r>
      <w:r>
        <w:rPr>
          <w:color w:val="000000"/>
          <w:szCs w:val="32"/>
        </w:rPr>
        <w:t>”</w:t>
      </w:r>
      <w:r>
        <w:rPr>
          <w:rFonts w:hint="eastAsia" w:hAnsi="仿宋_GB2312"/>
          <w:color w:val="000000"/>
          <w:szCs w:val="32"/>
        </w:rPr>
        <w:t>的未成年人保护工作格局。实现县（市、区）未成年人保护机构全覆盖。推动乡镇（街道）设立未成年人保护工作站或者指定专门人员，到</w:t>
      </w:r>
      <w:r>
        <w:rPr>
          <w:color w:val="000000"/>
          <w:szCs w:val="32"/>
        </w:rPr>
        <w:t>“</w:t>
      </w:r>
      <w:r>
        <w:rPr>
          <w:rFonts w:hint="eastAsia" w:hAnsi="仿宋_GB2312"/>
          <w:color w:val="000000"/>
          <w:szCs w:val="32"/>
        </w:rPr>
        <w:t>十四五</w:t>
      </w:r>
      <w:r>
        <w:rPr>
          <w:color w:val="000000"/>
          <w:szCs w:val="32"/>
        </w:rPr>
        <w:t>”</w:t>
      </w:r>
      <w:r>
        <w:rPr>
          <w:rFonts w:hint="eastAsia" w:hAnsi="仿宋_GB2312"/>
          <w:color w:val="000000"/>
          <w:szCs w:val="32"/>
        </w:rPr>
        <w:t>期末，力争乡镇（街道）未成年人保护工作站覆盖率达</w:t>
      </w:r>
      <w:r>
        <w:rPr>
          <w:color w:val="000000"/>
          <w:szCs w:val="32"/>
        </w:rPr>
        <w:t>60%</w:t>
      </w:r>
      <w:r>
        <w:rPr>
          <w:rFonts w:hint="eastAsia" w:hAnsi="仿宋_GB2312"/>
          <w:color w:val="000000"/>
          <w:szCs w:val="32"/>
        </w:rPr>
        <w:t>，村（居）儿童主任参训率达</w:t>
      </w:r>
      <w:r>
        <w:rPr>
          <w:color w:val="000000"/>
          <w:szCs w:val="32"/>
        </w:rPr>
        <w:t>100%</w:t>
      </w:r>
      <w:r>
        <w:rPr>
          <w:rFonts w:hint="eastAsia" w:hAnsi="仿宋_GB2312"/>
          <w:color w:val="000000"/>
          <w:szCs w:val="32"/>
        </w:rPr>
        <w:t>。</w:t>
      </w:r>
    </w:p>
    <w:p w14:paraId="5DCF78A0">
      <w:pPr>
        <w:ind w:firstLine="31680"/>
        <w:rPr>
          <w:color w:val="000000"/>
          <w:szCs w:val="32"/>
        </w:rPr>
      </w:pPr>
      <w:r>
        <w:rPr>
          <w:rFonts w:hint="eastAsia" w:hAnsi="仿宋_GB2312"/>
          <w:b/>
          <w:bCs/>
          <w:color w:val="000000"/>
          <w:szCs w:val="32"/>
        </w:rPr>
        <w:t>切实加强未成年人监护能力建设</w:t>
      </w:r>
      <w:r>
        <w:rPr>
          <w:rFonts w:hint="eastAsia" w:hAnsi="仿宋_GB2312"/>
          <w:b/>
          <w:bCs/>
          <w:color w:val="000000"/>
          <w:kern w:val="0"/>
          <w:szCs w:val="32"/>
        </w:rPr>
        <w:t>。</w:t>
      </w:r>
      <w:r>
        <w:rPr>
          <w:rFonts w:hint="eastAsia" w:hAnsi="仿宋_GB2312"/>
          <w:color w:val="000000"/>
          <w:szCs w:val="32"/>
        </w:rPr>
        <w:t>按照</w:t>
      </w:r>
      <w:r>
        <w:rPr>
          <w:color w:val="000000"/>
          <w:szCs w:val="32"/>
        </w:rPr>
        <w:t>“</w:t>
      </w:r>
      <w:r>
        <w:rPr>
          <w:rFonts w:hint="eastAsia" w:hAnsi="仿宋_GB2312"/>
          <w:color w:val="000000"/>
          <w:szCs w:val="32"/>
        </w:rPr>
        <w:t>家庭尽责、政府主导、社会参与</w:t>
      </w:r>
      <w:r>
        <w:rPr>
          <w:color w:val="000000"/>
          <w:szCs w:val="32"/>
        </w:rPr>
        <w:t>”</w:t>
      </w:r>
      <w:r>
        <w:rPr>
          <w:rFonts w:hint="eastAsia" w:hAnsi="仿宋_GB2312"/>
          <w:color w:val="000000"/>
          <w:szCs w:val="32"/>
        </w:rPr>
        <w:t>的原则，强化家庭监护主体责任，提升家庭监护能力。完善应急处置机制，依托未成年人保护机构搭建民政和相关部门联动响应的一体化平台。建立监护评估机制，加强危机干预和家庭监护能力评估体系建设。指导村（居）委会等及时报告和处置侵害未成年人合法权益事件。配合相关部门加大对不依法履行监护权的未成年人父母及其他监护人处置力度。</w:t>
      </w:r>
    </w:p>
    <w:p w14:paraId="05C26300">
      <w:pPr>
        <w:spacing w:line="200" w:lineRule="exact"/>
        <w:ind w:firstLine="31680"/>
        <w:rPr>
          <w:color w:val="000000"/>
          <w:szCs w:val="32"/>
        </w:rPr>
      </w:pPr>
    </w:p>
    <w:tbl>
      <w:tblPr>
        <w:tblStyle w:val="13"/>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798C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084" w:type="dxa"/>
          </w:tcPr>
          <w:p w14:paraId="3B342841">
            <w:pPr>
              <w:pStyle w:val="12"/>
              <w:widowControl w:val="0"/>
              <w:snapToGrid w:val="0"/>
              <w:spacing w:before="0" w:beforeAutospacing="0" w:after="0" w:afterAutospacing="0" w:line="440" w:lineRule="exact"/>
              <w:ind w:firstLine="560"/>
              <w:jc w:val="center"/>
              <w:rPr>
                <w:rFonts w:ascii="Times New Roman" w:eastAsia="方正仿宋简体" w:cs="Times New Roman"/>
                <w:b/>
                <w:sz w:val="28"/>
                <w:szCs w:val="28"/>
              </w:rPr>
            </w:pPr>
            <w:bookmarkStart w:id="105" w:name="_Toc53904200"/>
            <w:bookmarkStart w:id="106" w:name="_Toc51218644"/>
            <w:bookmarkStart w:id="107" w:name="_Toc51153212"/>
            <w:r>
              <w:rPr>
                <w:rFonts w:hint="eastAsia" w:ascii="Times New Roman" w:eastAsia="方正仿宋简体" w:cs="Times New Roman"/>
                <w:b/>
                <w:kern w:val="2"/>
                <w:sz w:val="28"/>
                <w:szCs w:val="28"/>
              </w:rPr>
              <w:t>专栏</w:t>
            </w:r>
            <w:r>
              <w:rPr>
                <w:rFonts w:ascii="Times New Roman" w:eastAsia="方正仿宋简体" w:cs="Times New Roman"/>
                <w:b/>
                <w:kern w:val="2"/>
                <w:sz w:val="28"/>
                <w:szCs w:val="28"/>
              </w:rPr>
              <w:t>9</w:t>
            </w:r>
            <w:r>
              <w:rPr>
                <w:rFonts w:hint="eastAsia" w:ascii="Times New Roman" w:eastAsia="方正仿宋简体" w:cs="Times New Roman"/>
                <w:b/>
                <w:kern w:val="2"/>
                <w:sz w:val="28"/>
                <w:szCs w:val="28"/>
              </w:rPr>
              <w:t>：未成年人保护能力提升工程</w:t>
            </w:r>
            <w:bookmarkEnd w:id="105"/>
            <w:bookmarkEnd w:id="106"/>
            <w:bookmarkEnd w:id="107"/>
          </w:p>
        </w:tc>
      </w:tr>
      <w:tr w14:paraId="39BC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084" w:type="dxa"/>
          </w:tcPr>
          <w:p w14:paraId="057AACE7">
            <w:pPr>
              <w:spacing w:line="440" w:lineRule="exact"/>
              <w:ind w:firstLine="472" w:firstLineChars="196"/>
              <w:rPr>
                <w:rFonts w:eastAsia="方正仿宋简体"/>
                <w:color w:val="000000"/>
                <w:sz w:val="24"/>
              </w:rPr>
            </w:pPr>
            <w:r>
              <w:rPr>
                <w:rFonts w:eastAsia="方正仿宋简体"/>
                <w:b/>
                <w:bCs/>
                <w:color w:val="000000"/>
                <w:kern w:val="0"/>
                <w:sz w:val="24"/>
                <w:szCs w:val="24"/>
              </w:rPr>
              <w:t>1.</w:t>
            </w:r>
            <w:r>
              <w:rPr>
                <w:rFonts w:hint="eastAsia" w:eastAsia="方正仿宋简体"/>
                <w:b/>
                <w:bCs/>
                <w:color w:val="000000"/>
                <w:kern w:val="0"/>
                <w:sz w:val="24"/>
                <w:szCs w:val="24"/>
              </w:rPr>
              <w:t>提升服务能力：</w:t>
            </w:r>
            <w:r>
              <w:rPr>
                <w:rFonts w:hint="eastAsia" w:eastAsia="方正仿宋简体"/>
                <w:color w:val="000000"/>
                <w:sz w:val="24"/>
                <w:szCs w:val="24"/>
              </w:rPr>
              <w:t>推动乡镇（街道）设立未成年人保护工作站或者指定专门人员，到</w:t>
            </w:r>
            <w:r>
              <w:rPr>
                <w:rFonts w:eastAsia="方正仿宋简体"/>
                <w:color w:val="000000"/>
                <w:sz w:val="24"/>
                <w:szCs w:val="24"/>
              </w:rPr>
              <w:t>2025</w:t>
            </w:r>
            <w:r>
              <w:rPr>
                <w:rFonts w:hint="eastAsia" w:eastAsia="方正仿宋简体"/>
                <w:color w:val="000000"/>
                <w:sz w:val="24"/>
                <w:szCs w:val="24"/>
              </w:rPr>
              <w:t>年底，乡镇（街道）未成年人保护工作站或未成年人保护工作专干实现全覆盖。推动村（居）委会设立专人专岗，做好未成年人保护工作。加大村（居）儿童主任培训力度，参训率达到</w:t>
            </w:r>
            <w:r>
              <w:rPr>
                <w:rFonts w:eastAsia="方正仿宋简体"/>
                <w:color w:val="000000"/>
                <w:sz w:val="24"/>
                <w:szCs w:val="24"/>
              </w:rPr>
              <w:t>100%</w:t>
            </w:r>
            <w:r>
              <w:rPr>
                <w:rFonts w:hint="eastAsia" w:eastAsia="方正仿宋简体"/>
                <w:color w:val="000000"/>
                <w:sz w:val="24"/>
                <w:szCs w:val="24"/>
              </w:rPr>
              <w:t>。</w:t>
            </w:r>
          </w:p>
          <w:p w14:paraId="6CED47BE">
            <w:pPr>
              <w:spacing w:line="440" w:lineRule="exact"/>
              <w:ind w:firstLine="472" w:firstLineChars="196"/>
              <w:rPr>
                <w:rFonts w:eastAsia="方正仿宋简体"/>
                <w:color w:val="000000"/>
                <w:sz w:val="30"/>
                <w:szCs w:val="30"/>
              </w:rPr>
            </w:pPr>
            <w:r>
              <w:rPr>
                <w:rFonts w:eastAsia="方正仿宋简体"/>
                <w:b/>
                <w:bCs/>
                <w:color w:val="000000"/>
                <w:sz w:val="24"/>
                <w:szCs w:val="24"/>
              </w:rPr>
              <w:t>2.</w:t>
            </w:r>
            <w:r>
              <w:rPr>
                <w:rFonts w:hint="eastAsia" w:eastAsia="方正仿宋简体"/>
                <w:b/>
                <w:bCs/>
                <w:color w:val="000000"/>
                <w:sz w:val="24"/>
                <w:szCs w:val="24"/>
              </w:rPr>
              <w:t>加强设施建设：</w:t>
            </w:r>
            <w:r>
              <w:rPr>
                <w:rFonts w:hint="eastAsia" w:eastAsia="方正仿宋简体"/>
                <w:color w:val="000000"/>
                <w:sz w:val="24"/>
                <w:szCs w:val="24"/>
                <w:lang w:val="zh-CN"/>
              </w:rPr>
              <w:t>到</w:t>
            </w:r>
            <w:r>
              <w:rPr>
                <w:rFonts w:eastAsia="方正仿宋简体"/>
                <w:color w:val="000000"/>
                <w:sz w:val="24"/>
                <w:szCs w:val="24"/>
              </w:rPr>
              <w:t>2025</w:t>
            </w:r>
            <w:r>
              <w:rPr>
                <w:rFonts w:hint="eastAsia" w:eastAsia="方正仿宋简体"/>
                <w:color w:val="000000"/>
                <w:sz w:val="24"/>
                <w:szCs w:val="24"/>
              </w:rPr>
              <w:t>年底</w:t>
            </w:r>
            <w:r>
              <w:rPr>
                <w:rFonts w:hint="eastAsia" w:eastAsia="方正仿宋简体"/>
                <w:color w:val="000000"/>
                <w:sz w:val="24"/>
                <w:szCs w:val="24"/>
                <w:lang w:val="zh-CN"/>
              </w:rPr>
              <w:t>，实现市、县（市、区）未成年人保护</w:t>
            </w:r>
            <w:r>
              <w:rPr>
                <w:rFonts w:hint="eastAsia" w:eastAsia="方正仿宋简体"/>
                <w:color w:val="000000"/>
                <w:sz w:val="24"/>
                <w:szCs w:val="24"/>
              </w:rPr>
              <w:t>机构</w:t>
            </w:r>
            <w:r>
              <w:rPr>
                <w:rFonts w:hint="eastAsia" w:eastAsia="方正仿宋简体"/>
                <w:color w:val="000000"/>
                <w:sz w:val="24"/>
                <w:szCs w:val="24"/>
                <w:lang w:val="zh-CN"/>
              </w:rPr>
              <w:t>全覆盖。</w:t>
            </w:r>
            <w:r>
              <w:rPr>
                <w:rFonts w:hint="eastAsia" w:eastAsia="方正仿宋简体"/>
                <w:color w:val="000000"/>
                <w:sz w:val="24"/>
                <w:szCs w:val="24"/>
              </w:rPr>
              <w:t>提高</w:t>
            </w:r>
            <w:r>
              <w:rPr>
                <w:rFonts w:hint="eastAsia" w:eastAsia="方正仿宋简体"/>
                <w:color w:val="000000"/>
                <w:sz w:val="24"/>
                <w:szCs w:val="24"/>
                <w:lang w:val="zh-CN"/>
              </w:rPr>
              <w:t>未成年人保护机构标准化、规范化</w:t>
            </w:r>
            <w:r>
              <w:rPr>
                <w:rFonts w:hint="eastAsia" w:eastAsia="方正仿宋简体"/>
                <w:color w:val="000000"/>
                <w:sz w:val="24"/>
                <w:szCs w:val="24"/>
              </w:rPr>
              <w:t>水平</w:t>
            </w:r>
            <w:r>
              <w:rPr>
                <w:rFonts w:hint="eastAsia" w:eastAsia="方正仿宋简体"/>
                <w:color w:val="000000"/>
                <w:sz w:val="24"/>
                <w:szCs w:val="24"/>
                <w:lang w:val="zh-CN"/>
              </w:rPr>
              <w:t>。</w:t>
            </w:r>
          </w:p>
        </w:tc>
      </w:tr>
    </w:tbl>
    <w:p w14:paraId="083298B1">
      <w:pPr>
        <w:pStyle w:val="25"/>
        <w:widowControl w:val="0"/>
        <w:spacing w:line="540" w:lineRule="exact"/>
        <w:outlineLvl w:val="1"/>
        <w:rPr>
          <w:rFonts w:eastAsia="宋体"/>
          <w:color w:val="000000"/>
        </w:rPr>
      </w:pPr>
      <w:bookmarkStart w:id="108" w:name="_Toc11346"/>
      <w:bookmarkStart w:id="109" w:name="_Toc2025"/>
      <w:bookmarkStart w:id="110" w:name="_Toc27948"/>
      <w:bookmarkStart w:id="111" w:name="_Toc15049"/>
      <w:bookmarkStart w:id="112" w:name="_Toc26728"/>
      <w:bookmarkStart w:id="113" w:name="_Toc20656"/>
      <w:bookmarkStart w:id="114" w:name="_Toc30819"/>
    </w:p>
    <w:p w14:paraId="1CA147D7">
      <w:pPr>
        <w:pStyle w:val="25"/>
        <w:widowControl w:val="0"/>
        <w:spacing w:line="540" w:lineRule="exact"/>
        <w:outlineLvl w:val="1"/>
        <w:rPr>
          <w:rFonts w:eastAsia="方正黑体简体"/>
          <w:b w:val="0"/>
          <w:color w:val="000000"/>
        </w:rPr>
      </w:pPr>
      <w:r>
        <w:rPr>
          <w:rFonts w:hint="eastAsia" w:eastAsia="方正黑体简体"/>
          <w:b w:val="0"/>
          <w:color w:val="000000"/>
        </w:rPr>
        <w:t>第二节　加强婚姻登记管理和服务</w:t>
      </w:r>
      <w:bookmarkEnd w:id="108"/>
      <w:bookmarkEnd w:id="109"/>
      <w:bookmarkEnd w:id="110"/>
      <w:bookmarkEnd w:id="111"/>
      <w:bookmarkEnd w:id="112"/>
      <w:bookmarkEnd w:id="113"/>
      <w:bookmarkEnd w:id="114"/>
    </w:p>
    <w:p w14:paraId="4BFCA87C">
      <w:pPr>
        <w:spacing w:line="540" w:lineRule="exact"/>
        <w:ind w:firstLine="31680"/>
        <w:rPr>
          <w:color w:val="000000"/>
        </w:rPr>
      </w:pPr>
    </w:p>
    <w:p w14:paraId="6F5A3CCB">
      <w:pPr>
        <w:spacing w:line="540" w:lineRule="exact"/>
        <w:ind w:firstLine="31680"/>
        <w:rPr>
          <w:color w:val="000000"/>
          <w:szCs w:val="32"/>
        </w:rPr>
      </w:pPr>
      <w:r>
        <w:rPr>
          <w:rFonts w:hint="eastAsia"/>
          <w:b/>
          <w:color w:val="000000"/>
          <w:szCs w:val="32"/>
        </w:rPr>
        <w:t>健全婚姻登记管理制度。</w:t>
      </w:r>
      <w:r>
        <w:rPr>
          <w:rFonts w:hint="eastAsia"/>
          <w:color w:val="000000"/>
          <w:szCs w:val="32"/>
        </w:rPr>
        <w:t>贯彻实施《中华人民共和国民法典》《婚姻登记工作规范》，继续推进婚姻登记规范化、信息化建设，依法开展婚姻登记。加强婚姻登记领域信用体系建设，推进婚姻登记严重失信当事人信用约束和联合惩戒，建立弄虚作假骗取婚姻登记的纠错机制。健全涉外婚姻登记管理制度。</w:t>
      </w:r>
    </w:p>
    <w:p w14:paraId="5B5EB41E">
      <w:pPr>
        <w:spacing w:line="540" w:lineRule="exact"/>
        <w:ind w:firstLine="31680"/>
        <w:rPr>
          <w:color w:val="000000"/>
          <w:szCs w:val="32"/>
        </w:rPr>
      </w:pPr>
      <w:r>
        <w:rPr>
          <w:rFonts w:hint="eastAsia"/>
          <w:b/>
          <w:color w:val="000000"/>
          <w:kern w:val="0"/>
          <w:szCs w:val="32"/>
        </w:rPr>
        <w:t>提升婚姻登记管理服务水平。</w:t>
      </w:r>
      <w:r>
        <w:rPr>
          <w:rFonts w:hint="eastAsia"/>
          <w:color w:val="000000"/>
          <w:szCs w:val="32"/>
        </w:rPr>
        <w:t>丰富结婚登记颁证仪式，加强家庭文明建设，弘扬家庭美德。提高婚姻家庭辅导服务质量，引导社会工作专业力量、志愿者和社会组织发挥积极作用，为有需求的当事人免费提供法律咨询、心理疏导等服务，促进家庭和谐和社会稳定。推进</w:t>
      </w:r>
      <w:r>
        <w:rPr>
          <w:color w:val="000000"/>
          <w:szCs w:val="32"/>
        </w:rPr>
        <w:t>“</w:t>
      </w:r>
      <w:r>
        <w:rPr>
          <w:rFonts w:hint="eastAsia"/>
          <w:color w:val="000000"/>
          <w:szCs w:val="32"/>
        </w:rPr>
        <w:t>互联网</w:t>
      </w:r>
      <w:r>
        <w:rPr>
          <w:color w:val="000000"/>
          <w:szCs w:val="32"/>
        </w:rPr>
        <w:t>+</w:t>
      </w:r>
      <w:r>
        <w:rPr>
          <w:rFonts w:hint="eastAsia"/>
          <w:color w:val="000000"/>
          <w:szCs w:val="32"/>
        </w:rPr>
        <w:t>婚姻</w:t>
      </w:r>
      <w:r>
        <w:rPr>
          <w:color w:val="000000"/>
          <w:szCs w:val="32"/>
        </w:rPr>
        <w:t>”</w:t>
      </w:r>
      <w:r>
        <w:rPr>
          <w:rFonts w:hint="eastAsia"/>
          <w:color w:val="000000"/>
          <w:szCs w:val="32"/>
        </w:rPr>
        <w:t>，提升婚姻登记工作数字化、精细化和智能化水平，扎实开展婚姻登记历史数据补录，完善婚姻登记信息数据库。深入推进婚俗改革，倡导和推广健康文明、节俭适度的婚俗文化。开展形式多样的婚姻家庭文化活动，弘扬社会主义核心价值观。</w:t>
      </w:r>
    </w:p>
    <w:p w14:paraId="7B5D951E">
      <w:pPr>
        <w:spacing w:line="540" w:lineRule="exact"/>
        <w:ind w:firstLine="31680"/>
        <w:rPr>
          <w:color w:val="000000"/>
          <w:szCs w:val="32"/>
        </w:rPr>
      </w:pPr>
    </w:p>
    <w:p w14:paraId="4141CB01">
      <w:pPr>
        <w:pStyle w:val="25"/>
        <w:widowControl w:val="0"/>
        <w:outlineLvl w:val="1"/>
        <w:rPr>
          <w:rFonts w:eastAsia="方正黑体简体"/>
          <w:b w:val="0"/>
          <w:color w:val="000000"/>
        </w:rPr>
      </w:pPr>
      <w:bookmarkStart w:id="115" w:name="_Toc17719"/>
      <w:bookmarkStart w:id="116" w:name="_Toc28789"/>
      <w:bookmarkStart w:id="117" w:name="_Toc13990"/>
      <w:bookmarkStart w:id="118" w:name="_Toc1065"/>
      <w:bookmarkStart w:id="119" w:name="_Toc11892"/>
      <w:bookmarkStart w:id="120" w:name="_Toc16551"/>
      <w:bookmarkStart w:id="121" w:name="_Toc9394"/>
      <w:r>
        <w:rPr>
          <w:rFonts w:hint="eastAsia" w:eastAsia="方正黑体简体"/>
          <w:b w:val="0"/>
          <w:color w:val="000000"/>
        </w:rPr>
        <w:t>第三节　</w:t>
      </w:r>
      <w:bookmarkEnd w:id="115"/>
      <w:bookmarkEnd w:id="116"/>
      <w:bookmarkEnd w:id="117"/>
      <w:bookmarkEnd w:id="118"/>
      <w:bookmarkEnd w:id="119"/>
      <w:r>
        <w:rPr>
          <w:rFonts w:hint="eastAsia" w:eastAsia="方正黑体简体"/>
          <w:b w:val="0"/>
          <w:color w:val="000000"/>
        </w:rPr>
        <w:t>提升殡葬管理和服务水平</w:t>
      </w:r>
      <w:bookmarkEnd w:id="120"/>
      <w:bookmarkEnd w:id="121"/>
    </w:p>
    <w:p w14:paraId="1346CB74">
      <w:pPr>
        <w:ind w:firstLine="31680"/>
        <w:rPr>
          <w:color w:val="000000"/>
        </w:rPr>
      </w:pPr>
    </w:p>
    <w:p w14:paraId="3D977CAE">
      <w:pPr>
        <w:adjustRightInd w:val="0"/>
        <w:snapToGrid w:val="0"/>
        <w:ind w:firstLine="31680"/>
        <w:rPr>
          <w:color w:val="000000"/>
          <w:spacing w:val="-11"/>
          <w:szCs w:val="32"/>
        </w:rPr>
      </w:pPr>
      <w:r>
        <w:rPr>
          <w:rFonts w:hint="eastAsia"/>
          <w:b/>
          <w:color w:val="000000"/>
          <w:szCs w:val="32"/>
        </w:rPr>
        <w:t>补齐殡葬服务设施短板。</w:t>
      </w:r>
      <w:r>
        <w:rPr>
          <w:rFonts w:hint="eastAsia"/>
          <w:color w:val="000000"/>
        </w:rPr>
        <w:t>落实殡葬服务设施设备标准要求，加快补齐殡仪馆、公益性公墓（骨灰堂）等殡葬设施及相关服务短板，推动形成覆盖城乡、布局合理、功能齐全、便民惠民、绿色文明的基本殡葬服务网络。加快老、旧殡仪馆升级改造，对已达到强制报废年限和不符合国家环境保护标准的火化设备进行更新改造。推动殡葬公共服务设施纳入当地国土空间规划，鼓励有条件的</w:t>
      </w:r>
      <w:r>
        <w:rPr>
          <w:rFonts w:hint="eastAsia"/>
          <w:color w:val="000000"/>
          <w:spacing w:val="-6"/>
          <w:kern w:val="0"/>
          <w:szCs w:val="32"/>
        </w:rPr>
        <w:t>县（市、区）</w:t>
      </w:r>
      <w:r>
        <w:rPr>
          <w:rFonts w:hint="eastAsia"/>
          <w:color w:val="000000"/>
        </w:rPr>
        <w:t>组织制定城乡公益性安葬（放）设施专项规划。大力推动城乡公益性安葬设施建设，优先发展公益性骨灰楼堂，统筹发展公益性公墓，原则上每个</w:t>
      </w:r>
      <w:r>
        <w:rPr>
          <w:rFonts w:hint="eastAsia"/>
          <w:color w:val="000000"/>
          <w:spacing w:val="-6"/>
          <w:kern w:val="0"/>
          <w:szCs w:val="32"/>
        </w:rPr>
        <w:t>县（市、区）</w:t>
      </w:r>
      <w:r>
        <w:rPr>
          <w:rFonts w:hint="eastAsia"/>
          <w:color w:val="000000"/>
        </w:rPr>
        <w:t>至少规划建设</w:t>
      </w:r>
      <w:r>
        <w:rPr>
          <w:color w:val="000000"/>
        </w:rPr>
        <w:t>1</w:t>
      </w:r>
      <w:r>
        <w:rPr>
          <w:rFonts w:hint="eastAsia"/>
          <w:color w:val="000000"/>
        </w:rPr>
        <w:t>个城市公益性安葬设施。农村地区以村（联村）或乡镇为单位规划建设公益性安葬设施，加快对原有公共墓地和集中埋葬点资源整合，鼓励在经营性安葬设施内划出一定区域，提供公益性安葬服务。</w:t>
      </w:r>
    </w:p>
    <w:p w14:paraId="505E04A4">
      <w:pPr>
        <w:adjustRightInd w:val="0"/>
        <w:snapToGrid w:val="0"/>
        <w:ind w:firstLine="31680"/>
        <w:rPr>
          <w:color w:val="000000"/>
          <w:szCs w:val="32"/>
        </w:rPr>
      </w:pPr>
      <w:r>
        <w:rPr>
          <w:rFonts w:hint="eastAsia"/>
          <w:b/>
          <w:color w:val="000000"/>
          <w:szCs w:val="32"/>
        </w:rPr>
        <w:t>优化殡葬服务供给与管理。</w:t>
      </w:r>
      <w:r>
        <w:rPr>
          <w:rFonts w:hint="eastAsia"/>
          <w:color w:val="000000"/>
          <w:szCs w:val="32"/>
        </w:rPr>
        <w:t>健全基本殡葬服务保障制度，</w:t>
      </w:r>
      <w:r>
        <w:rPr>
          <w:rFonts w:hint="eastAsia"/>
          <w:color w:val="000000"/>
          <w:kern w:val="0"/>
          <w:szCs w:val="32"/>
        </w:rPr>
        <w:t>持续落实免除</w:t>
      </w:r>
      <w:r>
        <w:rPr>
          <w:rFonts w:hint="eastAsia"/>
          <w:color w:val="000000"/>
          <w:szCs w:val="32"/>
        </w:rPr>
        <w:t>困难群众基本殡葬服务费政策，</w:t>
      </w:r>
      <w:r>
        <w:rPr>
          <w:rFonts w:hint="eastAsia"/>
          <w:color w:val="000000"/>
        </w:rPr>
        <w:t>推进基本殡葬服务普惠化，力争惠民殡葬政策全覆盖。</w:t>
      </w:r>
      <w:r>
        <w:rPr>
          <w:rFonts w:hint="eastAsia"/>
          <w:color w:val="000000"/>
          <w:szCs w:val="32"/>
        </w:rPr>
        <w:t>鼓励有条件的地区适度增加免费项目，着力将服务保障内容向节地生态安葬延伸覆盖。规范殡葬服务管理，落实属地管理和部门监管责任，强化殡葬服务事业单位公益属性，增强殡葬中介机构、服务企业规范诚信经营意识，健全殡葬领域人才培养和激励机制，不断提升殡葬服务规范化、优质化水平。配合完善全省联网的殡葬信息管理系统，推动殡葬服务与</w:t>
      </w:r>
      <w:r>
        <w:rPr>
          <w:color w:val="000000"/>
          <w:szCs w:val="32"/>
        </w:rPr>
        <w:t>“</w:t>
      </w:r>
      <w:r>
        <w:rPr>
          <w:rFonts w:hint="eastAsia"/>
          <w:color w:val="000000"/>
          <w:szCs w:val="32"/>
        </w:rPr>
        <w:t>互联网</w:t>
      </w:r>
      <w:r>
        <w:rPr>
          <w:color w:val="000000"/>
          <w:szCs w:val="32"/>
        </w:rPr>
        <w:t>+”</w:t>
      </w:r>
      <w:r>
        <w:rPr>
          <w:rFonts w:hint="eastAsia"/>
          <w:color w:val="000000"/>
          <w:szCs w:val="32"/>
        </w:rPr>
        <w:t>融合发展，探索推广远程告别、网络祭扫等殡葬服务新模式，为群众提供更加便捷透明的殡葬服务。</w:t>
      </w:r>
    </w:p>
    <w:p w14:paraId="354F2B5B">
      <w:pPr>
        <w:adjustRightInd w:val="0"/>
        <w:snapToGrid w:val="0"/>
        <w:ind w:firstLine="31680"/>
        <w:rPr>
          <w:color w:val="000000"/>
          <w:kern w:val="0"/>
          <w:szCs w:val="32"/>
        </w:rPr>
      </w:pPr>
      <w:r>
        <w:rPr>
          <w:rFonts w:hint="eastAsia"/>
          <w:b/>
          <w:color w:val="000000"/>
          <w:szCs w:val="32"/>
        </w:rPr>
        <w:t>深入推进殡葬移风易俗。</w:t>
      </w:r>
      <w:r>
        <w:rPr>
          <w:rFonts w:hint="eastAsia"/>
          <w:color w:val="000000"/>
          <w:kern w:val="0"/>
          <w:szCs w:val="32"/>
        </w:rPr>
        <w:t>巩固遗体火化率，因地制宜推广节地生态葬式葬法，持续抓好文明殡葬建设，</w:t>
      </w:r>
      <w:r>
        <w:rPr>
          <w:rFonts w:hint="eastAsia"/>
          <w:color w:val="000000"/>
          <w:szCs w:val="32"/>
        </w:rPr>
        <w:t>强化示范引领和宣传引导，提高群众认同度参与度</w:t>
      </w:r>
      <w:r>
        <w:rPr>
          <w:rFonts w:hint="eastAsia"/>
          <w:color w:val="000000"/>
          <w:kern w:val="0"/>
          <w:szCs w:val="32"/>
        </w:rPr>
        <w:t>。深入实施违建墓地专项整治成果巩固提升行动，进一步严控增量、消减存量，着力加强源头治理，建立长效监管机制，坚决遏制散埋乱葬现象。充分发挥党员干部模范带头作用，健全红白理事会及村规民约，持续深入推进丧葬礼俗改革，大力推行文明节俭治丧，弘扬优秀殡葬文化，遏制重殓厚葬等陈规陋俗，引导树立文明、健康、绿色殡葬新风尚。</w:t>
      </w:r>
    </w:p>
    <w:p w14:paraId="7B2ECC24">
      <w:pPr>
        <w:adjustRightInd w:val="0"/>
        <w:snapToGrid w:val="0"/>
        <w:spacing w:line="200" w:lineRule="exact"/>
        <w:ind w:firstLine="31680"/>
        <w:rPr>
          <w:color w:val="000000"/>
          <w:kern w:val="0"/>
          <w:szCs w:val="32"/>
        </w:rPr>
      </w:pPr>
    </w:p>
    <w:tbl>
      <w:tblPr>
        <w:tblStyle w:val="13"/>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7D1E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084" w:type="dxa"/>
          </w:tcPr>
          <w:p w14:paraId="6F9F91D5">
            <w:pPr>
              <w:pStyle w:val="12"/>
              <w:widowControl w:val="0"/>
              <w:snapToGrid w:val="0"/>
              <w:spacing w:before="0" w:beforeAutospacing="0" w:after="0" w:afterAutospacing="0" w:line="460" w:lineRule="exact"/>
              <w:ind w:firstLine="560"/>
              <w:jc w:val="center"/>
              <w:rPr>
                <w:rFonts w:ascii="Times New Roman" w:eastAsia="方正仿宋简体" w:cs="Times New Roman"/>
                <w:sz w:val="32"/>
                <w:szCs w:val="32"/>
              </w:rPr>
            </w:pPr>
            <w:r>
              <w:rPr>
                <w:rFonts w:hint="eastAsia" w:ascii="Times New Roman" w:eastAsia="方正仿宋简体" w:cs="Times New Roman"/>
                <w:b/>
                <w:bCs/>
                <w:sz w:val="28"/>
                <w:szCs w:val="28"/>
              </w:rPr>
              <w:t>专栏</w:t>
            </w:r>
            <w:r>
              <w:rPr>
                <w:rFonts w:ascii="Times New Roman" w:eastAsia="方正仿宋简体" w:cs="Times New Roman"/>
                <w:b/>
                <w:bCs/>
                <w:sz w:val="28"/>
                <w:szCs w:val="28"/>
              </w:rPr>
              <w:t>10</w:t>
            </w:r>
            <w:r>
              <w:rPr>
                <w:rFonts w:hint="eastAsia" w:ascii="Times New Roman" w:eastAsia="方正仿宋简体" w:cs="Times New Roman"/>
                <w:b/>
                <w:bCs/>
                <w:sz w:val="28"/>
                <w:szCs w:val="28"/>
              </w:rPr>
              <w:t>：社会事务服务设施建设工程</w:t>
            </w:r>
          </w:p>
        </w:tc>
      </w:tr>
      <w:tr w14:paraId="67F3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9084" w:type="dxa"/>
          </w:tcPr>
          <w:p w14:paraId="6207E078">
            <w:pPr>
              <w:adjustRightInd w:val="0"/>
              <w:snapToGrid w:val="0"/>
              <w:spacing w:line="460" w:lineRule="exact"/>
              <w:ind w:firstLine="31680"/>
              <w:rPr>
                <w:rFonts w:eastAsia="方正仿宋简体"/>
                <w:b/>
                <w:bCs/>
                <w:color w:val="000000"/>
                <w:kern w:val="0"/>
                <w:sz w:val="24"/>
              </w:rPr>
            </w:pPr>
            <w:r>
              <w:rPr>
                <w:rFonts w:eastAsia="方正仿宋简体"/>
                <w:b/>
                <w:bCs/>
                <w:color w:val="000000"/>
                <w:kern w:val="0"/>
                <w:sz w:val="24"/>
                <w:szCs w:val="24"/>
              </w:rPr>
              <w:t>1.</w:t>
            </w:r>
            <w:r>
              <w:rPr>
                <w:rFonts w:hint="eastAsia" w:eastAsia="方正仿宋简体"/>
                <w:b/>
                <w:bCs/>
                <w:color w:val="000000"/>
                <w:kern w:val="0"/>
                <w:sz w:val="24"/>
                <w:szCs w:val="24"/>
              </w:rPr>
              <w:t>实现婚姻登记业务数字化：</w:t>
            </w:r>
            <w:r>
              <w:rPr>
                <w:rFonts w:hint="eastAsia" w:eastAsia="方正仿宋简体"/>
                <w:color w:val="000000"/>
                <w:sz w:val="24"/>
                <w:szCs w:val="24"/>
              </w:rPr>
              <w:t>广泛开展婚姻登记网上预约服务，全面推广高拍仪、人像采集、指纹采集、人脸识别等设备应用，推进婚姻登记电子证照生成、应用工作，实现婚姻登记业务一体化、智能化。</w:t>
            </w:r>
          </w:p>
          <w:p w14:paraId="5F0AB636">
            <w:pPr>
              <w:adjustRightInd w:val="0"/>
              <w:snapToGrid w:val="0"/>
              <w:spacing w:line="460" w:lineRule="exact"/>
              <w:ind w:firstLine="31680"/>
              <w:rPr>
                <w:rFonts w:eastAsia="方正仿宋简体"/>
                <w:color w:val="000000"/>
                <w:sz w:val="28"/>
                <w:szCs w:val="28"/>
              </w:rPr>
            </w:pPr>
            <w:r>
              <w:rPr>
                <w:rFonts w:eastAsia="方正仿宋简体"/>
                <w:b/>
                <w:bCs/>
                <w:color w:val="000000"/>
                <w:kern w:val="0"/>
                <w:sz w:val="24"/>
                <w:szCs w:val="24"/>
              </w:rPr>
              <w:t>2.</w:t>
            </w:r>
            <w:r>
              <w:rPr>
                <w:rFonts w:hint="eastAsia" w:eastAsia="方正仿宋简体"/>
                <w:b/>
                <w:bCs/>
                <w:color w:val="000000"/>
                <w:kern w:val="0"/>
                <w:sz w:val="24"/>
                <w:szCs w:val="24"/>
              </w:rPr>
              <w:t>县级殡葬服务设施项目：</w:t>
            </w:r>
            <w:r>
              <w:rPr>
                <w:rFonts w:hint="eastAsia" w:eastAsia="方正仿宋简体"/>
                <w:color w:val="000000"/>
                <w:kern w:val="0"/>
                <w:sz w:val="24"/>
                <w:szCs w:val="24"/>
              </w:rPr>
              <w:t>推动县（市、区）公益性骨灰安葬（放）设施，到</w:t>
            </w:r>
            <w:r>
              <w:rPr>
                <w:rFonts w:eastAsia="方正仿宋简体"/>
                <w:color w:val="000000"/>
                <w:kern w:val="0"/>
                <w:sz w:val="24"/>
                <w:szCs w:val="24"/>
              </w:rPr>
              <w:t>2025</w:t>
            </w:r>
            <w:r>
              <w:rPr>
                <w:rFonts w:hint="eastAsia" w:eastAsia="方正仿宋简体"/>
                <w:color w:val="000000"/>
                <w:kern w:val="0"/>
                <w:sz w:val="24"/>
                <w:szCs w:val="24"/>
              </w:rPr>
              <w:t>年底，实现更均衡覆盖。对已达危房标准、设施设备陈旧的县（市、区）殡仪馆实施改扩建。对已达到强制报废年限或不符合国家环保标准的火化设备进行更新改造。根据规划和需要，在现有公墓等安葬设施和适当场所为不保留骨灰者和遗体器官捐献者建设统一的纪念载体。</w:t>
            </w:r>
          </w:p>
        </w:tc>
      </w:tr>
    </w:tbl>
    <w:p w14:paraId="7F09A8D0">
      <w:pPr>
        <w:pStyle w:val="24"/>
        <w:widowControl w:val="0"/>
        <w:outlineLvl w:val="0"/>
        <w:rPr>
          <w:rFonts w:ascii="Times New Roman" w:hAnsi="Times New Roman"/>
          <w:color w:val="000000"/>
        </w:rPr>
      </w:pPr>
      <w:bookmarkStart w:id="122" w:name="_Toc12565"/>
      <w:bookmarkStart w:id="123" w:name="_Toc16853"/>
      <w:bookmarkStart w:id="124" w:name="_Toc16987"/>
      <w:bookmarkStart w:id="125" w:name="_Toc29590"/>
      <w:bookmarkStart w:id="126" w:name="_Toc5362"/>
    </w:p>
    <w:p w14:paraId="205401AC">
      <w:pPr>
        <w:widowControl/>
        <w:spacing w:line="240" w:lineRule="auto"/>
        <w:ind w:firstLine="0" w:firstLineChars="0"/>
        <w:jc w:val="left"/>
        <w:rPr>
          <w:rFonts w:eastAsia="黑体"/>
          <w:bCs/>
          <w:color w:val="000000"/>
          <w:szCs w:val="44"/>
        </w:rPr>
      </w:pPr>
      <w:r>
        <w:rPr>
          <w:color w:val="000000"/>
        </w:rPr>
        <w:br w:type="page"/>
      </w:r>
    </w:p>
    <w:p w14:paraId="4B88F62E">
      <w:pPr>
        <w:pStyle w:val="24"/>
        <w:widowControl w:val="0"/>
        <w:outlineLvl w:val="0"/>
        <w:rPr>
          <w:rFonts w:ascii="Times New Roman" w:hAnsi="Times New Roman" w:eastAsia="方正小标宋简体"/>
          <w:color w:val="000000"/>
          <w:sz w:val="44"/>
        </w:rPr>
      </w:pPr>
      <w:bookmarkStart w:id="127" w:name="_Toc10514"/>
      <w:bookmarkStart w:id="128" w:name="_Toc18756"/>
      <w:r>
        <w:rPr>
          <w:rFonts w:hint="eastAsia" w:ascii="Times New Roman" w:hAnsi="Times New Roman" w:eastAsia="方正小标宋简体"/>
          <w:color w:val="000000"/>
          <w:sz w:val="44"/>
        </w:rPr>
        <w:t>第五章　推动养老服务高质量发展</w:t>
      </w:r>
      <w:bookmarkEnd w:id="127"/>
      <w:bookmarkEnd w:id="128"/>
    </w:p>
    <w:p w14:paraId="478A1238">
      <w:pPr>
        <w:pStyle w:val="24"/>
        <w:widowControl w:val="0"/>
        <w:outlineLvl w:val="0"/>
        <w:rPr>
          <w:rFonts w:ascii="Times New Roman" w:hAnsi="Times New Roman"/>
          <w:color w:val="000000"/>
        </w:rPr>
      </w:pPr>
    </w:p>
    <w:p w14:paraId="45836964">
      <w:pPr>
        <w:ind w:firstLine="31680"/>
        <w:rPr>
          <w:color w:val="000000"/>
        </w:rPr>
      </w:pPr>
      <w:r>
        <w:rPr>
          <w:rFonts w:hint="eastAsia"/>
          <w:color w:val="000000"/>
        </w:rPr>
        <w:t>目前我市</w:t>
      </w:r>
      <w:r>
        <w:rPr>
          <w:color w:val="000000"/>
        </w:rPr>
        <w:t>60</w:t>
      </w:r>
      <w:r>
        <w:rPr>
          <w:rFonts w:hint="eastAsia"/>
          <w:color w:val="000000"/>
        </w:rPr>
        <w:t>周岁及以上户籍老年人口</w:t>
      </w:r>
      <w:r>
        <w:rPr>
          <w:color w:val="000000"/>
        </w:rPr>
        <w:t>111</w:t>
      </w:r>
      <w:r>
        <w:rPr>
          <w:rFonts w:hint="eastAsia"/>
          <w:color w:val="000000"/>
        </w:rPr>
        <w:t>多万人，占全市户籍人口总数的</w:t>
      </w:r>
      <w:r>
        <w:rPr>
          <w:color w:val="000000"/>
        </w:rPr>
        <w:t>14.6%</w:t>
      </w:r>
      <w:r>
        <w:rPr>
          <w:rFonts w:hint="eastAsia"/>
          <w:color w:val="000000"/>
        </w:rPr>
        <w:t>，预计</w:t>
      </w:r>
      <w:r>
        <w:rPr>
          <w:color w:val="000000"/>
        </w:rPr>
        <w:t>2025</w:t>
      </w:r>
      <w:r>
        <w:rPr>
          <w:rFonts w:hint="eastAsia"/>
          <w:color w:val="000000"/>
        </w:rPr>
        <w:t>年将达到</w:t>
      </w:r>
      <w:r>
        <w:rPr>
          <w:color w:val="000000"/>
        </w:rPr>
        <w:t>160</w:t>
      </w:r>
      <w:r>
        <w:rPr>
          <w:rFonts w:hint="eastAsia"/>
          <w:color w:val="000000"/>
        </w:rPr>
        <w:t>多万人，整体呈现基数大、增速快、高龄化特点，养老服务需求巨大，需要积极应对，有效满足老年人多样化、多层次养老服务需求。</w:t>
      </w:r>
    </w:p>
    <w:p w14:paraId="2840E033">
      <w:pPr>
        <w:ind w:firstLine="31680"/>
        <w:rPr>
          <w:rFonts w:eastAsia="方正黑体简体"/>
          <w:color w:val="000000"/>
        </w:rPr>
      </w:pPr>
    </w:p>
    <w:p w14:paraId="33D43EB1">
      <w:pPr>
        <w:pStyle w:val="25"/>
        <w:widowControl w:val="0"/>
        <w:outlineLvl w:val="1"/>
        <w:rPr>
          <w:rFonts w:eastAsia="方正黑体简体"/>
          <w:b w:val="0"/>
          <w:color w:val="000000"/>
        </w:rPr>
      </w:pPr>
      <w:bookmarkStart w:id="129" w:name="_Toc28656"/>
      <w:bookmarkStart w:id="130" w:name="_Toc12590"/>
      <w:r>
        <w:rPr>
          <w:rFonts w:hint="eastAsia" w:eastAsia="方正黑体简体"/>
          <w:b w:val="0"/>
          <w:color w:val="000000"/>
        </w:rPr>
        <w:t>第一节　加强养老服务保障</w:t>
      </w:r>
      <w:bookmarkEnd w:id="122"/>
      <w:bookmarkEnd w:id="123"/>
      <w:bookmarkEnd w:id="124"/>
      <w:bookmarkEnd w:id="125"/>
      <w:bookmarkEnd w:id="126"/>
      <w:bookmarkEnd w:id="129"/>
      <w:bookmarkEnd w:id="130"/>
    </w:p>
    <w:p w14:paraId="5E33DCE4">
      <w:pPr>
        <w:ind w:firstLine="31680"/>
        <w:rPr>
          <w:color w:val="000000"/>
        </w:rPr>
      </w:pPr>
    </w:p>
    <w:p w14:paraId="3391BDFF">
      <w:pPr>
        <w:adjustRightInd w:val="0"/>
        <w:snapToGrid w:val="0"/>
        <w:ind w:firstLine="31680"/>
        <w:rPr>
          <w:b/>
          <w:bCs/>
          <w:color w:val="000000"/>
          <w:szCs w:val="32"/>
        </w:rPr>
      </w:pPr>
      <w:r>
        <w:rPr>
          <w:rFonts w:hint="eastAsia"/>
          <w:b/>
          <w:bCs/>
          <w:color w:val="000000"/>
          <w:szCs w:val="32"/>
        </w:rPr>
        <w:t>加强基本养老服务。</w:t>
      </w:r>
      <w:r>
        <w:rPr>
          <w:rFonts w:hint="eastAsia"/>
          <w:color w:val="000000"/>
          <w:szCs w:val="32"/>
        </w:rPr>
        <w:t>建立基本养老服务清单，逐步丰富发展服务项目。完善经济困难的高龄、失能老年人补贴制度，因地制宜健全动态调整机制，提高补贴标准精准度和有效性，强化与残疾人两项补贴、社会救助等政策的衔接。推进城乡养老服务均等化，建立老年人综合能力评估体系，通过政府购买服务等方式，统一开展老年人能力评估，评估结果作为老年人获取补贴、接受基本养老服务的参考依据。</w:t>
      </w:r>
      <w:r>
        <w:rPr>
          <w:rFonts w:hint="eastAsia"/>
          <w:color w:val="000000"/>
        </w:rPr>
        <w:t>以</w:t>
      </w:r>
      <w:r>
        <w:rPr>
          <w:color w:val="000000"/>
        </w:rPr>
        <w:t>“7+1”</w:t>
      </w:r>
      <w:r>
        <w:rPr>
          <w:rFonts w:hint="eastAsia"/>
          <w:color w:val="000000"/>
        </w:rPr>
        <w:t>类（</w:t>
      </w:r>
      <w:r>
        <w:rPr>
          <w:color w:val="000000"/>
        </w:rPr>
        <w:t>“</w:t>
      </w:r>
      <w:r>
        <w:rPr>
          <w:rFonts w:hint="eastAsia"/>
          <w:color w:val="000000"/>
        </w:rPr>
        <w:t>特困供养人员、低保对象、建档立卡贫困户、重点优抚对象、计划生育特殊家庭成员、重度残疾人和农村三留守</w:t>
      </w:r>
      <w:r>
        <w:rPr>
          <w:color w:val="000000"/>
        </w:rPr>
        <w:t>”</w:t>
      </w:r>
      <w:r>
        <w:rPr>
          <w:rFonts w:hint="eastAsia"/>
          <w:color w:val="000000"/>
        </w:rPr>
        <w:t>中的老年人和</w:t>
      </w:r>
      <w:r>
        <w:rPr>
          <w:color w:val="000000"/>
        </w:rPr>
        <w:t>80</w:t>
      </w:r>
      <w:r>
        <w:rPr>
          <w:rFonts w:hint="eastAsia"/>
          <w:color w:val="000000"/>
        </w:rPr>
        <w:t>周岁以上老年人）为基数，按照每人每月不低于</w:t>
      </w:r>
      <w:r>
        <w:rPr>
          <w:color w:val="000000"/>
        </w:rPr>
        <w:t>20</w:t>
      </w:r>
      <w:r>
        <w:rPr>
          <w:rFonts w:hint="eastAsia"/>
          <w:color w:val="000000"/>
        </w:rPr>
        <w:t>元的标准，引入居家养老专业化服务组织，购买居家社区养老基础服务。</w:t>
      </w:r>
    </w:p>
    <w:p w14:paraId="58D9DB96">
      <w:pPr>
        <w:adjustRightInd w:val="0"/>
        <w:snapToGrid w:val="0"/>
        <w:ind w:firstLine="31680"/>
        <w:rPr>
          <w:color w:val="000000"/>
        </w:rPr>
      </w:pPr>
      <w:r>
        <w:rPr>
          <w:rFonts w:hint="eastAsia"/>
          <w:b/>
          <w:bCs/>
          <w:color w:val="000000"/>
          <w:szCs w:val="32"/>
        </w:rPr>
        <w:t>夯实兜底性养老服务。</w:t>
      </w:r>
      <w:r>
        <w:rPr>
          <w:rFonts w:hint="eastAsia"/>
          <w:color w:val="000000"/>
        </w:rPr>
        <w:t>做好城乡特困人员集中供养工作，提升特困人员供养服务设施（敬老院）集中供养和失能照护能力。根据经济社会发展水平，合理确定兜底性养老服务的对象、内容和标准，重点关注特困、低保、高龄、失能、重残、留守、空巢、独居、计划生育特殊家庭等困难老年人的特殊需求。全面建立并落实特殊困难老年人定期探访制度。到</w:t>
      </w:r>
      <w:r>
        <w:rPr>
          <w:color w:val="000000"/>
        </w:rPr>
        <w:t>2025</w:t>
      </w:r>
      <w:r>
        <w:rPr>
          <w:rFonts w:hint="eastAsia"/>
          <w:color w:val="000000"/>
        </w:rPr>
        <w:t>年，生活不能自理特困老人集中供养率达到</w:t>
      </w:r>
      <w:r>
        <w:rPr>
          <w:color w:val="000000"/>
        </w:rPr>
        <w:t>60%</w:t>
      </w:r>
      <w:r>
        <w:rPr>
          <w:rFonts w:hint="eastAsia"/>
          <w:color w:val="000000"/>
        </w:rPr>
        <w:t>。</w:t>
      </w:r>
    </w:p>
    <w:p w14:paraId="0061AA6A">
      <w:pPr>
        <w:adjustRightInd w:val="0"/>
        <w:snapToGrid w:val="0"/>
        <w:ind w:firstLine="31680"/>
        <w:rPr>
          <w:color w:val="000000"/>
          <w:szCs w:val="32"/>
        </w:rPr>
      </w:pPr>
      <w:r>
        <w:rPr>
          <w:rFonts w:hint="eastAsia" w:hAnsi="仿宋_GB2312"/>
          <w:b/>
          <w:bCs/>
          <w:color w:val="000000"/>
          <w:szCs w:val="32"/>
        </w:rPr>
        <w:t>完善多层次长期照护保障。</w:t>
      </w:r>
      <w:r>
        <w:rPr>
          <w:rFonts w:hint="eastAsia"/>
          <w:color w:val="000000"/>
          <w:szCs w:val="32"/>
        </w:rPr>
        <w:t>推动建立长期照护服务项目、标准、质量评价等行业规范。鼓励发展商业性长期照护保险产品，逐步建立老年人长期照护、康养结合、医养结合等综合养老保障计划，健全养老、康复、护理、医疗等服务保障体系。充分发挥社会救助、社会福利、慈善事业、商业保险有益补充作用，保障不同层面照护需求。</w:t>
      </w:r>
    </w:p>
    <w:p w14:paraId="171A0C31">
      <w:pPr>
        <w:adjustRightInd w:val="0"/>
        <w:snapToGrid w:val="0"/>
        <w:ind w:firstLine="31680"/>
        <w:rPr>
          <w:rFonts w:eastAsia="方正黑体简体"/>
          <w:color w:val="000000"/>
          <w:szCs w:val="32"/>
        </w:rPr>
      </w:pPr>
    </w:p>
    <w:p w14:paraId="4B608155">
      <w:pPr>
        <w:pStyle w:val="25"/>
        <w:widowControl w:val="0"/>
        <w:outlineLvl w:val="1"/>
        <w:rPr>
          <w:rFonts w:eastAsia="方正黑体简体"/>
          <w:b w:val="0"/>
          <w:color w:val="000000"/>
        </w:rPr>
      </w:pPr>
      <w:bookmarkStart w:id="131" w:name="_Toc21493"/>
      <w:bookmarkStart w:id="132" w:name="_Toc692"/>
      <w:bookmarkStart w:id="133" w:name="_Toc18684"/>
      <w:bookmarkStart w:id="134" w:name="_Toc32355"/>
      <w:bookmarkStart w:id="135" w:name="_Toc4799"/>
      <w:bookmarkStart w:id="136" w:name="_Toc26434"/>
      <w:bookmarkStart w:id="137" w:name="_Toc4202"/>
      <w:r>
        <w:rPr>
          <w:rFonts w:hint="eastAsia" w:eastAsia="方正黑体简体"/>
          <w:b w:val="0"/>
          <w:color w:val="000000"/>
        </w:rPr>
        <w:t>第二节　优化养老服务供给</w:t>
      </w:r>
      <w:bookmarkEnd w:id="131"/>
      <w:bookmarkEnd w:id="132"/>
      <w:bookmarkEnd w:id="133"/>
      <w:bookmarkEnd w:id="134"/>
      <w:bookmarkEnd w:id="135"/>
      <w:bookmarkEnd w:id="136"/>
      <w:bookmarkEnd w:id="137"/>
    </w:p>
    <w:p w14:paraId="10267B6E">
      <w:pPr>
        <w:ind w:firstLine="31680"/>
        <w:rPr>
          <w:color w:val="000000"/>
        </w:rPr>
      </w:pPr>
    </w:p>
    <w:p w14:paraId="253F8AC5">
      <w:pPr>
        <w:ind w:firstLine="31680"/>
        <w:rPr>
          <w:color w:val="000000"/>
          <w:szCs w:val="32"/>
        </w:rPr>
      </w:pPr>
      <w:r>
        <w:rPr>
          <w:rFonts w:hint="eastAsia"/>
          <w:b/>
          <w:bCs/>
          <w:color w:val="000000"/>
          <w:szCs w:val="32"/>
        </w:rPr>
        <w:t>完善居家养老支持措施。</w:t>
      </w:r>
      <w:r>
        <w:rPr>
          <w:rFonts w:hint="eastAsia"/>
          <w:color w:val="000000"/>
          <w:szCs w:val="32"/>
        </w:rPr>
        <w:t>推动各地普遍建立家庭养老支持政策，支持具备条件的各类服务机构承接运营社区养老服务设施，积极发展</w:t>
      </w:r>
      <w:r>
        <w:rPr>
          <w:color w:val="000000"/>
          <w:szCs w:val="32"/>
        </w:rPr>
        <w:t>“</w:t>
      </w:r>
      <w:r>
        <w:rPr>
          <w:rFonts w:hint="eastAsia"/>
          <w:color w:val="000000"/>
          <w:szCs w:val="32"/>
        </w:rPr>
        <w:t>家庭养老床位</w:t>
      </w:r>
      <w:r>
        <w:rPr>
          <w:color w:val="000000"/>
          <w:szCs w:val="32"/>
        </w:rPr>
        <w:t>”</w:t>
      </w:r>
      <w:r>
        <w:rPr>
          <w:rFonts w:hint="eastAsia"/>
          <w:color w:val="000000"/>
          <w:szCs w:val="32"/>
        </w:rPr>
        <w:t>，不断健全发展、建设、运营和管理等政策。推动失能失智和高龄老年人家庭照护者公益培训、困难老年人家庭适老化改造等工作，并纳入政府购买养老服务目录。探索</w:t>
      </w:r>
      <w:r>
        <w:rPr>
          <w:color w:val="000000"/>
          <w:szCs w:val="32"/>
        </w:rPr>
        <w:t>“</w:t>
      </w:r>
      <w:r>
        <w:rPr>
          <w:rFonts w:hint="eastAsia"/>
          <w:color w:val="000000"/>
          <w:szCs w:val="32"/>
        </w:rPr>
        <w:t>物业服务</w:t>
      </w:r>
      <w:r>
        <w:rPr>
          <w:color w:val="000000"/>
          <w:szCs w:val="32"/>
        </w:rPr>
        <w:t>+</w:t>
      </w:r>
      <w:r>
        <w:rPr>
          <w:rFonts w:hint="eastAsia"/>
          <w:color w:val="000000"/>
          <w:szCs w:val="32"/>
        </w:rPr>
        <w:t>养老服务</w:t>
      </w:r>
      <w:r>
        <w:rPr>
          <w:color w:val="000000"/>
          <w:szCs w:val="32"/>
        </w:rPr>
        <w:t>”</w:t>
      </w:r>
      <w:r>
        <w:rPr>
          <w:rFonts w:hint="eastAsia"/>
          <w:color w:val="000000"/>
          <w:szCs w:val="32"/>
        </w:rPr>
        <w:t>模式，支持有条件的地区探索开展</w:t>
      </w:r>
      <w:r>
        <w:rPr>
          <w:rFonts w:hint="eastAsia"/>
          <w:color w:val="000000"/>
          <w:spacing w:val="-10"/>
          <w:szCs w:val="32"/>
        </w:rPr>
        <w:t>失能失智老年人家庭照护者喘息服务，推动南安北部康养产业发展。</w:t>
      </w:r>
    </w:p>
    <w:p w14:paraId="50A17DFD">
      <w:pPr>
        <w:ind w:firstLine="31680"/>
        <w:rPr>
          <w:color w:val="000000"/>
        </w:rPr>
      </w:pPr>
      <w:r>
        <w:rPr>
          <w:rFonts w:hint="eastAsia"/>
          <w:b/>
          <w:bCs/>
          <w:color w:val="000000"/>
          <w:szCs w:val="32"/>
        </w:rPr>
        <w:t>优化社区养老服务设施布局。</w:t>
      </w:r>
      <w:r>
        <w:rPr>
          <w:rFonts w:hint="eastAsia"/>
          <w:color w:val="000000"/>
        </w:rPr>
        <w:t>推进网格化布局、标准化建设，在街道层面建设居家社区养老服务照料中心，在社区层面建设小型居家养老服务站点，连点成线、连线成面，着力补齐设施欠账。大力推进新建城区、新建居住（小）区按标准配套建设社区养老服务设施，配建设施达标率达到</w:t>
      </w:r>
      <w:r>
        <w:rPr>
          <w:color w:val="000000"/>
        </w:rPr>
        <w:t>100%</w:t>
      </w:r>
      <w:r>
        <w:rPr>
          <w:rFonts w:hint="eastAsia"/>
          <w:color w:val="000000"/>
        </w:rPr>
        <w:t>；推进老旧城区和已建居住（小）区基本补齐社区养老服务设施，新建城区和住宅区按照每百户不少于</w:t>
      </w:r>
      <w:r>
        <w:rPr>
          <w:color w:val="000000"/>
        </w:rPr>
        <w:t>20</w:t>
      </w:r>
      <w:r>
        <w:rPr>
          <w:rFonts w:hint="eastAsia"/>
          <w:color w:val="000000"/>
        </w:rPr>
        <w:t>平方米的标准（不足百户的按百户计算）配套建设养老服务设施。加强社区养老服务设施使用管理，支持将社区养老服务设施低偿或无偿用于普惠型养老服务。</w:t>
      </w:r>
    </w:p>
    <w:p w14:paraId="071B911D">
      <w:pPr>
        <w:ind w:firstLine="31680"/>
        <w:rPr>
          <w:color w:val="000000"/>
        </w:rPr>
      </w:pPr>
      <w:r>
        <w:rPr>
          <w:rFonts w:hint="eastAsia"/>
          <w:b/>
          <w:bCs/>
          <w:color w:val="000000"/>
        </w:rPr>
        <w:t>发展</w:t>
      </w:r>
      <w:r>
        <w:rPr>
          <w:b/>
          <w:bCs/>
          <w:color w:val="000000"/>
        </w:rPr>
        <w:t>“</w:t>
      </w:r>
      <w:r>
        <w:rPr>
          <w:rFonts w:hint="eastAsia"/>
          <w:b/>
          <w:bCs/>
          <w:color w:val="000000"/>
        </w:rPr>
        <w:t>全龄化</w:t>
      </w:r>
      <w:r>
        <w:rPr>
          <w:b/>
          <w:bCs/>
          <w:color w:val="000000"/>
        </w:rPr>
        <w:t>”</w:t>
      </w:r>
      <w:r>
        <w:rPr>
          <w:rFonts w:hint="eastAsia"/>
          <w:b/>
          <w:bCs/>
          <w:color w:val="000000"/>
        </w:rPr>
        <w:t>社区家园模式。</w:t>
      </w:r>
      <w:r>
        <w:rPr>
          <w:rFonts w:hint="eastAsia"/>
          <w:color w:val="000000"/>
        </w:rPr>
        <w:t>鼓励各地建设兼具全日托养、日间照料、上门服务、区域协调指导等综合功能的社区嵌入式养老服务中心，推进发展居家社区机构相协调的</w:t>
      </w:r>
      <w:r>
        <w:rPr>
          <w:color w:val="000000"/>
        </w:rPr>
        <w:t>“</w:t>
      </w:r>
      <w:r>
        <w:rPr>
          <w:rFonts w:hint="eastAsia"/>
          <w:color w:val="000000"/>
        </w:rPr>
        <w:t>全龄化</w:t>
      </w:r>
      <w:r>
        <w:rPr>
          <w:color w:val="000000"/>
        </w:rPr>
        <w:t>”</w:t>
      </w:r>
      <w:r>
        <w:rPr>
          <w:rFonts w:hint="eastAsia"/>
          <w:color w:val="000000"/>
        </w:rPr>
        <w:t>社区养老模式，让老年人在不离开熟悉社区的前提下享受专业化养老服务。细化居家社区养老服务内容，规范政府购买服务，促进信息化建设，健全居家社区养老专业化服务组织准入和退出机制，完善服务监管和评估体系等。</w:t>
      </w:r>
    </w:p>
    <w:p w14:paraId="0A684A4A">
      <w:pPr>
        <w:ind w:firstLine="31680"/>
        <w:rPr>
          <w:color w:val="000000"/>
          <w:spacing w:val="-10"/>
          <w:shd w:val="clear" w:color="auto" w:fill="FFFFFF"/>
        </w:rPr>
      </w:pPr>
      <w:r>
        <w:rPr>
          <w:rFonts w:hint="eastAsia"/>
          <w:b/>
          <w:bCs/>
          <w:color w:val="000000"/>
        </w:rPr>
        <w:t>推进多层次养老机构建设。</w:t>
      </w:r>
      <w:r>
        <w:rPr>
          <w:rFonts w:hint="eastAsia"/>
          <w:color w:val="000000"/>
          <w:shd w:val="clear" w:color="auto" w:fill="FFFFFF"/>
        </w:rPr>
        <w:t>深</w:t>
      </w:r>
      <w:r>
        <w:rPr>
          <w:rFonts w:hint="eastAsia"/>
          <w:color w:val="000000"/>
          <w:spacing w:val="-10"/>
          <w:shd w:val="clear" w:color="auto" w:fill="FFFFFF"/>
        </w:rPr>
        <w:t>化公办养老机构改革，坚持公办养老机构的公益属性。</w:t>
      </w:r>
      <w:r>
        <w:rPr>
          <w:rFonts w:hint="eastAsia"/>
          <w:color w:val="000000"/>
        </w:rPr>
        <w:t>优化城乡养老机构床位结构，提高护理型床位占比，到</w:t>
      </w:r>
      <w:r>
        <w:rPr>
          <w:color w:val="000000"/>
        </w:rPr>
        <w:t>2025</w:t>
      </w:r>
      <w:r>
        <w:rPr>
          <w:rFonts w:hint="eastAsia"/>
          <w:color w:val="000000"/>
        </w:rPr>
        <w:t>年，新增各类养老床位不少于</w:t>
      </w:r>
      <w:r>
        <w:rPr>
          <w:color w:val="000000"/>
        </w:rPr>
        <w:t>5000</w:t>
      </w:r>
      <w:r>
        <w:rPr>
          <w:rFonts w:hint="eastAsia"/>
          <w:color w:val="000000"/>
        </w:rPr>
        <w:t>张，全市养老机构护理型床位占比超过</w:t>
      </w:r>
      <w:r>
        <w:rPr>
          <w:color w:val="000000"/>
        </w:rPr>
        <w:t>60%</w:t>
      </w:r>
      <w:r>
        <w:rPr>
          <w:rFonts w:hint="eastAsia"/>
          <w:color w:val="000000"/>
        </w:rPr>
        <w:t>，每千名老年人拥有养老机构护理型床位达到</w:t>
      </w:r>
      <w:r>
        <w:rPr>
          <w:color w:val="000000"/>
        </w:rPr>
        <w:t>12</w:t>
      </w:r>
      <w:r>
        <w:rPr>
          <w:rFonts w:hint="eastAsia"/>
          <w:color w:val="000000"/>
        </w:rPr>
        <w:t>张。聚焦高龄及失能失智老年人长期照护服务的刚性需求，支持每个县（市、区）建设</w:t>
      </w:r>
      <w:r>
        <w:rPr>
          <w:color w:val="000000"/>
        </w:rPr>
        <w:t>1</w:t>
      </w:r>
      <w:r>
        <w:rPr>
          <w:rFonts w:hint="eastAsia"/>
          <w:color w:val="000000"/>
        </w:rPr>
        <w:t>所老年人养护院，服务高龄及失能失智、残疾等老年人群体。</w:t>
      </w:r>
      <w:r>
        <w:rPr>
          <w:rFonts w:hint="eastAsia"/>
          <w:color w:val="000000"/>
          <w:spacing w:val="-10"/>
          <w:shd w:val="clear" w:color="auto" w:fill="FFFFFF"/>
        </w:rPr>
        <w:t>引导养老机构依托新兴技术手段，构建</w:t>
      </w:r>
      <w:r>
        <w:rPr>
          <w:color w:val="000000"/>
          <w:spacing w:val="-10"/>
          <w:shd w:val="clear" w:color="auto" w:fill="FFFFFF"/>
        </w:rPr>
        <w:t>“</w:t>
      </w:r>
      <w:r>
        <w:rPr>
          <w:rFonts w:hint="eastAsia"/>
          <w:color w:val="000000"/>
          <w:spacing w:val="-10"/>
          <w:shd w:val="clear" w:color="auto" w:fill="FFFFFF"/>
        </w:rPr>
        <w:t>互联网</w:t>
      </w:r>
      <w:r>
        <w:rPr>
          <w:color w:val="000000"/>
          <w:spacing w:val="-10"/>
          <w:shd w:val="clear" w:color="auto" w:fill="FFFFFF"/>
        </w:rPr>
        <w:t>+</w:t>
      </w:r>
      <w:r>
        <w:rPr>
          <w:rFonts w:hint="eastAsia"/>
          <w:color w:val="000000"/>
          <w:spacing w:val="-10"/>
          <w:shd w:val="clear" w:color="auto" w:fill="FFFFFF"/>
        </w:rPr>
        <w:t>养老服务</w:t>
      </w:r>
      <w:r>
        <w:rPr>
          <w:color w:val="000000"/>
          <w:spacing w:val="-10"/>
          <w:shd w:val="clear" w:color="auto" w:fill="FFFFFF"/>
        </w:rPr>
        <w:t>”</w:t>
      </w:r>
      <w:r>
        <w:rPr>
          <w:rFonts w:hint="eastAsia"/>
          <w:color w:val="000000"/>
          <w:spacing w:val="-10"/>
          <w:shd w:val="clear" w:color="auto" w:fill="FFFFFF"/>
        </w:rPr>
        <w:t>和智慧养老模式。鼓励养老机构向家庭提供生活照护、康复护理、精神慰藉、紧急救援等专业服务。</w:t>
      </w:r>
      <w:r>
        <w:rPr>
          <w:rFonts w:hint="eastAsia"/>
          <w:color w:val="000000"/>
        </w:rPr>
        <w:t>鼓励农村集体建设用地优先用于发展养老服务，逐步提高民办养老机构一次性开办补助、床位运营补贴水平</w:t>
      </w:r>
      <w:r>
        <w:rPr>
          <w:rFonts w:hint="eastAsia"/>
          <w:color w:val="000000"/>
          <w:spacing w:val="-10"/>
          <w:shd w:val="clear" w:color="auto" w:fill="FFFFFF"/>
        </w:rPr>
        <w:t>。积极引导社会力量打造综合型养老社区、医养结合型养护中心，发展健康养老、生态养老、旅居养老、文化养老等新型养老模式。</w:t>
      </w:r>
    </w:p>
    <w:p w14:paraId="297C1BB2">
      <w:pPr>
        <w:ind w:firstLine="31680"/>
        <w:rPr>
          <w:color w:val="000000"/>
          <w:szCs w:val="32"/>
        </w:rPr>
      </w:pPr>
      <w:r>
        <w:rPr>
          <w:rFonts w:hint="eastAsia"/>
          <w:b/>
          <w:bCs/>
          <w:color w:val="000000"/>
          <w:szCs w:val="32"/>
        </w:rPr>
        <w:t>有效拓展农村养老服务。</w:t>
      </w:r>
      <w:r>
        <w:rPr>
          <w:rFonts w:hint="eastAsia"/>
          <w:color w:val="000000"/>
          <w:szCs w:val="32"/>
        </w:rPr>
        <w:t>推</w:t>
      </w:r>
      <w:r>
        <w:rPr>
          <w:rFonts w:hint="eastAsia"/>
          <w:color w:val="000000"/>
          <w:spacing w:val="-8"/>
          <w:szCs w:val="32"/>
        </w:rPr>
        <w:t>动农村养老服务设施建设纳入乡村振兴战略重要内容，加强与新农村建设、农村危房改造等政策衔接。继续推进乡镇敬老院转型升级，整合乡镇片区资源，打造农村区域性养老服务中心，增加照护型床位，开辟失能老人、残疾老人照护单元。</w:t>
      </w:r>
      <w:r>
        <w:rPr>
          <w:rFonts w:hint="eastAsia"/>
          <w:color w:val="000000"/>
        </w:rPr>
        <w:t>到</w:t>
      </w:r>
      <w:r>
        <w:rPr>
          <w:color w:val="000000"/>
        </w:rPr>
        <w:t>2025</w:t>
      </w:r>
      <w:r>
        <w:rPr>
          <w:rFonts w:hint="eastAsia"/>
          <w:color w:val="000000"/>
        </w:rPr>
        <w:t>年底，</w:t>
      </w:r>
      <w:r>
        <w:rPr>
          <w:color w:val="000000"/>
        </w:rPr>
        <w:t>5</w:t>
      </w:r>
      <w:r>
        <w:rPr>
          <w:rFonts w:hint="eastAsia"/>
          <w:color w:val="000000"/>
        </w:rPr>
        <w:t>年内完成乡镇敬老院转型升级为区域性养老服务中心</w:t>
      </w:r>
      <w:r>
        <w:rPr>
          <w:color w:val="000000"/>
        </w:rPr>
        <w:t>25</w:t>
      </w:r>
      <w:r>
        <w:rPr>
          <w:rFonts w:hint="eastAsia"/>
          <w:color w:val="000000"/>
        </w:rPr>
        <w:t>所以上，每个县（市、区）至少建设区域性养老服务中心</w:t>
      </w:r>
      <w:r>
        <w:rPr>
          <w:color w:val="000000"/>
        </w:rPr>
        <w:t>1~2</w:t>
      </w:r>
      <w:r>
        <w:rPr>
          <w:rFonts w:hint="eastAsia"/>
          <w:color w:val="000000"/>
        </w:rPr>
        <w:t>所。</w:t>
      </w:r>
      <w:r>
        <w:rPr>
          <w:rFonts w:hint="eastAsia"/>
          <w:color w:val="000000"/>
          <w:szCs w:val="32"/>
        </w:rPr>
        <w:t>优先保障生活不能自理</w:t>
      </w:r>
      <w:r>
        <w:rPr>
          <w:rFonts w:hint="eastAsia"/>
          <w:color w:val="000000"/>
          <w:szCs w:val="32"/>
          <w:shd w:val="clear" w:color="auto" w:fill="FFFFFF"/>
        </w:rPr>
        <w:t>特困人员集中供养，确保有集中供养意愿的特困人员全部落实集中供养。</w:t>
      </w:r>
      <w:r>
        <w:rPr>
          <w:rFonts w:hint="eastAsia"/>
          <w:color w:val="000000"/>
          <w:szCs w:val="32"/>
        </w:rPr>
        <w:t>广泛发展互助式养老服务。探索建立符合农村实际、适应农村养老服务发展的运行机制，实现</w:t>
      </w:r>
      <w:r>
        <w:rPr>
          <w:color w:val="000000"/>
          <w:szCs w:val="32"/>
        </w:rPr>
        <w:t>“</w:t>
      </w:r>
      <w:r>
        <w:rPr>
          <w:rFonts w:hint="eastAsia"/>
          <w:color w:val="000000"/>
          <w:szCs w:val="32"/>
        </w:rPr>
        <w:t>有人管事、有钱办事、有章理事</w:t>
      </w:r>
      <w:r>
        <w:rPr>
          <w:color w:val="000000"/>
          <w:szCs w:val="32"/>
        </w:rPr>
        <w:t>”</w:t>
      </w:r>
      <w:r>
        <w:rPr>
          <w:rFonts w:hint="eastAsia"/>
          <w:color w:val="000000"/>
          <w:szCs w:val="32"/>
        </w:rPr>
        <w:t>。全面建立农村留守老人关爱服务工作机制和基本制度，逐步健全养老服务关爱体系。</w:t>
      </w:r>
    </w:p>
    <w:p w14:paraId="2D316546">
      <w:pPr>
        <w:spacing w:line="550" w:lineRule="exact"/>
        <w:ind w:firstLine="31680"/>
        <w:rPr>
          <w:color w:val="000000"/>
          <w:szCs w:val="32"/>
        </w:rPr>
      </w:pPr>
      <w:r>
        <w:rPr>
          <w:rFonts w:hint="eastAsia" w:hAnsi="仿宋_GB2312"/>
          <w:b/>
          <w:bCs/>
          <w:color w:val="000000"/>
          <w:szCs w:val="32"/>
        </w:rPr>
        <w:t>推进养老服务适度普惠。</w:t>
      </w:r>
      <w:r>
        <w:rPr>
          <w:rFonts w:hint="eastAsia" w:hAnsi="仿宋_GB2312"/>
          <w:color w:val="000000"/>
          <w:szCs w:val="32"/>
        </w:rPr>
        <w:t>大力发展普惠养老服务，为中低收入家庭老年人提供价格适中、方便可及、质量可靠的养老服务。吸引更多社会力量参与开展普惠养老服务，推动各级党政机关和国有企事业单位培训疗养机构转型为养老服务设施，并支持其可持续发展。支持国有经济加大对养老服务的投入，积极培育发展以普惠型养老服务等为主责主业的公共服务功能国有企业。</w:t>
      </w:r>
    </w:p>
    <w:p w14:paraId="1EA0CC97">
      <w:pPr>
        <w:spacing w:line="550" w:lineRule="exact"/>
        <w:ind w:firstLine="31680"/>
        <w:rPr>
          <w:color w:val="000000"/>
          <w:spacing w:val="-8"/>
          <w:szCs w:val="32"/>
        </w:rPr>
      </w:pPr>
      <w:r>
        <w:rPr>
          <w:rFonts w:hint="eastAsia"/>
          <w:b/>
          <w:bCs/>
          <w:color w:val="000000"/>
          <w:szCs w:val="32"/>
        </w:rPr>
        <w:t>不断满足老年人精神文化</w:t>
      </w:r>
      <w:r>
        <w:rPr>
          <w:rFonts w:hint="eastAsia"/>
          <w:b/>
          <w:bCs/>
          <w:color w:val="000000"/>
          <w:spacing w:val="-8"/>
          <w:szCs w:val="32"/>
        </w:rPr>
        <w:t>需求。</w:t>
      </w:r>
      <w:r>
        <w:rPr>
          <w:rFonts w:hint="eastAsia"/>
          <w:color w:val="000000"/>
          <w:spacing w:val="-8"/>
          <w:szCs w:val="32"/>
        </w:rPr>
        <w:t>健全老年人精神关爱、心理疏导、危机干预服务网络，发挥家庭在养老服务中的基础性作用，加强对老年人的情感关怀和心理沟通。鼓励城乡社区为老年人精神关爱提供活动场地、工作条件等支持。支持办好市、县两级老年大学和基层老年学校，推动老年教育高质量发展。支持养老机构设立老年大学分校，开展老年教育。依托幸福院、照料中心等组织老年人开展文化娱乐、学习教育、体育健身等活动。发挥报刊、广播电视、网站、微信、微博、手机客户端等媒体作用，深入开展养老服务相关法规、政策宣传，弘扬孝亲敬老传统美德，在全社会营造尊老、爱老、敬老、孝老的良好氛围。</w:t>
      </w:r>
    </w:p>
    <w:p w14:paraId="6C6789E5">
      <w:pPr>
        <w:spacing w:line="550" w:lineRule="exact"/>
        <w:ind w:firstLine="31680"/>
        <w:rPr>
          <w:color w:val="000000"/>
          <w:spacing w:val="-8"/>
          <w:szCs w:val="32"/>
        </w:rPr>
      </w:pPr>
    </w:p>
    <w:p w14:paraId="5D8700CD">
      <w:pPr>
        <w:pStyle w:val="25"/>
        <w:widowControl w:val="0"/>
        <w:spacing w:line="550" w:lineRule="exact"/>
        <w:outlineLvl w:val="1"/>
        <w:rPr>
          <w:rFonts w:eastAsia="方正黑体简体"/>
          <w:b w:val="0"/>
          <w:color w:val="000000"/>
        </w:rPr>
      </w:pPr>
      <w:bookmarkStart w:id="138" w:name="_Toc12143"/>
      <w:bookmarkStart w:id="139" w:name="_Toc13308"/>
      <w:bookmarkStart w:id="140" w:name="_Toc2242"/>
      <w:bookmarkStart w:id="141" w:name="_Toc28584"/>
      <w:bookmarkStart w:id="142" w:name="_Toc29898"/>
      <w:bookmarkStart w:id="143" w:name="_Toc24385"/>
      <w:bookmarkStart w:id="144" w:name="_Toc5010"/>
      <w:r>
        <w:rPr>
          <w:rFonts w:hint="eastAsia" w:eastAsia="方正黑体简体"/>
          <w:b w:val="0"/>
          <w:color w:val="000000"/>
        </w:rPr>
        <w:t>第三节　提升养老服务质量</w:t>
      </w:r>
      <w:bookmarkEnd w:id="138"/>
      <w:bookmarkEnd w:id="139"/>
      <w:bookmarkEnd w:id="140"/>
      <w:bookmarkEnd w:id="141"/>
      <w:bookmarkEnd w:id="142"/>
      <w:bookmarkEnd w:id="143"/>
      <w:bookmarkEnd w:id="144"/>
    </w:p>
    <w:p w14:paraId="601FF25C">
      <w:pPr>
        <w:spacing w:line="550" w:lineRule="exact"/>
        <w:ind w:firstLine="31680"/>
        <w:rPr>
          <w:color w:val="000000"/>
        </w:rPr>
      </w:pPr>
    </w:p>
    <w:p w14:paraId="0AA62F54">
      <w:pPr>
        <w:spacing w:line="550" w:lineRule="exact"/>
        <w:ind w:firstLine="31680"/>
        <w:rPr>
          <w:color w:val="000000"/>
          <w:szCs w:val="32"/>
        </w:rPr>
      </w:pPr>
      <w:r>
        <w:rPr>
          <w:rFonts w:hint="eastAsia"/>
          <w:b/>
          <w:bCs/>
          <w:color w:val="000000"/>
          <w:szCs w:val="32"/>
        </w:rPr>
        <w:t>推进医养康养相结合。</w:t>
      </w:r>
      <w:r>
        <w:rPr>
          <w:rFonts w:hint="eastAsia"/>
          <w:color w:val="000000"/>
          <w:szCs w:val="32"/>
        </w:rPr>
        <w:t>推动社区养老服务设施与社区卫生服务站、护理站或其他医疗设施邻近设置。配合卫健、医保等部门推动医养结合，完善医养结合配套政策。支持各类养老服务机构与医疗卫生机构开展多种形式合作，为养老服务机构内老年人提供多样化、多层次的医疗卫生服务。对养老机构设置的医疗机构，符合条件的依申请按规定纳入基本医疗保险定点范围。鼓励建设养老与健康、养生、文化、休闲、度假相结合的康养项目，打造</w:t>
      </w:r>
      <w:r>
        <w:rPr>
          <w:rFonts w:hint="eastAsia"/>
          <w:color w:val="000000"/>
        </w:rPr>
        <w:t>不少于</w:t>
      </w:r>
      <w:r>
        <w:rPr>
          <w:color w:val="000000"/>
        </w:rPr>
        <w:t>1</w:t>
      </w:r>
      <w:r>
        <w:rPr>
          <w:rFonts w:hint="eastAsia"/>
          <w:color w:val="000000"/>
        </w:rPr>
        <w:t>个医养康养相结合的高端养老项目。</w:t>
      </w:r>
    </w:p>
    <w:p w14:paraId="5D17FF50">
      <w:pPr>
        <w:spacing w:line="550" w:lineRule="exact"/>
        <w:ind w:firstLine="31680"/>
        <w:rPr>
          <w:color w:val="000000"/>
        </w:rPr>
      </w:pPr>
      <w:r>
        <w:rPr>
          <w:rFonts w:hint="eastAsia"/>
          <w:b/>
          <w:bCs/>
          <w:color w:val="000000"/>
        </w:rPr>
        <w:t>加强养老人才队伍建设。</w:t>
      </w:r>
      <w:r>
        <w:rPr>
          <w:rFonts w:hint="eastAsia"/>
          <w:color w:val="000000"/>
        </w:rPr>
        <w:t>积极开发老龄人力资源，健全人才教育培训体系。推进养老服务相关专业教育体系建设，提高产教融合水平。实施职业技能提升行动，建立养老服务分级分类培训体系，加强实训基地建设，扩大培训范围，提高培训频次，力争培养培训养老护理员</w:t>
      </w:r>
      <w:r>
        <w:rPr>
          <w:color w:val="000000"/>
        </w:rPr>
        <w:t>1.5</w:t>
      </w:r>
      <w:r>
        <w:rPr>
          <w:rFonts w:hint="eastAsia"/>
          <w:color w:val="000000"/>
        </w:rPr>
        <w:t>万人次、养老院院长</w:t>
      </w:r>
      <w:r>
        <w:rPr>
          <w:color w:val="000000"/>
        </w:rPr>
        <w:t>250</w:t>
      </w:r>
      <w:r>
        <w:rPr>
          <w:rFonts w:hint="eastAsia"/>
          <w:color w:val="000000"/>
        </w:rPr>
        <w:t>人、专兼职老年社会工作者</w:t>
      </w:r>
      <w:r>
        <w:rPr>
          <w:color w:val="000000"/>
        </w:rPr>
        <w:t>500</w:t>
      </w:r>
      <w:r>
        <w:rPr>
          <w:rFonts w:hint="eastAsia"/>
          <w:color w:val="000000"/>
        </w:rPr>
        <w:t>人。支持有条件的县（市、区）制定入职补贴、免费培训和工龄补贴等优惠政策。举办养老护理员职业技能竞赛，开展养老护理员褒扬活动。将养老服务纳入政府购买社会工作服务项目，支持社会工作服务机构开展特色养老服务。推动实现每千名老年人、每百张养老床位配备</w:t>
      </w:r>
      <w:r>
        <w:rPr>
          <w:color w:val="000000"/>
        </w:rPr>
        <w:t>1</w:t>
      </w:r>
      <w:r>
        <w:rPr>
          <w:rFonts w:hint="eastAsia"/>
          <w:color w:val="000000"/>
        </w:rPr>
        <w:t>名社会工作者。</w:t>
      </w:r>
    </w:p>
    <w:p w14:paraId="2C873106">
      <w:pPr>
        <w:spacing w:line="550" w:lineRule="exact"/>
        <w:ind w:firstLine="31680"/>
        <w:rPr>
          <w:color w:val="000000"/>
        </w:rPr>
      </w:pPr>
      <w:r>
        <w:rPr>
          <w:rFonts w:hint="eastAsia"/>
          <w:b/>
          <w:bCs/>
          <w:color w:val="000000"/>
        </w:rPr>
        <w:t>强化养老服务综合监管。</w:t>
      </w:r>
      <w:r>
        <w:rPr>
          <w:rFonts w:hint="eastAsia"/>
          <w:color w:val="000000"/>
        </w:rPr>
        <w:t>按照</w:t>
      </w:r>
      <w:r>
        <w:rPr>
          <w:color w:val="000000"/>
        </w:rPr>
        <w:t>“</w:t>
      </w:r>
      <w:r>
        <w:rPr>
          <w:rFonts w:hint="eastAsia"/>
          <w:color w:val="000000"/>
        </w:rPr>
        <w:t>谁审批、谁监管；谁主管、谁监管</w:t>
      </w:r>
      <w:r>
        <w:rPr>
          <w:color w:val="000000"/>
        </w:rPr>
        <w:t>”</w:t>
      </w:r>
      <w:r>
        <w:rPr>
          <w:rFonts w:hint="eastAsia"/>
          <w:color w:val="000000"/>
        </w:rPr>
        <w:t>原则，建立职责明确、分工协作、科学有效的综合监管制度，建立跨部门综合监管体制。实行养老服务机构分类管理，逐步建立全覆盖、全方位、全过程的综合监管格局。加强公建民营养老服务机构监管，完善退出保障机制。加大</w:t>
      </w:r>
      <w:r>
        <w:rPr>
          <w:color w:val="000000"/>
        </w:rPr>
        <w:t>“</w:t>
      </w:r>
      <w:r>
        <w:rPr>
          <w:rFonts w:hint="eastAsia"/>
          <w:color w:val="000000"/>
        </w:rPr>
        <w:t>互联网</w:t>
      </w:r>
      <w:r>
        <w:rPr>
          <w:color w:val="000000"/>
        </w:rPr>
        <w:t>+”</w:t>
      </w:r>
      <w:r>
        <w:rPr>
          <w:rFonts w:hint="eastAsia"/>
          <w:color w:val="000000"/>
        </w:rPr>
        <w:t>监管的应用，加强民政与消防、食品安全、卫生等专业监管信息联动、共享，推动联合监管、联合执法、联合惩治。开展养老服务机构等级评定及服务质量日常监测，提升养老机构规范化水平。加强养老服务行业信用体系建设。对严重失信的养老服务机构和相关人员，依法严厉查处。</w:t>
      </w:r>
      <w:bookmarkStart w:id="249" w:name="_GoBack"/>
      <w:bookmarkEnd w:id="249"/>
    </w:p>
    <w:p w14:paraId="7CCF2DC2">
      <w:pPr>
        <w:spacing w:line="550" w:lineRule="exact"/>
        <w:ind w:firstLine="31680"/>
        <w:rPr>
          <w:color w:val="000000"/>
        </w:rPr>
      </w:pPr>
      <w:r>
        <w:rPr>
          <w:rFonts w:hint="eastAsia"/>
          <w:b/>
          <w:bCs/>
          <w:color w:val="000000"/>
        </w:rPr>
        <w:t>提升应急救援能力。</w:t>
      </w:r>
      <w:r>
        <w:rPr>
          <w:rFonts w:hint="eastAsia"/>
          <w:color w:val="000000"/>
        </w:rPr>
        <w:t>构建</w:t>
      </w:r>
      <w:r>
        <w:rPr>
          <w:color w:val="000000"/>
        </w:rPr>
        <w:t>“</w:t>
      </w:r>
      <w:r>
        <w:rPr>
          <w:rFonts w:hint="eastAsia"/>
          <w:color w:val="000000"/>
        </w:rPr>
        <w:t>分层分类、平战结合、高效协作</w:t>
      </w:r>
      <w:r>
        <w:rPr>
          <w:color w:val="000000"/>
        </w:rPr>
        <w:t>”</w:t>
      </w:r>
      <w:r>
        <w:rPr>
          <w:rFonts w:hint="eastAsia"/>
          <w:color w:val="000000"/>
        </w:rPr>
        <w:t>的养老服务应急救援体系。统筹疫情防控和应急救援要求，新建和改扩建养老服务配套设施，配备必要的防疫物资和应急设施设备。鼓励有条件的地方建立区域性养老应急救援中心，负责指导本区域养老服务应急救援体系建设。</w:t>
      </w:r>
    </w:p>
    <w:p w14:paraId="1EFB4780">
      <w:pPr>
        <w:spacing w:line="550" w:lineRule="exact"/>
        <w:ind w:firstLine="31680"/>
        <w:rPr>
          <w:color w:val="000000"/>
        </w:rPr>
      </w:pPr>
      <w:r>
        <w:rPr>
          <w:rFonts w:hint="eastAsia"/>
          <w:b/>
          <w:bCs/>
          <w:color w:val="000000"/>
        </w:rPr>
        <w:t>加强风险监测与防控。</w:t>
      </w:r>
      <w:r>
        <w:rPr>
          <w:rFonts w:hint="eastAsia"/>
          <w:color w:val="000000"/>
        </w:rPr>
        <w:t>建立健全养老服务安全风险分级管控和隐患排查治理的制度规范，实现养老服务机构安全风险自辨自控、隐患自查自治，提升安全生产整体防控能力。开展常态化防范非法集资、识骗防骗教育宣传，增强老年人群体识别防范能力。</w:t>
      </w:r>
    </w:p>
    <w:p w14:paraId="487E4FF5">
      <w:pPr>
        <w:spacing w:line="550" w:lineRule="exact"/>
        <w:ind w:firstLine="31680"/>
        <w:rPr>
          <w:color w:val="000000"/>
        </w:rPr>
      </w:pPr>
    </w:p>
    <w:p w14:paraId="7D2C33D3">
      <w:pPr>
        <w:pStyle w:val="25"/>
        <w:widowControl w:val="0"/>
        <w:spacing w:line="550" w:lineRule="exact"/>
        <w:outlineLvl w:val="1"/>
        <w:rPr>
          <w:rFonts w:eastAsia="方正黑体简体"/>
          <w:b w:val="0"/>
          <w:color w:val="000000"/>
        </w:rPr>
      </w:pPr>
      <w:bookmarkStart w:id="145" w:name="_Toc3124"/>
      <w:bookmarkStart w:id="146" w:name="_Toc29174"/>
      <w:bookmarkStart w:id="147" w:name="_Toc19626"/>
      <w:bookmarkStart w:id="148" w:name="_Toc8262"/>
      <w:bookmarkStart w:id="149" w:name="_Toc31711"/>
      <w:bookmarkStart w:id="150" w:name="_Toc21059"/>
      <w:bookmarkStart w:id="151" w:name="_Toc11529"/>
      <w:r>
        <w:rPr>
          <w:rFonts w:hint="eastAsia" w:eastAsia="方正黑体简体"/>
          <w:b w:val="0"/>
          <w:color w:val="000000"/>
        </w:rPr>
        <w:t>第四节　壮大养老服务产业</w:t>
      </w:r>
      <w:bookmarkEnd w:id="145"/>
      <w:bookmarkEnd w:id="146"/>
      <w:bookmarkEnd w:id="147"/>
      <w:bookmarkEnd w:id="148"/>
      <w:bookmarkEnd w:id="149"/>
      <w:bookmarkEnd w:id="150"/>
      <w:bookmarkEnd w:id="151"/>
    </w:p>
    <w:p w14:paraId="4A0253EE">
      <w:pPr>
        <w:spacing w:line="550" w:lineRule="exact"/>
        <w:ind w:firstLine="31680"/>
        <w:rPr>
          <w:color w:val="000000"/>
        </w:rPr>
      </w:pPr>
    </w:p>
    <w:p w14:paraId="787FF3AB">
      <w:pPr>
        <w:spacing w:line="550" w:lineRule="exact"/>
        <w:ind w:firstLine="31680"/>
        <w:rPr>
          <w:color w:val="000000"/>
          <w:u w:val="single"/>
        </w:rPr>
      </w:pPr>
      <w:r>
        <w:rPr>
          <w:rFonts w:hint="eastAsia"/>
          <w:b/>
          <w:bCs/>
          <w:color w:val="000000"/>
        </w:rPr>
        <w:t>积极引导社会力量参与。</w:t>
      </w:r>
      <w:r>
        <w:rPr>
          <w:rFonts w:hint="eastAsia"/>
          <w:color w:val="000000"/>
        </w:rPr>
        <w:t>鼓励支持各类市场主体参与养老服务业，推动养老事业和养老产业协同发展，增强多层次多样化供给能力，实现社会效益和经济效益相统一。大力发展民办养老机构，逐步形成以社会力量为主体的养老服务格局。支持养老服务机构规模化、连锁化发展，打造一批具有影响力和竞争力的养老服务商标品牌。培育壮大一批专业化服务组织，促进养老服务市场发展。积极培育养老服务行业组织，发挥行业协会推进养老服务业高质量发展的积极作用。</w:t>
      </w:r>
    </w:p>
    <w:p w14:paraId="19063CC2">
      <w:pPr>
        <w:spacing w:line="550" w:lineRule="exact"/>
        <w:ind w:firstLine="31680"/>
        <w:rPr>
          <w:color w:val="000000"/>
        </w:rPr>
      </w:pPr>
      <w:r>
        <w:rPr>
          <w:rFonts w:hint="eastAsia"/>
          <w:b/>
          <w:bCs/>
          <w:color w:val="000000"/>
        </w:rPr>
        <w:t>发展养老服务新业态。</w:t>
      </w:r>
      <w:r>
        <w:rPr>
          <w:rFonts w:hint="eastAsia"/>
          <w:color w:val="000000"/>
        </w:rPr>
        <w:t>发展银发经济，实施</w:t>
      </w:r>
      <w:r>
        <w:rPr>
          <w:color w:val="000000"/>
        </w:rPr>
        <w:t>“</w:t>
      </w:r>
      <w:r>
        <w:rPr>
          <w:rFonts w:hint="eastAsia"/>
          <w:color w:val="000000"/>
        </w:rPr>
        <w:t>养老服务</w:t>
      </w:r>
      <w:r>
        <w:rPr>
          <w:color w:val="000000"/>
        </w:rPr>
        <w:t>+</w:t>
      </w:r>
      <w:r>
        <w:rPr>
          <w:rFonts w:hint="eastAsia"/>
          <w:color w:val="000000"/>
        </w:rPr>
        <w:t>行业</w:t>
      </w:r>
      <w:r>
        <w:rPr>
          <w:color w:val="000000"/>
        </w:rPr>
        <w:t>”</w:t>
      </w:r>
      <w:r>
        <w:rPr>
          <w:rFonts w:hint="eastAsia"/>
          <w:color w:val="000000"/>
        </w:rPr>
        <w:t>行动，创新和丰富养老服务产业新模式与新业态，加强与田园旅游、红色文化、生态康养等资源相结合，拓展旅居养老、文化养老、健康养老、养生养老等新型消费领域。支持各地建设具有配餐、送餐功能的养老服务</w:t>
      </w:r>
      <w:r>
        <w:rPr>
          <w:color w:val="000000"/>
        </w:rPr>
        <w:t>“</w:t>
      </w:r>
      <w:r>
        <w:rPr>
          <w:rFonts w:hint="eastAsia"/>
          <w:color w:val="000000"/>
        </w:rPr>
        <w:t>中央厨房</w:t>
      </w:r>
      <w:r>
        <w:rPr>
          <w:color w:val="000000"/>
        </w:rPr>
        <w:t>”</w:t>
      </w:r>
      <w:r>
        <w:rPr>
          <w:rFonts w:hint="eastAsia"/>
          <w:color w:val="000000"/>
        </w:rPr>
        <w:t>，科学布局长者食堂和老年人助餐点，解决老年人就餐难题。每年新建</w:t>
      </w:r>
      <w:r>
        <w:rPr>
          <w:color w:val="000000"/>
        </w:rPr>
        <w:t>10</w:t>
      </w:r>
      <w:r>
        <w:rPr>
          <w:rFonts w:hint="eastAsia"/>
          <w:color w:val="000000"/>
        </w:rPr>
        <w:t>所以上长者食堂，同时依托现有养老服务设施建设不少于</w:t>
      </w:r>
      <w:r>
        <w:rPr>
          <w:color w:val="000000"/>
        </w:rPr>
        <w:t>10</w:t>
      </w:r>
      <w:r>
        <w:rPr>
          <w:rFonts w:hint="eastAsia"/>
          <w:color w:val="000000"/>
        </w:rPr>
        <w:t>处老年人助餐点。</w:t>
      </w:r>
    </w:p>
    <w:p w14:paraId="096A81C0">
      <w:pPr>
        <w:spacing w:line="550" w:lineRule="exact"/>
        <w:ind w:firstLine="31680"/>
        <w:rPr>
          <w:color w:val="000000"/>
        </w:rPr>
      </w:pPr>
      <w:r>
        <w:rPr>
          <w:rFonts w:hint="eastAsia"/>
          <w:b/>
          <w:bCs/>
          <w:color w:val="000000"/>
        </w:rPr>
        <w:t>促进</w:t>
      </w:r>
      <w:r>
        <w:rPr>
          <w:b/>
          <w:bCs/>
          <w:color w:val="000000"/>
        </w:rPr>
        <w:t>“</w:t>
      </w:r>
      <w:r>
        <w:rPr>
          <w:rFonts w:hint="eastAsia"/>
          <w:b/>
          <w:bCs/>
          <w:color w:val="000000"/>
        </w:rPr>
        <w:t>互联网</w:t>
      </w:r>
      <w:r>
        <w:rPr>
          <w:b/>
          <w:bCs/>
          <w:color w:val="000000"/>
        </w:rPr>
        <w:t>+”</w:t>
      </w:r>
      <w:r>
        <w:rPr>
          <w:rFonts w:hint="eastAsia"/>
          <w:b/>
          <w:bCs/>
          <w:color w:val="000000"/>
        </w:rPr>
        <w:t>养老服务业发展。</w:t>
      </w:r>
      <w:r>
        <w:rPr>
          <w:rFonts w:hint="eastAsia"/>
          <w:color w:val="000000"/>
          <w:spacing w:val="-12"/>
        </w:rPr>
        <w:t>依托全省养老服务综合信息平台，对接</w:t>
      </w:r>
      <w:r>
        <w:rPr>
          <w:color w:val="000000"/>
          <w:spacing w:val="-12"/>
        </w:rPr>
        <w:t>“</w:t>
      </w:r>
      <w:r>
        <w:rPr>
          <w:rFonts w:hint="eastAsia"/>
          <w:color w:val="000000"/>
          <w:spacing w:val="-12"/>
        </w:rPr>
        <w:t>金民工程</w:t>
      </w:r>
      <w:r>
        <w:rPr>
          <w:color w:val="000000"/>
          <w:spacing w:val="-12"/>
        </w:rPr>
        <w:t>”</w:t>
      </w:r>
      <w:r>
        <w:rPr>
          <w:rFonts w:hint="eastAsia"/>
          <w:color w:val="000000"/>
          <w:spacing w:val="-12"/>
        </w:rPr>
        <w:t>全国养老服务信息系统，建立养老服务机构信息联动机制。</w:t>
      </w:r>
      <w:r>
        <w:rPr>
          <w:rFonts w:hint="eastAsia"/>
          <w:color w:val="000000"/>
        </w:rPr>
        <w:t>整合利用互联网、移动终端、信息平台、公共服务等资源，推动养老领域公共数据开放共享，为老年人提供</w:t>
      </w:r>
      <w:r>
        <w:rPr>
          <w:color w:val="000000"/>
        </w:rPr>
        <w:t>“</w:t>
      </w:r>
      <w:r>
        <w:rPr>
          <w:rFonts w:hint="eastAsia"/>
          <w:color w:val="000000"/>
        </w:rPr>
        <w:t>点菜式</w:t>
      </w:r>
      <w:r>
        <w:rPr>
          <w:color w:val="000000"/>
        </w:rPr>
        <w:t>”</w:t>
      </w:r>
      <w:r>
        <w:rPr>
          <w:rFonts w:hint="eastAsia"/>
          <w:color w:val="000000"/>
        </w:rPr>
        <w:t>就近便捷养老服务。</w:t>
      </w:r>
    </w:p>
    <w:p w14:paraId="7079A28F">
      <w:pPr>
        <w:spacing w:line="200" w:lineRule="exact"/>
        <w:ind w:firstLine="31680"/>
        <w:rPr>
          <w:b/>
          <w:color w:val="000000"/>
        </w:rPr>
      </w:pPr>
    </w:p>
    <w:tbl>
      <w:tblPr>
        <w:tblStyle w:val="13"/>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1D75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084" w:type="dxa"/>
          </w:tcPr>
          <w:p w14:paraId="2B233197">
            <w:pPr>
              <w:pStyle w:val="12"/>
              <w:widowControl w:val="0"/>
              <w:snapToGrid w:val="0"/>
              <w:spacing w:before="0" w:beforeAutospacing="0" w:after="0" w:afterAutospacing="0" w:line="440" w:lineRule="exact"/>
              <w:ind w:firstLine="560"/>
              <w:jc w:val="center"/>
              <w:rPr>
                <w:rFonts w:ascii="Times New Roman" w:eastAsia="方正仿宋简体" w:cs="Times New Roman"/>
                <w:b/>
                <w:sz w:val="32"/>
                <w:szCs w:val="32"/>
              </w:rPr>
            </w:pPr>
            <w:r>
              <w:rPr>
                <w:rFonts w:hint="eastAsia" w:ascii="Times New Roman" w:eastAsia="方正仿宋简体" w:cs="Times New Roman"/>
                <w:b/>
                <w:kern w:val="2"/>
                <w:sz w:val="28"/>
                <w:szCs w:val="28"/>
              </w:rPr>
              <w:t>专栏</w:t>
            </w:r>
            <w:r>
              <w:rPr>
                <w:rFonts w:ascii="Times New Roman" w:eastAsia="方正仿宋简体" w:cs="Times New Roman"/>
                <w:b/>
                <w:kern w:val="2"/>
                <w:sz w:val="28"/>
                <w:szCs w:val="28"/>
              </w:rPr>
              <w:t>11</w:t>
            </w:r>
            <w:r>
              <w:rPr>
                <w:rFonts w:hint="eastAsia" w:ascii="Times New Roman" w:eastAsia="方正仿宋简体" w:cs="Times New Roman"/>
                <w:b/>
                <w:kern w:val="2"/>
                <w:sz w:val="28"/>
                <w:szCs w:val="28"/>
              </w:rPr>
              <w:t>：推进养老服务健康发展工程</w:t>
            </w:r>
          </w:p>
        </w:tc>
      </w:tr>
      <w:tr w14:paraId="3581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1" w:hRule="atLeast"/>
          <w:jc w:val="center"/>
        </w:trPr>
        <w:tc>
          <w:tcPr>
            <w:tcW w:w="9084" w:type="dxa"/>
          </w:tcPr>
          <w:p w14:paraId="7CCC3017">
            <w:pPr>
              <w:pStyle w:val="12"/>
              <w:widowControl w:val="0"/>
              <w:snapToGrid w:val="0"/>
              <w:spacing w:before="0" w:beforeAutospacing="0" w:after="0" w:afterAutospacing="0" w:line="440" w:lineRule="exact"/>
              <w:ind w:firstLine="482" w:firstLineChars="200"/>
              <w:rPr>
                <w:rFonts w:ascii="Times New Roman" w:eastAsia="方正仿宋简体" w:cs="Times New Roman"/>
              </w:rPr>
            </w:pPr>
            <w:r>
              <w:rPr>
                <w:rFonts w:ascii="Times New Roman" w:eastAsia="方正仿宋简体" w:cs="Times New Roman"/>
                <w:b/>
                <w:bCs/>
              </w:rPr>
              <w:t>1.</w:t>
            </w:r>
            <w:r>
              <w:rPr>
                <w:rFonts w:hint="eastAsia" w:ascii="Times New Roman" w:eastAsia="方正仿宋简体" w:cs="Times New Roman"/>
                <w:b/>
                <w:bCs/>
              </w:rPr>
              <w:t>特殊困难老年人家庭适老化改造：</w:t>
            </w:r>
            <w:r>
              <w:rPr>
                <w:rFonts w:hint="eastAsia" w:ascii="Times New Roman" w:eastAsia="方正仿宋简体" w:cs="Times New Roman"/>
              </w:rPr>
              <w:t>聚焦失能、残疾、高龄老年人需求，以施工改造、设施配备、辅具适配等形式，支持困难老年人实施家庭适老化改造。</w:t>
            </w:r>
          </w:p>
          <w:p w14:paraId="75B9AF27">
            <w:pPr>
              <w:pStyle w:val="12"/>
              <w:widowControl w:val="0"/>
              <w:snapToGrid w:val="0"/>
              <w:spacing w:before="0" w:beforeAutospacing="0" w:after="0" w:afterAutospacing="0" w:line="440" w:lineRule="exact"/>
              <w:ind w:firstLine="482" w:firstLineChars="200"/>
              <w:rPr>
                <w:rFonts w:ascii="Times New Roman" w:eastAsia="方正仿宋简体" w:cs="Times New Roman"/>
                <w:b/>
                <w:bCs/>
                <w:lang w:val="zh-CN"/>
              </w:rPr>
            </w:pPr>
            <w:r>
              <w:rPr>
                <w:rFonts w:ascii="Times New Roman" w:eastAsia="方正仿宋简体" w:cs="Times New Roman"/>
                <w:b/>
                <w:bCs/>
              </w:rPr>
              <w:t>2.</w:t>
            </w:r>
            <w:r>
              <w:rPr>
                <w:rFonts w:hint="eastAsia" w:ascii="Times New Roman" w:eastAsia="方正仿宋简体" w:cs="Times New Roman"/>
                <w:b/>
                <w:bCs/>
                <w:lang w:val="zh-CN"/>
              </w:rPr>
              <w:t>居家社区养老服务网络建设：</w:t>
            </w:r>
            <w:r>
              <w:rPr>
                <w:rFonts w:hint="eastAsia" w:ascii="Times New Roman" w:eastAsia="方正仿宋简体" w:cs="Times New Roman"/>
                <w:spacing w:val="-12"/>
              </w:rPr>
              <w:t>支持建设连锁化运营、标准化管理的示范性居家社区养老服务网络，形成街道层面区域养老服务中心和社区层面嵌入式养老服务机构衔接有序、功能互补的发展格局，为居家社区老年人提供失能护理、短期托养、心理慰藉等服务。</w:t>
            </w:r>
          </w:p>
          <w:p w14:paraId="25E9991E">
            <w:pPr>
              <w:pStyle w:val="12"/>
              <w:widowControl w:val="0"/>
              <w:snapToGrid w:val="0"/>
              <w:spacing w:before="0" w:beforeAutospacing="0" w:after="0" w:afterAutospacing="0" w:line="440" w:lineRule="exact"/>
              <w:ind w:firstLine="482" w:firstLineChars="200"/>
              <w:rPr>
                <w:rFonts w:ascii="Times New Roman" w:eastAsia="方正仿宋简体" w:cs="Times New Roman"/>
                <w:spacing w:val="-12"/>
              </w:rPr>
            </w:pPr>
            <w:r>
              <w:rPr>
                <w:rFonts w:ascii="Times New Roman" w:eastAsia="方正仿宋简体" w:cs="Times New Roman"/>
                <w:b/>
                <w:bCs/>
              </w:rPr>
              <w:t>3.</w:t>
            </w:r>
            <w:r>
              <w:rPr>
                <w:rFonts w:hint="eastAsia" w:ascii="Times New Roman" w:eastAsia="方正仿宋简体" w:cs="Times New Roman"/>
                <w:b/>
                <w:bCs/>
                <w:lang w:val="zh-CN"/>
              </w:rPr>
              <w:t>养老机构护理能力提升</w:t>
            </w:r>
            <w:r>
              <w:rPr>
                <w:rFonts w:ascii="Times New Roman" w:eastAsia="方正仿宋简体" w:cs="Times New Roman"/>
                <w:b/>
                <w:bCs/>
                <w:lang w:val="zh-CN"/>
              </w:rPr>
              <w:t>:</w:t>
            </w:r>
            <w:r>
              <w:rPr>
                <w:rFonts w:hint="eastAsia" w:ascii="Times New Roman" w:eastAsia="方正仿宋简体" w:cs="Times New Roman"/>
                <w:lang w:val="zh-CN"/>
              </w:rPr>
              <w:t>鼓</w:t>
            </w:r>
            <w:r>
              <w:rPr>
                <w:rFonts w:hint="eastAsia" w:ascii="Times New Roman" w:eastAsia="方正仿宋简体" w:cs="Times New Roman"/>
              </w:rPr>
              <w:t>励养老机构向社区提供居家上门、康复训练、助餐、培训支持等服务。支持县（市、区）优化养老机构的床位结构，提升护理型床位比例。到</w:t>
            </w:r>
            <w:r>
              <w:rPr>
                <w:rFonts w:ascii="Times New Roman" w:eastAsia="方正仿宋简体" w:cs="Times New Roman"/>
              </w:rPr>
              <w:t>2025</w:t>
            </w:r>
            <w:r>
              <w:rPr>
                <w:rFonts w:hint="eastAsia" w:ascii="Times New Roman" w:eastAsia="方正仿宋简体" w:cs="Times New Roman"/>
              </w:rPr>
              <w:t>年，全市护理型养老床位占比（护理型养老床位数量</w:t>
            </w:r>
            <w:r>
              <w:rPr>
                <w:rFonts w:ascii="Times New Roman" w:eastAsia="方正仿宋简体" w:cs="Times New Roman"/>
              </w:rPr>
              <w:t>/</w:t>
            </w:r>
            <w:r>
              <w:rPr>
                <w:rFonts w:hint="eastAsia" w:ascii="Times New Roman" w:eastAsia="方正仿宋简体" w:cs="Times New Roman"/>
              </w:rPr>
              <w:t>养老机构总床位数量）超过</w:t>
            </w:r>
            <w:r>
              <w:rPr>
                <w:rFonts w:ascii="Times New Roman" w:eastAsia="方正仿宋简体" w:cs="Times New Roman"/>
              </w:rPr>
              <w:t>60%</w:t>
            </w:r>
            <w:r>
              <w:rPr>
                <w:rFonts w:hint="eastAsia" w:ascii="Times New Roman" w:eastAsia="方正仿宋简体" w:cs="Times New Roman"/>
              </w:rPr>
              <w:t>。</w:t>
            </w:r>
          </w:p>
          <w:p w14:paraId="0E0FE08E">
            <w:pPr>
              <w:pStyle w:val="12"/>
              <w:widowControl w:val="0"/>
              <w:snapToGrid w:val="0"/>
              <w:spacing w:before="0" w:beforeAutospacing="0" w:after="0" w:afterAutospacing="0" w:line="440" w:lineRule="exact"/>
              <w:ind w:firstLine="482" w:firstLineChars="200"/>
              <w:rPr>
                <w:rFonts w:ascii="Times New Roman" w:eastAsia="方正仿宋简体" w:cs="Times New Roman"/>
              </w:rPr>
            </w:pPr>
            <w:r>
              <w:rPr>
                <w:rFonts w:ascii="Times New Roman" w:eastAsia="方正仿宋简体" w:cs="Times New Roman"/>
                <w:b/>
                <w:bCs/>
              </w:rPr>
              <w:t>4.</w:t>
            </w:r>
            <w:r>
              <w:rPr>
                <w:rFonts w:hint="eastAsia" w:ascii="Times New Roman" w:eastAsia="方正仿宋简体" w:cs="Times New Roman"/>
                <w:b/>
                <w:bCs/>
                <w:lang w:val="zh-CN"/>
              </w:rPr>
              <w:t>老年人养护院建设：</w:t>
            </w:r>
            <w:r>
              <w:rPr>
                <w:rFonts w:hint="eastAsia" w:ascii="Times New Roman" w:eastAsia="方正仿宋简体" w:cs="Times New Roman"/>
              </w:rPr>
              <w:t>指导推动地方政府建设老年人养护院，重点满足特困人员、经济困难的失能失智老年人、残疾老年人、计划生育特殊困难家庭老年人等照护服务需求。鼓励有条件的公办服务设施通过承包经营、委托运营、联合经营等方式，引入企业或社会服务机构参与运营管理。</w:t>
            </w:r>
          </w:p>
          <w:p w14:paraId="475F2A39">
            <w:pPr>
              <w:pStyle w:val="12"/>
              <w:widowControl w:val="0"/>
              <w:snapToGrid w:val="0"/>
              <w:spacing w:before="0" w:beforeAutospacing="0" w:after="0" w:afterAutospacing="0" w:line="440" w:lineRule="exact"/>
              <w:ind w:firstLine="482" w:firstLineChars="200"/>
              <w:rPr>
                <w:rFonts w:ascii="Times New Roman" w:eastAsia="方正仿宋简体" w:cs="Times New Roman"/>
              </w:rPr>
            </w:pPr>
            <w:r>
              <w:rPr>
                <w:rFonts w:ascii="Times New Roman" w:eastAsia="方正仿宋简体" w:cs="Times New Roman"/>
                <w:b/>
                <w:bCs/>
              </w:rPr>
              <w:t>5.</w:t>
            </w:r>
            <w:r>
              <w:rPr>
                <w:rFonts w:hint="eastAsia" w:ascii="Times New Roman" w:eastAsia="方正仿宋简体" w:cs="Times New Roman"/>
                <w:b/>
                <w:bCs/>
              </w:rPr>
              <w:t>促进农村养老服务提质升级：</w:t>
            </w:r>
            <w:r>
              <w:rPr>
                <w:rFonts w:hint="eastAsia" w:ascii="Times New Roman" w:eastAsia="方正仿宋简体" w:cs="Times New Roman"/>
              </w:rPr>
              <w:t>整合乡镇片区资源，推进乡镇敬老院转型升级，打造具备全托、日托、上门服务等综合功能的农村区域性养老服务中心；继续加强农村幸福院建设和运营管理，开展运营质量提升专项行动，提升服务水平。</w:t>
            </w:r>
          </w:p>
          <w:p w14:paraId="002E9B76">
            <w:pPr>
              <w:pStyle w:val="12"/>
              <w:widowControl w:val="0"/>
              <w:snapToGrid w:val="0"/>
              <w:spacing w:before="0" w:beforeAutospacing="0" w:after="0" w:afterAutospacing="0" w:line="440" w:lineRule="exact"/>
              <w:ind w:firstLine="482" w:firstLineChars="200"/>
              <w:rPr>
                <w:rFonts w:ascii="Times New Roman" w:eastAsia="方正仿宋简体" w:cs="Times New Roman"/>
              </w:rPr>
            </w:pPr>
            <w:r>
              <w:rPr>
                <w:rFonts w:ascii="Times New Roman" w:eastAsia="方正仿宋简体" w:cs="Times New Roman"/>
                <w:b/>
                <w:bCs/>
              </w:rPr>
              <w:t>6.</w:t>
            </w:r>
            <w:r>
              <w:rPr>
                <w:rFonts w:hint="eastAsia" w:ascii="Times New Roman" w:eastAsia="方正仿宋简体" w:cs="Times New Roman"/>
                <w:b/>
                <w:bCs/>
              </w:rPr>
              <w:t>长者食堂和老年人助餐点建设：</w:t>
            </w:r>
            <w:r>
              <w:rPr>
                <w:rFonts w:hint="eastAsia" w:ascii="Times New Roman" w:eastAsia="方正仿宋简体" w:cs="Times New Roman"/>
              </w:rPr>
              <w:t>每年新建</w:t>
            </w:r>
            <w:r>
              <w:rPr>
                <w:rFonts w:ascii="Times New Roman" w:eastAsia="方正仿宋简体" w:cs="Times New Roman"/>
              </w:rPr>
              <w:t>10</w:t>
            </w:r>
            <w:r>
              <w:rPr>
                <w:rFonts w:hint="eastAsia" w:ascii="Times New Roman" w:eastAsia="方正仿宋简体" w:cs="Times New Roman"/>
              </w:rPr>
              <w:t>所以上长者食堂，同时依托现有养老服务设施建设不少于</w:t>
            </w:r>
            <w:r>
              <w:rPr>
                <w:rFonts w:ascii="Times New Roman" w:eastAsia="方正仿宋简体" w:cs="Times New Roman"/>
              </w:rPr>
              <w:t>10</w:t>
            </w:r>
            <w:r>
              <w:rPr>
                <w:rFonts w:hint="eastAsia" w:ascii="Times New Roman" w:eastAsia="方正仿宋简体" w:cs="Times New Roman"/>
              </w:rPr>
              <w:t>处老年人助餐点。</w:t>
            </w:r>
          </w:p>
          <w:p w14:paraId="39BC326E">
            <w:pPr>
              <w:pStyle w:val="12"/>
              <w:widowControl w:val="0"/>
              <w:snapToGrid w:val="0"/>
              <w:spacing w:before="0" w:beforeAutospacing="0" w:after="0" w:afterAutospacing="0" w:line="440" w:lineRule="exact"/>
              <w:ind w:firstLine="482" w:firstLineChars="200"/>
              <w:rPr>
                <w:rFonts w:ascii="Times New Roman" w:eastAsia="方正仿宋简体" w:cs="Times New Roman"/>
              </w:rPr>
            </w:pPr>
            <w:r>
              <w:rPr>
                <w:rFonts w:ascii="Times New Roman" w:eastAsia="方正仿宋简体" w:cs="Times New Roman"/>
                <w:b/>
                <w:bCs/>
              </w:rPr>
              <w:t>7.</w:t>
            </w:r>
            <w:r>
              <w:rPr>
                <w:rFonts w:hint="eastAsia" w:ascii="Times New Roman" w:eastAsia="方正仿宋简体" w:cs="Times New Roman"/>
                <w:b/>
                <w:bCs/>
              </w:rPr>
              <w:t>医养康养高端养老项目建设：</w:t>
            </w:r>
            <w:r>
              <w:rPr>
                <w:rFonts w:hint="eastAsia" w:ascii="Times New Roman" w:eastAsia="方正仿宋简体" w:cs="Times New Roman"/>
              </w:rPr>
              <w:t>建设不少于</w:t>
            </w:r>
            <w:r>
              <w:rPr>
                <w:rFonts w:ascii="Times New Roman" w:eastAsia="方正仿宋简体" w:cs="Times New Roman"/>
              </w:rPr>
              <w:t>1</w:t>
            </w:r>
            <w:r>
              <w:rPr>
                <w:rFonts w:hint="eastAsia" w:ascii="Times New Roman" w:eastAsia="方正仿宋简体" w:cs="Times New Roman"/>
              </w:rPr>
              <w:t>个医养康养相结合的高端养老项目。</w:t>
            </w:r>
          </w:p>
          <w:p w14:paraId="4E3D4CB2">
            <w:pPr>
              <w:pStyle w:val="12"/>
              <w:widowControl w:val="0"/>
              <w:snapToGrid w:val="0"/>
              <w:spacing w:before="0" w:beforeAutospacing="0" w:after="0" w:afterAutospacing="0" w:line="440" w:lineRule="exact"/>
              <w:ind w:firstLine="482" w:firstLineChars="200"/>
              <w:rPr>
                <w:rFonts w:ascii="Times New Roman" w:eastAsia="方正仿宋简体" w:cs="Times New Roman"/>
                <w:strike/>
                <w:sz w:val="28"/>
                <w:szCs w:val="28"/>
              </w:rPr>
            </w:pPr>
            <w:r>
              <w:rPr>
                <w:rFonts w:ascii="Times New Roman" w:eastAsia="方正仿宋简体" w:cs="Times New Roman"/>
                <w:b/>
                <w:bCs/>
              </w:rPr>
              <w:t>8.</w:t>
            </w:r>
            <w:r>
              <w:rPr>
                <w:rFonts w:hint="eastAsia" w:ascii="Times New Roman" w:eastAsia="方正仿宋简体" w:cs="Times New Roman"/>
                <w:b/>
                <w:bCs/>
              </w:rPr>
              <w:t>应急救援能力提升：</w:t>
            </w:r>
            <w:r>
              <w:rPr>
                <w:rFonts w:hint="eastAsia" w:ascii="Times New Roman" w:eastAsia="方正仿宋简体" w:cs="Times New Roman"/>
              </w:rPr>
              <w:t>统筹疫情防控和应急救援要求，新建和改扩建若干具备综合应急救援能力的养老服务设施，配备必要的防疫物资和设施设备。推动具备条件的公办养老机构配备应急防护物资、隔离设施，建立完善应急预案，培养培训专业养老服务应急队伍，定期分类开展应急演练，加强应急能力建设。鼓励有条件的民办养老机构提升应急救援能力。</w:t>
            </w:r>
          </w:p>
        </w:tc>
      </w:tr>
    </w:tbl>
    <w:p w14:paraId="06CFF780">
      <w:pPr>
        <w:pStyle w:val="24"/>
        <w:widowControl w:val="0"/>
        <w:spacing w:line="540" w:lineRule="exact"/>
        <w:outlineLvl w:val="0"/>
        <w:rPr>
          <w:rFonts w:ascii="Times New Roman" w:hAnsi="Times New Roman"/>
          <w:color w:val="000000"/>
        </w:rPr>
      </w:pPr>
      <w:bookmarkStart w:id="152" w:name="_Toc23061"/>
      <w:bookmarkStart w:id="153" w:name="_Toc28519"/>
      <w:bookmarkStart w:id="154" w:name="_Toc5560"/>
      <w:bookmarkStart w:id="155" w:name="_Toc23463"/>
      <w:bookmarkStart w:id="156" w:name="_Toc16658"/>
    </w:p>
    <w:p w14:paraId="4022694A">
      <w:pPr>
        <w:widowControl/>
        <w:spacing w:line="240" w:lineRule="auto"/>
        <w:ind w:firstLine="0" w:firstLineChars="0"/>
        <w:jc w:val="left"/>
        <w:rPr>
          <w:rFonts w:eastAsia="黑体"/>
          <w:bCs/>
          <w:color w:val="000000"/>
          <w:szCs w:val="44"/>
        </w:rPr>
      </w:pPr>
      <w:r>
        <w:rPr>
          <w:color w:val="000000"/>
        </w:rPr>
        <w:br w:type="page"/>
      </w:r>
    </w:p>
    <w:p w14:paraId="73B81DAB">
      <w:pPr>
        <w:pStyle w:val="24"/>
        <w:widowControl w:val="0"/>
        <w:spacing w:line="540" w:lineRule="exact"/>
        <w:outlineLvl w:val="0"/>
        <w:rPr>
          <w:rFonts w:ascii="Times New Roman" w:hAnsi="Times New Roman" w:eastAsia="方正小标宋简体"/>
          <w:color w:val="000000"/>
          <w:sz w:val="44"/>
        </w:rPr>
      </w:pPr>
      <w:bookmarkStart w:id="157" w:name="_Toc10449"/>
      <w:bookmarkStart w:id="158" w:name="_Toc11757"/>
      <w:r>
        <w:rPr>
          <w:rFonts w:hint="eastAsia" w:ascii="Times New Roman" w:hAnsi="Times New Roman" w:eastAsia="方正小标宋简体"/>
          <w:color w:val="000000"/>
          <w:sz w:val="44"/>
        </w:rPr>
        <w:t>第六章　助推老区苏区振兴发展</w:t>
      </w:r>
      <w:bookmarkEnd w:id="152"/>
      <w:bookmarkEnd w:id="153"/>
      <w:bookmarkEnd w:id="154"/>
      <w:bookmarkEnd w:id="155"/>
      <w:bookmarkEnd w:id="156"/>
      <w:bookmarkEnd w:id="157"/>
      <w:bookmarkEnd w:id="158"/>
    </w:p>
    <w:p w14:paraId="547EBBF8">
      <w:pPr>
        <w:pStyle w:val="24"/>
        <w:widowControl w:val="0"/>
        <w:spacing w:line="540" w:lineRule="exact"/>
        <w:outlineLvl w:val="0"/>
        <w:rPr>
          <w:rFonts w:ascii="Times New Roman" w:hAnsi="Times New Roman"/>
          <w:color w:val="000000"/>
        </w:rPr>
      </w:pPr>
    </w:p>
    <w:p w14:paraId="3A03203F">
      <w:pPr>
        <w:spacing w:line="540" w:lineRule="exact"/>
        <w:ind w:firstLine="31680"/>
        <w:rPr>
          <w:color w:val="000000"/>
          <w:kern w:val="0"/>
          <w:szCs w:val="32"/>
        </w:rPr>
      </w:pPr>
      <w:r>
        <w:rPr>
          <w:rFonts w:hint="eastAsia"/>
          <w:color w:val="000000"/>
          <w:kern w:val="0"/>
          <w:szCs w:val="32"/>
        </w:rPr>
        <w:t>革命</w:t>
      </w:r>
      <w:r>
        <w:rPr>
          <w:rFonts w:hint="eastAsia"/>
          <w:color w:val="000000"/>
          <w:spacing w:val="-8"/>
          <w:kern w:val="0"/>
          <w:szCs w:val="32"/>
        </w:rPr>
        <w:t>老区是新中国的摇篮，老区人民为中国革命取得最后胜利付出了巨大牺牲，作出了极大贡献。由于自然、历史等多重因素影响，一些老区经济欠发达，社会事业发展相对滞后。</w:t>
      </w:r>
      <w:r>
        <w:rPr>
          <w:color w:val="000000"/>
          <w:spacing w:val="-8"/>
          <w:kern w:val="0"/>
          <w:szCs w:val="32"/>
        </w:rPr>
        <w:t>“</w:t>
      </w:r>
      <w:r>
        <w:rPr>
          <w:rFonts w:hint="eastAsia"/>
          <w:color w:val="000000"/>
          <w:spacing w:val="-8"/>
          <w:kern w:val="0"/>
          <w:szCs w:val="32"/>
        </w:rPr>
        <w:t>十四五</w:t>
      </w:r>
      <w:r>
        <w:rPr>
          <w:color w:val="000000"/>
          <w:spacing w:val="-8"/>
          <w:kern w:val="0"/>
          <w:szCs w:val="32"/>
        </w:rPr>
        <w:t>”</w:t>
      </w:r>
      <w:r>
        <w:rPr>
          <w:rFonts w:hint="eastAsia"/>
          <w:color w:val="000000"/>
          <w:spacing w:val="-8"/>
          <w:kern w:val="0"/>
          <w:szCs w:val="32"/>
        </w:rPr>
        <w:t>期间，民政部门要主动融入乡村振兴工作大局，积极配合发改、</w:t>
      </w:r>
      <w:r>
        <w:rPr>
          <w:rFonts w:hint="eastAsia"/>
          <w:color w:val="000000"/>
          <w:kern w:val="0"/>
          <w:szCs w:val="32"/>
        </w:rPr>
        <w:t>农业农村等部门，采取有力措施，推动老区苏区振兴发展。</w:t>
      </w:r>
    </w:p>
    <w:p w14:paraId="6833CAB4">
      <w:pPr>
        <w:spacing w:line="540" w:lineRule="exact"/>
        <w:ind w:firstLine="31680"/>
        <w:rPr>
          <w:color w:val="000000"/>
          <w:kern w:val="0"/>
          <w:szCs w:val="32"/>
        </w:rPr>
      </w:pPr>
    </w:p>
    <w:p w14:paraId="137E70C3">
      <w:pPr>
        <w:pStyle w:val="25"/>
        <w:widowControl w:val="0"/>
        <w:spacing w:line="540" w:lineRule="exact"/>
        <w:outlineLvl w:val="1"/>
        <w:rPr>
          <w:rFonts w:eastAsia="方正黑体简体"/>
          <w:b w:val="0"/>
          <w:color w:val="000000"/>
        </w:rPr>
      </w:pPr>
      <w:bookmarkStart w:id="159" w:name="_Toc12641"/>
      <w:bookmarkStart w:id="160" w:name="_Toc17183"/>
      <w:bookmarkStart w:id="161" w:name="_Toc28432"/>
      <w:bookmarkStart w:id="162" w:name="_Toc29946"/>
      <w:bookmarkStart w:id="163" w:name="_Toc4377"/>
      <w:bookmarkStart w:id="164" w:name="_Toc21599"/>
      <w:bookmarkStart w:id="165" w:name="_Toc32738"/>
      <w:r>
        <w:rPr>
          <w:rFonts w:hint="eastAsia" w:eastAsia="方正黑体简体"/>
          <w:b w:val="0"/>
          <w:color w:val="000000"/>
        </w:rPr>
        <w:t>第一节　加大对老区苏区建设扶持力度</w:t>
      </w:r>
      <w:bookmarkEnd w:id="159"/>
      <w:bookmarkEnd w:id="160"/>
      <w:bookmarkEnd w:id="161"/>
      <w:bookmarkEnd w:id="162"/>
      <w:bookmarkEnd w:id="163"/>
      <w:bookmarkEnd w:id="164"/>
      <w:bookmarkEnd w:id="165"/>
    </w:p>
    <w:p w14:paraId="6837507C">
      <w:pPr>
        <w:spacing w:line="540" w:lineRule="exact"/>
        <w:ind w:firstLine="31680"/>
        <w:rPr>
          <w:color w:val="000000"/>
        </w:rPr>
      </w:pPr>
    </w:p>
    <w:p w14:paraId="2BE44D40">
      <w:pPr>
        <w:spacing w:line="540" w:lineRule="exact"/>
        <w:ind w:firstLine="630" w:firstLineChars="196"/>
        <w:rPr>
          <w:color w:val="000000"/>
          <w:kern w:val="0"/>
          <w:szCs w:val="32"/>
        </w:rPr>
      </w:pPr>
      <w:bookmarkStart w:id="166" w:name="OLE_LINK3"/>
      <w:r>
        <w:rPr>
          <w:rFonts w:hint="eastAsia"/>
          <w:b/>
          <w:bCs/>
          <w:color w:val="000000"/>
          <w:kern w:val="0"/>
          <w:szCs w:val="32"/>
        </w:rPr>
        <w:t>用足用好老区苏区扶持政策。</w:t>
      </w:r>
      <w:bookmarkEnd w:id="166"/>
      <w:r>
        <w:rPr>
          <w:rFonts w:hint="eastAsia"/>
          <w:color w:val="000000"/>
          <w:kern w:val="0"/>
          <w:szCs w:val="32"/>
        </w:rPr>
        <w:t>充分发挥好老革命根据地建设委员会牵头协调、统筹推进的作用，协调推动成员单位在政策、技术、项目、资金、人才等方面加大对困难老区苏区的倾斜支持。统筹抓好老区苏区扶持政策、乡村振兴发展政策在民政领域的衔接落实，积极争取中央、省级财政资金投入，争取安南永德四县（市）建设项目列入中央预算内投资，持续向上争取加大对老区苏区县（市）转移支付补助力度。推动老区巩固拓展脱贫攻坚成果同乡村振兴有效衔接，扶持老区村的基础设施、社会事业和生产发展项目，培育、壮大老区乡村特色产业，助力老区乡村振兴。</w:t>
      </w:r>
    </w:p>
    <w:p w14:paraId="1387391A">
      <w:pPr>
        <w:spacing w:line="540" w:lineRule="exact"/>
        <w:ind w:firstLine="31680"/>
        <w:rPr>
          <w:color w:val="000000"/>
          <w:kern w:val="0"/>
          <w:szCs w:val="32"/>
        </w:rPr>
      </w:pPr>
      <w:r>
        <w:rPr>
          <w:rFonts w:hint="eastAsia"/>
          <w:b/>
          <w:color w:val="000000"/>
          <w:kern w:val="0"/>
          <w:szCs w:val="32"/>
        </w:rPr>
        <w:t>引导和动员社会力量参与老区扶建工作。</w:t>
      </w:r>
      <w:r>
        <w:rPr>
          <w:rFonts w:hint="eastAsia"/>
          <w:color w:val="000000"/>
          <w:kern w:val="0"/>
          <w:szCs w:val="32"/>
        </w:rPr>
        <w:t>坚持以</w:t>
      </w:r>
      <w:r>
        <w:rPr>
          <w:color w:val="000000"/>
          <w:kern w:val="0"/>
          <w:szCs w:val="32"/>
        </w:rPr>
        <w:t>“</w:t>
      </w:r>
      <w:r>
        <w:rPr>
          <w:rFonts w:hint="eastAsia"/>
          <w:color w:val="000000"/>
          <w:kern w:val="0"/>
          <w:szCs w:val="32"/>
        </w:rPr>
        <w:t>自愿参与、因地制宜、精准结对、共同发展</w:t>
      </w:r>
      <w:r>
        <w:rPr>
          <w:color w:val="000000"/>
          <w:kern w:val="0"/>
          <w:szCs w:val="32"/>
        </w:rPr>
        <w:t>”</w:t>
      </w:r>
      <w:r>
        <w:rPr>
          <w:rFonts w:hint="eastAsia"/>
          <w:color w:val="000000"/>
          <w:kern w:val="0"/>
          <w:szCs w:val="32"/>
        </w:rPr>
        <w:t>为原则，继续深化</w:t>
      </w:r>
      <w:r>
        <w:rPr>
          <w:color w:val="000000"/>
          <w:kern w:val="0"/>
          <w:szCs w:val="32"/>
        </w:rPr>
        <w:t>“</w:t>
      </w:r>
      <w:r>
        <w:rPr>
          <w:rFonts w:hint="eastAsia"/>
          <w:color w:val="000000"/>
          <w:kern w:val="0"/>
          <w:szCs w:val="32"/>
        </w:rPr>
        <w:t>阳光</w:t>
      </w:r>
      <w:r>
        <w:rPr>
          <w:color w:val="000000"/>
          <w:kern w:val="0"/>
          <w:szCs w:val="32"/>
        </w:rPr>
        <w:t>1+1</w:t>
      </w:r>
      <w:r>
        <w:rPr>
          <w:rFonts w:hint="eastAsia"/>
          <w:color w:val="000000"/>
          <w:kern w:val="0"/>
          <w:szCs w:val="32"/>
        </w:rPr>
        <w:t>牵手计划</w:t>
      </w:r>
      <w:r>
        <w:rPr>
          <w:color w:val="000000"/>
          <w:kern w:val="0"/>
          <w:szCs w:val="32"/>
        </w:rPr>
        <w:t>”</w:t>
      </w:r>
      <w:r>
        <w:rPr>
          <w:rFonts w:hint="eastAsia"/>
          <w:color w:val="000000"/>
          <w:kern w:val="0"/>
          <w:szCs w:val="32"/>
        </w:rPr>
        <w:t>，巩固脱贫攻坚成果，促进乡村振兴发展。在百家社会组织与百个老区村签约结对的基础上，抓好共建协议的落地落细，实现双方共同发展的目标；积极推广各地形成的经验典型，进一步打造</w:t>
      </w:r>
      <w:r>
        <w:rPr>
          <w:color w:val="000000"/>
          <w:kern w:val="0"/>
          <w:szCs w:val="32"/>
        </w:rPr>
        <w:t>“</w:t>
      </w:r>
      <w:r>
        <w:rPr>
          <w:rFonts w:hint="eastAsia"/>
          <w:color w:val="000000"/>
          <w:kern w:val="0"/>
          <w:szCs w:val="32"/>
        </w:rPr>
        <w:t>阳光</w:t>
      </w:r>
      <w:r>
        <w:rPr>
          <w:color w:val="000000"/>
          <w:kern w:val="0"/>
          <w:szCs w:val="32"/>
        </w:rPr>
        <w:t>1+1</w:t>
      </w:r>
      <w:r>
        <w:rPr>
          <w:rFonts w:hint="eastAsia"/>
          <w:color w:val="000000"/>
          <w:kern w:val="0"/>
          <w:szCs w:val="32"/>
        </w:rPr>
        <w:t>牵手计划</w:t>
      </w:r>
      <w:r>
        <w:rPr>
          <w:color w:val="000000"/>
          <w:kern w:val="0"/>
          <w:szCs w:val="32"/>
        </w:rPr>
        <w:t>”</w:t>
      </w:r>
      <w:r>
        <w:rPr>
          <w:rFonts w:hint="eastAsia"/>
          <w:color w:val="000000"/>
          <w:kern w:val="0"/>
          <w:szCs w:val="32"/>
        </w:rPr>
        <w:t>的工作品牌，形成社会力量参与老区建设的长效机制；深入挖掘社会组织和广大爱心人士参与老区建设的好经验好做法和感人事迹，加强宣传引导，营造全社会踊跃参与老区建设的良好氛围。</w:t>
      </w:r>
    </w:p>
    <w:p w14:paraId="28A1274D">
      <w:pPr>
        <w:spacing w:line="540" w:lineRule="exact"/>
        <w:ind w:firstLine="31680"/>
        <w:rPr>
          <w:color w:val="000000"/>
          <w:kern w:val="0"/>
          <w:szCs w:val="32"/>
        </w:rPr>
      </w:pPr>
    </w:p>
    <w:p w14:paraId="301779A5">
      <w:pPr>
        <w:pStyle w:val="25"/>
        <w:widowControl w:val="0"/>
        <w:spacing w:line="540" w:lineRule="exact"/>
        <w:outlineLvl w:val="1"/>
        <w:rPr>
          <w:rFonts w:eastAsia="方正黑体简体"/>
          <w:b w:val="0"/>
          <w:color w:val="000000"/>
        </w:rPr>
      </w:pPr>
      <w:bookmarkStart w:id="167" w:name="_Toc53"/>
      <w:bookmarkStart w:id="168" w:name="_Toc20818"/>
      <w:bookmarkStart w:id="169" w:name="_Toc13713"/>
      <w:bookmarkStart w:id="170" w:name="_Toc6356"/>
      <w:bookmarkStart w:id="171" w:name="_Toc2476"/>
      <w:bookmarkStart w:id="172" w:name="_Toc7469"/>
      <w:bookmarkStart w:id="173" w:name="_Toc22266"/>
      <w:r>
        <w:rPr>
          <w:rFonts w:hint="eastAsia" w:eastAsia="方正黑体简体"/>
          <w:b w:val="0"/>
          <w:color w:val="000000"/>
        </w:rPr>
        <w:t>第二节　落实革命</w:t>
      </w:r>
      <w:r>
        <w:rPr>
          <w:rFonts w:eastAsia="方正黑体简体"/>
          <w:b w:val="0"/>
          <w:color w:val="000000"/>
        </w:rPr>
        <w:t>“</w:t>
      </w:r>
      <w:r>
        <w:rPr>
          <w:rFonts w:hint="eastAsia" w:eastAsia="方正黑体简体"/>
          <w:b w:val="0"/>
          <w:color w:val="000000"/>
        </w:rPr>
        <w:t>五老</w:t>
      </w:r>
      <w:r>
        <w:rPr>
          <w:rFonts w:eastAsia="方正黑体简体"/>
          <w:b w:val="0"/>
          <w:color w:val="000000"/>
        </w:rPr>
        <w:t>”</w:t>
      </w:r>
      <w:r>
        <w:rPr>
          <w:rFonts w:hint="eastAsia" w:eastAsia="方正黑体简体"/>
          <w:b w:val="0"/>
          <w:color w:val="000000"/>
        </w:rPr>
        <w:t>人员优</w:t>
      </w:r>
      <w:bookmarkEnd w:id="167"/>
      <w:r>
        <w:rPr>
          <w:rFonts w:hint="eastAsia" w:eastAsia="方正黑体简体"/>
          <w:b w:val="0"/>
          <w:color w:val="000000"/>
        </w:rPr>
        <w:t>待工作</w:t>
      </w:r>
      <w:bookmarkEnd w:id="168"/>
      <w:bookmarkEnd w:id="169"/>
      <w:bookmarkEnd w:id="170"/>
      <w:bookmarkEnd w:id="171"/>
      <w:bookmarkEnd w:id="172"/>
      <w:bookmarkEnd w:id="173"/>
    </w:p>
    <w:p w14:paraId="727AC195">
      <w:pPr>
        <w:spacing w:line="540" w:lineRule="exact"/>
        <w:ind w:firstLine="31680"/>
        <w:rPr>
          <w:color w:val="000000"/>
        </w:rPr>
      </w:pPr>
    </w:p>
    <w:p w14:paraId="02D922A1">
      <w:pPr>
        <w:spacing w:line="540" w:lineRule="exact"/>
        <w:ind w:firstLine="31680"/>
        <w:rPr>
          <w:color w:val="000000"/>
          <w:kern w:val="0"/>
          <w:szCs w:val="32"/>
        </w:rPr>
      </w:pPr>
      <w:r>
        <w:rPr>
          <w:rFonts w:hint="eastAsia"/>
          <w:b/>
          <w:color w:val="000000"/>
          <w:kern w:val="0"/>
          <w:szCs w:val="32"/>
        </w:rPr>
        <w:t>对革命</w:t>
      </w:r>
      <w:r>
        <w:rPr>
          <w:b/>
          <w:color w:val="000000"/>
          <w:kern w:val="0"/>
          <w:szCs w:val="32"/>
        </w:rPr>
        <w:t>“</w:t>
      </w:r>
      <w:r>
        <w:rPr>
          <w:rFonts w:hint="eastAsia"/>
          <w:b/>
          <w:color w:val="000000"/>
          <w:kern w:val="0"/>
          <w:szCs w:val="32"/>
        </w:rPr>
        <w:t>五老</w:t>
      </w:r>
      <w:r>
        <w:rPr>
          <w:b/>
          <w:color w:val="000000"/>
          <w:kern w:val="0"/>
          <w:szCs w:val="32"/>
        </w:rPr>
        <w:t>”</w:t>
      </w:r>
      <w:r>
        <w:rPr>
          <w:rFonts w:hint="eastAsia"/>
          <w:b/>
          <w:color w:val="000000"/>
          <w:kern w:val="0"/>
          <w:szCs w:val="32"/>
        </w:rPr>
        <w:t>人员实施动态管理。</w:t>
      </w:r>
      <w:r>
        <w:rPr>
          <w:rFonts w:hint="eastAsia"/>
          <w:color w:val="000000"/>
          <w:kern w:val="0"/>
          <w:szCs w:val="32"/>
        </w:rPr>
        <w:t>持续落实革命</w:t>
      </w:r>
      <w:r>
        <w:rPr>
          <w:color w:val="000000"/>
          <w:kern w:val="0"/>
          <w:szCs w:val="32"/>
        </w:rPr>
        <w:t>“</w:t>
      </w:r>
      <w:r>
        <w:rPr>
          <w:rFonts w:hint="eastAsia"/>
          <w:color w:val="000000"/>
          <w:kern w:val="0"/>
          <w:szCs w:val="32"/>
        </w:rPr>
        <w:t>五老</w:t>
      </w:r>
      <w:r>
        <w:rPr>
          <w:color w:val="000000"/>
          <w:kern w:val="0"/>
          <w:szCs w:val="32"/>
        </w:rPr>
        <w:t>”</w:t>
      </w:r>
      <w:r>
        <w:rPr>
          <w:rFonts w:hint="eastAsia"/>
          <w:color w:val="000000"/>
          <w:kern w:val="0"/>
          <w:szCs w:val="32"/>
        </w:rPr>
        <w:t>人员定期生活补助标准与重点抚恤优待对象定期抚恤标准同步增长机制。落实革命</w:t>
      </w:r>
      <w:r>
        <w:rPr>
          <w:color w:val="000000"/>
          <w:kern w:val="0"/>
          <w:szCs w:val="32"/>
        </w:rPr>
        <w:t>“</w:t>
      </w:r>
      <w:r>
        <w:rPr>
          <w:rFonts w:hint="eastAsia"/>
          <w:color w:val="000000"/>
          <w:kern w:val="0"/>
          <w:szCs w:val="32"/>
        </w:rPr>
        <w:t>五老</w:t>
      </w:r>
      <w:r>
        <w:rPr>
          <w:color w:val="000000"/>
          <w:kern w:val="0"/>
          <w:szCs w:val="32"/>
        </w:rPr>
        <w:t>”</w:t>
      </w:r>
      <w:r>
        <w:rPr>
          <w:rFonts w:hint="eastAsia"/>
          <w:color w:val="000000"/>
          <w:kern w:val="0"/>
          <w:szCs w:val="32"/>
        </w:rPr>
        <w:t>人员医疗补助和高龄、特困等多种待遇。定期走访慰问革命</w:t>
      </w:r>
      <w:r>
        <w:rPr>
          <w:color w:val="000000"/>
          <w:kern w:val="0"/>
          <w:szCs w:val="32"/>
        </w:rPr>
        <w:t>“</w:t>
      </w:r>
      <w:r>
        <w:rPr>
          <w:rFonts w:hint="eastAsia"/>
          <w:color w:val="000000"/>
          <w:kern w:val="0"/>
          <w:szCs w:val="32"/>
        </w:rPr>
        <w:t>五老</w:t>
      </w:r>
      <w:r>
        <w:rPr>
          <w:color w:val="000000"/>
          <w:kern w:val="0"/>
          <w:szCs w:val="32"/>
        </w:rPr>
        <w:t>”</w:t>
      </w:r>
      <w:r>
        <w:rPr>
          <w:rFonts w:hint="eastAsia"/>
          <w:color w:val="000000"/>
          <w:kern w:val="0"/>
          <w:szCs w:val="32"/>
        </w:rPr>
        <w:t>人员，解决生活、医疗和其他困难。鼓励各县（市、区）出台革命</w:t>
      </w:r>
      <w:r>
        <w:rPr>
          <w:color w:val="000000"/>
          <w:kern w:val="0"/>
          <w:szCs w:val="32"/>
        </w:rPr>
        <w:t>“</w:t>
      </w:r>
      <w:r>
        <w:rPr>
          <w:rFonts w:hint="eastAsia"/>
          <w:color w:val="000000"/>
          <w:kern w:val="0"/>
          <w:szCs w:val="32"/>
        </w:rPr>
        <w:t>五老</w:t>
      </w:r>
      <w:r>
        <w:rPr>
          <w:color w:val="000000"/>
          <w:kern w:val="0"/>
          <w:szCs w:val="32"/>
        </w:rPr>
        <w:t>”</w:t>
      </w:r>
      <w:r>
        <w:rPr>
          <w:rFonts w:hint="eastAsia"/>
          <w:color w:val="000000"/>
          <w:kern w:val="0"/>
          <w:szCs w:val="32"/>
        </w:rPr>
        <w:t>遗偶关爱帮扶措施。</w:t>
      </w:r>
    </w:p>
    <w:p w14:paraId="31B4AB1C">
      <w:pPr>
        <w:spacing w:line="540" w:lineRule="exact"/>
        <w:ind w:firstLine="31680"/>
        <w:rPr>
          <w:color w:val="000000"/>
          <w:kern w:val="0"/>
          <w:szCs w:val="32"/>
        </w:rPr>
      </w:pPr>
    </w:p>
    <w:p w14:paraId="069D7CFD">
      <w:pPr>
        <w:pStyle w:val="25"/>
        <w:widowControl w:val="0"/>
        <w:spacing w:line="540" w:lineRule="exact"/>
        <w:outlineLvl w:val="1"/>
        <w:rPr>
          <w:rFonts w:eastAsia="方正黑体简体"/>
          <w:b w:val="0"/>
          <w:color w:val="000000"/>
        </w:rPr>
      </w:pPr>
      <w:bookmarkStart w:id="174" w:name="_Toc31982"/>
      <w:bookmarkStart w:id="175" w:name="_Toc4649"/>
      <w:bookmarkStart w:id="176" w:name="_Toc30979"/>
      <w:bookmarkStart w:id="177" w:name="_Toc20729"/>
      <w:bookmarkStart w:id="178" w:name="_Toc5185"/>
      <w:bookmarkStart w:id="179" w:name="_Toc13103"/>
      <w:bookmarkStart w:id="180" w:name="_Toc8367"/>
      <w:bookmarkStart w:id="181" w:name="_Toc57210175"/>
      <w:r>
        <w:rPr>
          <w:rFonts w:hint="eastAsia" w:eastAsia="方正黑体简体"/>
          <w:b w:val="0"/>
          <w:color w:val="000000"/>
        </w:rPr>
        <w:t>第三节　弘扬红色文化和老区精神</w:t>
      </w:r>
      <w:bookmarkEnd w:id="174"/>
      <w:bookmarkEnd w:id="175"/>
      <w:bookmarkEnd w:id="176"/>
      <w:bookmarkEnd w:id="177"/>
      <w:bookmarkEnd w:id="178"/>
      <w:bookmarkEnd w:id="179"/>
      <w:bookmarkEnd w:id="180"/>
      <w:bookmarkEnd w:id="181"/>
    </w:p>
    <w:p w14:paraId="062F105E">
      <w:pPr>
        <w:spacing w:line="540" w:lineRule="exact"/>
        <w:ind w:firstLine="31680"/>
        <w:rPr>
          <w:color w:val="000000"/>
        </w:rPr>
      </w:pPr>
    </w:p>
    <w:p w14:paraId="7BF8FCC7">
      <w:pPr>
        <w:spacing w:line="540" w:lineRule="exact"/>
        <w:ind w:firstLine="630" w:firstLineChars="196"/>
        <w:rPr>
          <w:color w:val="000000"/>
          <w:kern w:val="0"/>
          <w:szCs w:val="32"/>
        </w:rPr>
      </w:pPr>
      <w:r>
        <w:rPr>
          <w:rFonts w:hint="eastAsia"/>
          <w:b/>
          <w:color w:val="000000"/>
          <w:kern w:val="0"/>
          <w:szCs w:val="32"/>
        </w:rPr>
        <w:t>把握好新时代新征程老区宣传工作的正确方向。</w:t>
      </w:r>
      <w:r>
        <w:rPr>
          <w:rFonts w:hint="eastAsia"/>
          <w:color w:val="000000"/>
          <w:kern w:val="0"/>
          <w:szCs w:val="32"/>
        </w:rPr>
        <w:t>充分发挥红色文化的教育引领作用，始终把老区人民永远跟党走作为老区宣传工作的主旋律，把弘扬老区精神、传承红色基因作为老区宣传工作的主题。多角度宣传党中央、国务院和各级党委、政府扶持老区发展的政策措施，进一步在全社会营造了解老区、关心老区、支持老区的良好氛围。</w:t>
      </w:r>
    </w:p>
    <w:p w14:paraId="00CE1EFC">
      <w:pPr>
        <w:spacing w:line="540" w:lineRule="exact"/>
        <w:ind w:firstLine="630" w:firstLineChars="196"/>
        <w:rPr>
          <w:color w:val="000000"/>
          <w:kern w:val="0"/>
          <w:szCs w:val="32"/>
        </w:rPr>
      </w:pPr>
      <w:r>
        <w:rPr>
          <w:rFonts w:hint="eastAsia"/>
          <w:b/>
          <w:color w:val="000000"/>
          <w:kern w:val="0"/>
          <w:szCs w:val="32"/>
        </w:rPr>
        <w:t>加大革命遗址的保护利用。</w:t>
      </w:r>
      <w:r>
        <w:rPr>
          <w:rFonts w:hint="eastAsia"/>
          <w:color w:val="000000"/>
          <w:kern w:val="0"/>
          <w:szCs w:val="32"/>
        </w:rPr>
        <w:t>加强红色资源的保护、开发和利用，充分挖掘革命遗址的红色内涵。健全革命遗址基础数据库、革命遗址保护修缮项目储备库，按照申报一批、储备一批、跟进一批的思路做好保护利用工作。加强资源整合，坚持先行保护、逐步修缮、长效管理、合理利用的原则，将革命遗址保护利用与历史文化名城街区名镇名村和传统村落保护、美丽乡村建设、红色旅游建设相结合，融入当地经济社会发展全局。用好市级革命遗址保护修缮专项资金，扶持不少于</w:t>
      </w:r>
      <w:r>
        <w:rPr>
          <w:color w:val="000000"/>
          <w:kern w:val="0"/>
          <w:szCs w:val="32"/>
        </w:rPr>
        <w:t>50</w:t>
      </w:r>
      <w:r>
        <w:rPr>
          <w:rFonts w:hint="eastAsia"/>
          <w:color w:val="000000"/>
          <w:kern w:val="0"/>
          <w:szCs w:val="32"/>
        </w:rPr>
        <w:t>个革命遗址的修缮维护。</w:t>
      </w:r>
    </w:p>
    <w:p w14:paraId="799551CF">
      <w:pPr>
        <w:spacing w:line="200" w:lineRule="exact"/>
        <w:ind w:firstLine="627" w:firstLineChars="196"/>
        <w:rPr>
          <w:color w:val="000000"/>
          <w:kern w:val="0"/>
          <w:szCs w:val="32"/>
        </w:rPr>
      </w:pPr>
    </w:p>
    <w:tbl>
      <w:tblPr>
        <w:tblStyle w:val="13"/>
        <w:tblW w:w="9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14:paraId="6827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4" w:type="dxa"/>
          </w:tcPr>
          <w:p w14:paraId="0A65AC30">
            <w:pPr>
              <w:spacing w:line="400" w:lineRule="exact"/>
              <w:ind w:firstLine="31680"/>
              <w:jc w:val="center"/>
              <w:rPr>
                <w:rFonts w:eastAsia="方正仿宋简体"/>
                <w:b/>
                <w:color w:val="000000"/>
                <w:sz w:val="28"/>
                <w:szCs w:val="28"/>
              </w:rPr>
            </w:pPr>
            <w:bookmarkStart w:id="182" w:name="_Toc53904210"/>
            <w:bookmarkStart w:id="183" w:name="_Toc51218654"/>
            <w:bookmarkStart w:id="184" w:name="_Toc51153223"/>
            <w:r>
              <w:rPr>
                <w:rFonts w:hint="eastAsia" w:eastAsia="方正仿宋简体"/>
                <w:b/>
                <w:color w:val="000000"/>
                <w:sz w:val="28"/>
                <w:szCs w:val="28"/>
              </w:rPr>
              <w:t>专栏</w:t>
            </w:r>
            <w:r>
              <w:rPr>
                <w:rFonts w:eastAsia="方正仿宋简体"/>
                <w:b/>
                <w:color w:val="000000"/>
                <w:sz w:val="28"/>
                <w:szCs w:val="28"/>
              </w:rPr>
              <w:t>12</w:t>
            </w:r>
            <w:r>
              <w:rPr>
                <w:rFonts w:hint="eastAsia" w:eastAsia="方正仿宋简体"/>
                <w:b/>
                <w:color w:val="000000"/>
                <w:sz w:val="28"/>
                <w:szCs w:val="28"/>
              </w:rPr>
              <w:t>：推动老区苏区振兴发展重大工程</w:t>
            </w:r>
            <w:bookmarkEnd w:id="182"/>
            <w:bookmarkEnd w:id="183"/>
            <w:bookmarkEnd w:id="184"/>
          </w:p>
        </w:tc>
      </w:tr>
      <w:tr w14:paraId="7197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4" w:type="dxa"/>
          </w:tcPr>
          <w:p w14:paraId="5A2BB580">
            <w:pPr>
              <w:spacing w:line="400" w:lineRule="exact"/>
              <w:ind w:firstLine="472" w:firstLineChars="196"/>
              <w:rPr>
                <w:rFonts w:eastAsia="方正仿宋简体"/>
                <w:color w:val="000000"/>
                <w:spacing w:val="-12"/>
                <w:sz w:val="24"/>
              </w:rPr>
            </w:pPr>
            <w:r>
              <w:rPr>
                <w:rFonts w:eastAsia="方正仿宋简体"/>
                <w:b/>
                <w:bCs/>
                <w:color w:val="000000"/>
                <w:sz w:val="24"/>
                <w:szCs w:val="24"/>
              </w:rPr>
              <w:t>1.</w:t>
            </w:r>
            <w:r>
              <w:rPr>
                <w:rFonts w:hint="eastAsia" w:eastAsia="方正仿宋简体"/>
                <w:b/>
                <w:bCs/>
                <w:color w:val="000000"/>
                <w:sz w:val="24"/>
                <w:szCs w:val="24"/>
              </w:rPr>
              <w:t>助力老区苏区乡村振兴：</w:t>
            </w:r>
            <w:r>
              <w:rPr>
                <w:rFonts w:hint="eastAsia" w:eastAsia="方正仿宋简体"/>
                <w:bCs/>
                <w:color w:val="000000"/>
                <w:sz w:val="24"/>
                <w:szCs w:val="24"/>
              </w:rPr>
              <w:t>市</w:t>
            </w:r>
            <w:r>
              <w:rPr>
                <w:rFonts w:hint="eastAsia" w:eastAsia="方正仿宋简体"/>
                <w:color w:val="000000"/>
                <w:spacing w:val="-12"/>
                <w:sz w:val="24"/>
                <w:szCs w:val="24"/>
              </w:rPr>
              <w:t>革命老根据地建设委员会统筹协调市直相关成员单位，围绕</w:t>
            </w:r>
            <w:r>
              <w:rPr>
                <w:rFonts w:eastAsia="方正仿宋简体"/>
                <w:color w:val="000000"/>
                <w:spacing w:val="-12"/>
                <w:sz w:val="24"/>
                <w:szCs w:val="24"/>
              </w:rPr>
              <w:t>“</w:t>
            </w:r>
            <w:r>
              <w:rPr>
                <w:rFonts w:hint="eastAsia" w:eastAsia="方正仿宋简体"/>
                <w:color w:val="000000"/>
                <w:spacing w:val="-12"/>
                <w:sz w:val="24"/>
                <w:szCs w:val="24"/>
              </w:rPr>
              <w:t>产业兴旺、生态宜居、乡风文明、治理有效、生活富裕</w:t>
            </w:r>
            <w:r>
              <w:rPr>
                <w:rFonts w:eastAsia="方正仿宋简体"/>
                <w:color w:val="000000"/>
                <w:spacing w:val="-12"/>
                <w:sz w:val="24"/>
                <w:szCs w:val="24"/>
              </w:rPr>
              <w:t>”</w:t>
            </w:r>
            <w:r>
              <w:rPr>
                <w:rFonts w:hint="eastAsia" w:eastAsia="方正仿宋简体"/>
                <w:color w:val="000000"/>
                <w:spacing w:val="-12"/>
                <w:sz w:val="24"/>
                <w:szCs w:val="24"/>
              </w:rPr>
              <w:t>乡村振兴战略，按照</w:t>
            </w:r>
            <w:r>
              <w:rPr>
                <w:rFonts w:eastAsia="方正仿宋简体"/>
                <w:color w:val="000000"/>
                <w:spacing w:val="-12"/>
                <w:sz w:val="24"/>
                <w:szCs w:val="24"/>
              </w:rPr>
              <w:t>“</w:t>
            </w:r>
            <w:r>
              <w:rPr>
                <w:rFonts w:hint="eastAsia" w:eastAsia="方正仿宋简体"/>
                <w:color w:val="000000"/>
                <w:spacing w:val="-12"/>
                <w:sz w:val="24"/>
                <w:szCs w:val="24"/>
              </w:rPr>
              <w:t>老区优先、适当倾斜</w:t>
            </w:r>
            <w:r>
              <w:rPr>
                <w:rFonts w:eastAsia="方正仿宋简体"/>
                <w:color w:val="000000"/>
                <w:spacing w:val="-12"/>
                <w:sz w:val="24"/>
                <w:szCs w:val="24"/>
              </w:rPr>
              <w:t>”</w:t>
            </w:r>
            <w:r>
              <w:rPr>
                <w:rFonts w:hint="eastAsia" w:eastAsia="方正仿宋简体"/>
                <w:color w:val="000000"/>
                <w:spacing w:val="-12"/>
                <w:sz w:val="24"/>
                <w:szCs w:val="24"/>
              </w:rPr>
              <w:t>的原则，助力老区苏区乡村振兴。</w:t>
            </w:r>
          </w:p>
          <w:p w14:paraId="64CB5BAB">
            <w:pPr>
              <w:spacing w:line="400" w:lineRule="exact"/>
              <w:ind w:firstLine="472" w:firstLineChars="196"/>
              <w:rPr>
                <w:rFonts w:eastAsia="方正仿宋简体"/>
                <w:color w:val="000000"/>
                <w:sz w:val="24"/>
              </w:rPr>
            </w:pPr>
            <w:r>
              <w:rPr>
                <w:rFonts w:eastAsia="方正仿宋简体"/>
                <w:b/>
                <w:bCs/>
                <w:color w:val="000000"/>
                <w:sz w:val="24"/>
                <w:szCs w:val="24"/>
              </w:rPr>
              <w:t>2.“</w:t>
            </w:r>
            <w:r>
              <w:rPr>
                <w:rFonts w:hint="eastAsia" w:eastAsia="方正仿宋简体"/>
                <w:b/>
                <w:bCs/>
                <w:color w:val="000000"/>
                <w:sz w:val="24"/>
                <w:szCs w:val="24"/>
              </w:rPr>
              <w:t>阳光</w:t>
            </w:r>
            <w:r>
              <w:rPr>
                <w:rFonts w:eastAsia="方正仿宋简体"/>
                <w:b/>
                <w:bCs/>
                <w:color w:val="000000"/>
                <w:sz w:val="24"/>
                <w:szCs w:val="24"/>
              </w:rPr>
              <w:t>1+1</w:t>
            </w:r>
            <w:r>
              <w:rPr>
                <w:rFonts w:hint="eastAsia" w:eastAsia="方正仿宋简体"/>
                <w:b/>
                <w:bCs/>
                <w:color w:val="000000"/>
                <w:sz w:val="24"/>
                <w:szCs w:val="24"/>
              </w:rPr>
              <w:t>牵手计划</w:t>
            </w:r>
            <w:r>
              <w:rPr>
                <w:rFonts w:eastAsia="方正仿宋简体"/>
                <w:b/>
                <w:bCs/>
                <w:color w:val="000000"/>
                <w:sz w:val="24"/>
                <w:szCs w:val="24"/>
              </w:rPr>
              <w:t>”</w:t>
            </w:r>
            <w:r>
              <w:rPr>
                <w:rFonts w:hint="eastAsia" w:eastAsia="方正仿宋简体"/>
                <w:b/>
                <w:bCs/>
                <w:color w:val="000000"/>
                <w:sz w:val="24"/>
                <w:szCs w:val="24"/>
              </w:rPr>
              <w:t>：</w:t>
            </w:r>
            <w:r>
              <w:rPr>
                <w:rFonts w:hint="eastAsia" w:eastAsia="方正仿宋简体"/>
                <w:color w:val="000000"/>
                <w:sz w:val="24"/>
                <w:szCs w:val="24"/>
              </w:rPr>
              <w:t>持续推动百家社会组织与百个老区村结对共建，携手老区村共建共发展。</w:t>
            </w:r>
          </w:p>
          <w:p w14:paraId="35E14AC4">
            <w:pPr>
              <w:spacing w:line="400" w:lineRule="exact"/>
              <w:ind w:firstLine="472" w:firstLineChars="196"/>
              <w:rPr>
                <w:rFonts w:eastAsia="方正仿宋简体"/>
                <w:color w:val="000000"/>
                <w:sz w:val="28"/>
                <w:szCs w:val="28"/>
              </w:rPr>
            </w:pPr>
            <w:r>
              <w:rPr>
                <w:rFonts w:eastAsia="方正仿宋简体"/>
                <w:b/>
                <w:bCs/>
                <w:color w:val="000000"/>
                <w:sz w:val="24"/>
                <w:szCs w:val="24"/>
              </w:rPr>
              <w:t>3.</w:t>
            </w:r>
            <w:r>
              <w:rPr>
                <w:rFonts w:hint="eastAsia" w:eastAsia="方正仿宋简体"/>
                <w:b/>
                <w:bCs/>
                <w:color w:val="000000"/>
                <w:sz w:val="24"/>
                <w:szCs w:val="24"/>
              </w:rPr>
              <w:t>革命遗址保护利用：</w:t>
            </w:r>
            <w:r>
              <w:rPr>
                <w:rFonts w:hint="eastAsia" w:eastAsia="方正仿宋简体"/>
                <w:color w:val="000000"/>
                <w:sz w:val="24"/>
                <w:szCs w:val="24"/>
              </w:rPr>
              <w:t>用好市级革命遗址保护修缮专项资金，扶持不少于</w:t>
            </w:r>
            <w:r>
              <w:rPr>
                <w:rFonts w:eastAsia="方正仿宋简体"/>
                <w:color w:val="000000"/>
                <w:sz w:val="24"/>
                <w:szCs w:val="24"/>
              </w:rPr>
              <w:t>50</w:t>
            </w:r>
            <w:r>
              <w:rPr>
                <w:rFonts w:hint="eastAsia" w:eastAsia="方正仿宋简体"/>
                <w:color w:val="000000"/>
                <w:sz w:val="24"/>
                <w:szCs w:val="24"/>
              </w:rPr>
              <w:t>个革命遗址修缮维护。</w:t>
            </w:r>
          </w:p>
        </w:tc>
      </w:tr>
    </w:tbl>
    <w:p w14:paraId="1C81DFAA">
      <w:pPr>
        <w:pStyle w:val="24"/>
        <w:widowControl w:val="0"/>
        <w:outlineLvl w:val="0"/>
        <w:rPr>
          <w:rFonts w:ascii="Times New Roman" w:hAnsi="Times New Roman" w:eastAsia="方正小标宋简体"/>
          <w:color w:val="000000"/>
          <w:sz w:val="44"/>
        </w:rPr>
      </w:pPr>
      <w:bookmarkStart w:id="185" w:name="_Toc31712"/>
      <w:bookmarkStart w:id="186" w:name="_Toc20073"/>
      <w:bookmarkStart w:id="187" w:name="_Toc8589"/>
      <w:bookmarkStart w:id="188" w:name="_Toc32704"/>
      <w:bookmarkStart w:id="189" w:name="_Toc2472"/>
      <w:bookmarkStart w:id="190" w:name="_Toc24263"/>
      <w:bookmarkStart w:id="191" w:name="_Toc800"/>
    </w:p>
    <w:p w14:paraId="5F411431">
      <w:pPr>
        <w:widowControl/>
        <w:spacing w:line="240" w:lineRule="auto"/>
        <w:ind w:firstLine="0" w:firstLineChars="0"/>
        <w:jc w:val="left"/>
        <w:rPr>
          <w:rFonts w:eastAsia="方正小标宋简体"/>
          <w:bCs/>
          <w:color w:val="000000"/>
          <w:sz w:val="44"/>
          <w:szCs w:val="44"/>
        </w:rPr>
      </w:pPr>
      <w:r>
        <w:rPr>
          <w:rFonts w:eastAsia="方正小标宋简体"/>
          <w:color w:val="000000"/>
          <w:sz w:val="44"/>
        </w:rPr>
        <w:br w:type="page"/>
      </w:r>
    </w:p>
    <w:p w14:paraId="39E4AD20">
      <w:pPr>
        <w:pStyle w:val="24"/>
        <w:widowControl w:val="0"/>
        <w:outlineLvl w:val="0"/>
        <w:rPr>
          <w:rFonts w:ascii="Times New Roman" w:hAnsi="Times New Roman" w:eastAsia="方正小标宋简体"/>
          <w:color w:val="000000"/>
          <w:sz w:val="44"/>
        </w:rPr>
      </w:pPr>
      <w:r>
        <w:rPr>
          <w:rFonts w:hint="eastAsia" w:ascii="Times New Roman" w:hAnsi="Times New Roman" w:eastAsia="方正小标宋简体"/>
          <w:color w:val="000000"/>
          <w:sz w:val="44"/>
        </w:rPr>
        <w:t>第七章　深化泉台民政领域交流合作</w:t>
      </w:r>
      <w:bookmarkEnd w:id="185"/>
      <w:bookmarkEnd w:id="186"/>
      <w:bookmarkEnd w:id="187"/>
      <w:bookmarkEnd w:id="188"/>
      <w:bookmarkEnd w:id="189"/>
      <w:bookmarkEnd w:id="190"/>
      <w:bookmarkEnd w:id="191"/>
    </w:p>
    <w:p w14:paraId="03F2CC74">
      <w:pPr>
        <w:pStyle w:val="24"/>
        <w:widowControl w:val="0"/>
        <w:adjustRightInd w:val="0"/>
        <w:snapToGrid w:val="0"/>
        <w:outlineLvl w:val="0"/>
        <w:rPr>
          <w:rFonts w:ascii="Times New Roman" w:hAnsi="Times New Roman"/>
          <w:color w:val="000000"/>
        </w:rPr>
      </w:pPr>
    </w:p>
    <w:p w14:paraId="12F963B1">
      <w:pPr>
        <w:adjustRightInd w:val="0"/>
        <w:snapToGrid w:val="0"/>
        <w:ind w:firstLine="630" w:firstLineChars="196"/>
        <w:rPr>
          <w:color w:val="000000"/>
          <w:kern w:val="0"/>
          <w:szCs w:val="32"/>
        </w:rPr>
      </w:pPr>
      <w:r>
        <w:rPr>
          <w:rFonts w:hint="eastAsia"/>
          <w:b/>
          <w:bCs/>
          <w:color w:val="000000"/>
          <w:kern w:val="0"/>
          <w:szCs w:val="32"/>
        </w:rPr>
        <w:t>加强泉台养老领域交流合作。</w:t>
      </w:r>
      <w:r>
        <w:rPr>
          <w:rFonts w:hint="eastAsia"/>
          <w:color w:val="000000"/>
          <w:kern w:val="0"/>
          <w:szCs w:val="32"/>
        </w:rPr>
        <w:t>引进台湾知名养老服务集团和连锁机构，向泉州台商投资区、特色产业园区集聚，建立海峡两岸养老服务业合作开发示范区，打造闽台养老合作品牌。抓好泉台养老服务人才交流，每年组织一批参访团赴台交流，鼓励台湾专业培训机构来闽考察交流，加强两岸养老服务产业领域创新人才培养。</w:t>
      </w:r>
    </w:p>
    <w:p w14:paraId="2B5DD61B">
      <w:pPr>
        <w:adjustRightInd w:val="0"/>
        <w:snapToGrid w:val="0"/>
        <w:ind w:firstLine="630" w:firstLineChars="196"/>
        <w:rPr>
          <w:color w:val="000000"/>
          <w:kern w:val="0"/>
          <w:szCs w:val="32"/>
        </w:rPr>
      </w:pPr>
      <w:r>
        <w:rPr>
          <w:rFonts w:hint="eastAsia"/>
          <w:b/>
          <w:bCs/>
          <w:color w:val="000000"/>
          <w:kern w:val="0"/>
          <w:szCs w:val="32"/>
        </w:rPr>
        <w:t>推动泉台基层社区交流合作。</w:t>
      </w:r>
      <w:r>
        <w:rPr>
          <w:rFonts w:hint="eastAsia"/>
          <w:color w:val="000000"/>
          <w:kern w:val="0"/>
          <w:szCs w:val="32"/>
        </w:rPr>
        <w:t>鼓励台湾居民参与小区业委会、村（居）民代表、村（居）务监督委员会、民主协商理事会、社区志愿者等城乡社区群众组织。</w:t>
      </w:r>
      <w:r>
        <w:rPr>
          <w:rFonts w:hint="eastAsia"/>
          <w:color w:val="000000"/>
        </w:rPr>
        <w:t>支持符合条件的台湾居民参与社区治理。</w:t>
      </w:r>
    </w:p>
    <w:p w14:paraId="4C4389F0">
      <w:pPr>
        <w:adjustRightInd w:val="0"/>
        <w:snapToGrid w:val="0"/>
        <w:ind w:firstLine="630" w:firstLineChars="196"/>
        <w:rPr>
          <w:color w:val="000000"/>
          <w:spacing w:val="-8"/>
          <w:kern w:val="0"/>
          <w:szCs w:val="32"/>
        </w:rPr>
      </w:pPr>
      <w:r>
        <w:rPr>
          <w:rFonts w:hint="eastAsia"/>
          <w:b/>
          <w:bCs/>
          <w:color w:val="000000"/>
          <w:kern w:val="0"/>
          <w:szCs w:val="32"/>
        </w:rPr>
        <w:t>拓展泉台婚姻家庭交流合作。</w:t>
      </w:r>
      <w:r>
        <w:rPr>
          <w:rFonts w:hint="eastAsia"/>
          <w:color w:val="000000"/>
          <w:kern w:val="0"/>
          <w:szCs w:val="32"/>
        </w:rPr>
        <w:t>探</w:t>
      </w:r>
      <w:r>
        <w:rPr>
          <w:rFonts w:hint="eastAsia"/>
          <w:color w:val="000000"/>
          <w:spacing w:val="-8"/>
          <w:kern w:val="0"/>
          <w:szCs w:val="32"/>
        </w:rPr>
        <w:t>索有效途径，拓展涉台收养家庭到大陆寻根回访，建立</w:t>
      </w:r>
      <w:r>
        <w:rPr>
          <w:rFonts w:hint="eastAsia"/>
          <w:bCs/>
          <w:color w:val="000000"/>
          <w:kern w:val="0"/>
          <w:szCs w:val="32"/>
        </w:rPr>
        <w:t>泉台</w:t>
      </w:r>
      <w:r>
        <w:rPr>
          <w:rFonts w:hint="eastAsia"/>
          <w:color w:val="000000"/>
          <w:spacing w:val="-8"/>
          <w:kern w:val="0"/>
          <w:szCs w:val="32"/>
        </w:rPr>
        <w:t>儿童福利机构对接机制，开展儿童福利工作交流研讨，积极争取融入海峡论坛框架。推动泉台婚姻家庭领域交流，搭建交流沟通平台，打造交流交往品牌，形成参与度高、覆盖面广、互动性强的两岸婚姻家庭领域交流模式。</w:t>
      </w:r>
    </w:p>
    <w:p w14:paraId="0484898E">
      <w:pPr>
        <w:adjustRightInd w:val="0"/>
        <w:snapToGrid w:val="0"/>
        <w:ind w:firstLine="630" w:firstLineChars="196"/>
        <w:rPr>
          <w:color w:val="000000"/>
          <w:kern w:val="0"/>
          <w:szCs w:val="32"/>
        </w:rPr>
      </w:pPr>
      <w:r>
        <w:rPr>
          <w:rFonts w:hint="eastAsia"/>
          <w:b/>
          <w:bCs/>
          <w:color w:val="000000"/>
          <w:kern w:val="0"/>
          <w:szCs w:val="32"/>
        </w:rPr>
        <w:t>探索泉台社会工作融合发展。</w:t>
      </w:r>
      <w:r>
        <w:rPr>
          <w:rFonts w:hint="eastAsia"/>
          <w:color w:val="000000"/>
          <w:kern w:val="0"/>
          <w:szCs w:val="32"/>
        </w:rPr>
        <w:t>鼓励台湾同胞加入我市经济、科技、文化、艺术类专业性社团组织。在泉台湾科技人员可担任社团理事及以上职务。推动采认台湾社会工作者职业证书，开发面向台湾社工的专门岗位，打造一批两岸共创社会工作服务品牌，引导台湾社工赴泉就业创业。</w:t>
      </w:r>
    </w:p>
    <w:p w14:paraId="05FD97B0">
      <w:pPr>
        <w:pStyle w:val="24"/>
        <w:widowControl w:val="0"/>
        <w:outlineLvl w:val="0"/>
        <w:rPr>
          <w:rFonts w:ascii="Times New Roman" w:hAnsi="Times New Roman" w:eastAsia="方正小标宋简体"/>
          <w:color w:val="000000"/>
          <w:sz w:val="44"/>
        </w:rPr>
      </w:pPr>
      <w:bookmarkStart w:id="192" w:name="_Toc32219"/>
      <w:bookmarkStart w:id="193" w:name="_Toc5485"/>
      <w:bookmarkStart w:id="194" w:name="_Toc15618"/>
      <w:bookmarkStart w:id="195" w:name="_Toc31413"/>
      <w:bookmarkStart w:id="196" w:name="_Toc14939"/>
      <w:bookmarkStart w:id="197" w:name="_Toc11319"/>
      <w:bookmarkStart w:id="198" w:name="_Toc18157"/>
      <w:r>
        <w:rPr>
          <w:rFonts w:hint="eastAsia" w:ascii="Times New Roman" w:hAnsi="Times New Roman" w:eastAsia="方正小标宋简体"/>
          <w:color w:val="000000"/>
          <w:sz w:val="44"/>
        </w:rPr>
        <w:t>第八章　强化规划实施保障</w:t>
      </w:r>
      <w:bookmarkEnd w:id="192"/>
      <w:bookmarkEnd w:id="193"/>
      <w:bookmarkEnd w:id="194"/>
      <w:bookmarkEnd w:id="195"/>
      <w:bookmarkEnd w:id="196"/>
      <w:bookmarkEnd w:id="197"/>
      <w:bookmarkEnd w:id="198"/>
    </w:p>
    <w:p w14:paraId="1904C6D9">
      <w:pPr>
        <w:pStyle w:val="24"/>
        <w:widowControl w:val="0"/>
        <w:outlineLvl w:val="0"/>
        <w:rPr>
          <w:rFonts w:ascii="Times New Roman" w:hAnsi="Times New Roman"/>
          <w:color w:val="000000"/>
        </w:rPr>
      </w:pPr>
    </w:p>
    <w:p w14:paraId="5D3CA041">
      <w:pPr>
        <w:ind w:firstLine="31680"/>
        <w:rPr>
          <w:color w:val="000000"/>
          <w:szCs w:val="32"/>
        </w:rPr>
      </w:pPr>
      <w:r>
        <w:rPr>
          <w:rFonts w:hint="eastAsia"/>
          <w:color w:val="000000"/>
          <w:spacing w:val="2"/>
          <w:kern w:val="0"/>
          <w:szCs w:val="32"/>
        </w:rPr>
        <w:t>为顺利实施本规划，完成规划确定的各项目标与任务，必须坚持和加强党的全面领导，加强民政法治和标准化建设，拓展资金、人才、数字建设等要素支撑渠道，强化组织实施</w:t>
      </w:r>
      <w:r>
        <w:rPr>
          <w:rFonts w:hint="eastAsia"/>
          <w:color w:val="000000"/>
          <w:szCs w:val="32"/>
        </w:rPr>
        <w:t>，确保规划顺利实施，各项目标任务如期完成。</w:t>
      </w:r>
    </w:p>
    <w:p w14:paraId="63F97122">
      <w:pPr>
        <w:ind w:firstLine="31680"/>
        <w:rPr>
          <w:color w:val="000000"/>
          <w:szCs w:val="32"/>
        </w:rPr>
      </w:pPr>
    </w:p>
    <w:p w14:paraId="059013DF">
      <w:pPr>
        <w:pStyle w:val="25"/>
        <w:widowControl w:val="0"/>
        <w:outlineLvl w:val="1"/>
        <w:rPr>
          <w:rFonts w:eastAsia="方正黑体简体"/>
          <w:b w:val="0"/>
          <w:color w:val="000000"/>
        </w:rPr>
      </w:pPr>
      <w:bookmarkStart w:id="199" w:name="_Toc14785"/>
      <w:bookmarkStart w:id="200" w:name="_Toc25098"/>
      <w:bookmarkStart w:id="201" w:name="_Toc21227"/>
      <w:bookmarkStart w:id="202" w:name="_Toc15774"/>
      <w:bookmarkStart w:id="203" w:name="_Toc19826"/>
      <w:bookmarkStart w:id="204" w:name="_Toc24559"/>
      <w:bookmarkStart w:id="205" w:name="_Toc9458"/>
      <w:r>
        <w:rPr>
          <w:rFonts w:hint="eastAsia" w:eastAsia="方正黑体简体"/>
          <w:b w:val="0"/>
          <w:color w:val="000000"/>
        </w:rPr>
        <w:t>第一节　</w:t>
      </w:r>
      <w:bookmarkEnd w:id="199"/>
      <w:bookmarkEnd w:id="200"/>
      <w:bookmarkEnd w:id="201"/>
      <w:bookmarkEnd w:id="202"/>
      <w:bookmarkEnd w:id="203"/>
      <w:bookmarkEnd w:id="204"/>
      <w:bookmarkEnd w:id="205"/>
      <w:r>
        <w:rPr>
          <w:rFonts w:hint="eastAsia" w:eastAsia="方正黑体简体"/>
          <w:b w:val="0"/>
          <w:color w:val="000000"/>
        </w:rPr>
        <w:t>坚持党对民政事业的全面领导</w:t>
      </w:r>
    </w:p>
    <w:p w14:paraId="354D3764">
      <w:pPr>
        <w:ind w:firstLine="31680"/>
        <w:rPr>
          <w:color w:val="000000"/>
        </w:rPr>
      </w:pPr>
    </w:p>
    <w:p w14:paraId="1C7FDB82">
      <w:pPr>
        <w:adjustRightInd w:val="0"/>
        <w:snapToGrid w:val="0"/>
        <w:ind w:firstLine="31680"/>
        <w:rPr>
          <w:color w:val="000000"/>
          <w:szCs w:val="32"/>
        </w:rPr>
      </w:pPr>
      <w:r>
        <w:rPr>
          <w:rFonts w:hint="eastAsia"/>
          <w:color w:val="000000"/>
          <w:szCs w:val="32"/>
        </w:rPr>
        <w:t>坚持以习近平新时代中国特色社会主义思想为指导，坚决维护习近平总书记党中央的核心、全党的核心地位，坚决维护党中央权威和集中统一领导，全面贯彻新时代党的建设总要求和新时代党的组织路线，将全面从严治党贯穿于民政部门党的建设和党内生活各方面，将习近平总书记对福建工作的一系列重要讲话重要指示批示精神，以及关于民政事业的重要指示批示精神贯穿于民政事业发展改革全过程，进一步聚焦巩固拓展脱贫攻坚兜底保障成果，聚焦特殊群体，聚焦群众关切，扎实履行基本民生保障、基层社会治理、基本社会服务等职责，坚持以党的政治建设为统领，发扬充沛顽强的斗争精神，持续改进作风，勇于担当作为，践行</w:t>
      </w:r>
      <w:r>
        <w:rPr>
          <w:color w:val="000000"/>
          <w:szCs w:val="32"/>
        </w:rPr>
        <w:t>“</w:t>
      </w:r>
      <w:r>
        <w:rPr>
          <w:rFonts w:hint="eastAsia"/>
          <w:color w:val="000000"/>
          <w:szCs w:val="32"/>
        </w:rPr>
        <w:t>民政为民、民政爱民</w:t>
      </w:r>
      <w:r>
        <w:rPr>
          <w:color w:val="000000"/>
          <w:szCs w:val="32"/>
        </w:rPr>
        <w:t>”</w:t>
      </w:r>
      <w:r>
        <w:rPr>
          <w:rFonts w:hint="eastAsia"/>
          <w:color w:val="000000"/>
          <w:szCs w:val="32"/>
        </w:rPr>
        <w:t>工作理念，深入推进精神文明建设，以坚强的政治保证，在全方位推进高质量发展超越中，推进泉州民政工作不断开创新局面。</w:t>
      </w:r>
    </w:p>
    <w:p w14:paraId="20FA70AE">
      <w:pPr>
        <w:pStyle w:val="25"/>
        <w:widowControl w:val="0"/>
        <w:outlineLvl w:val="1"/>
        <w:rPr>
          <w:rFonts w:eastAsia="方正黑体简体"/>
          <w:b w:val="0"/>
          <w:color w:val="000000"/>
        </w:rPr>
      </w:pPr>
      <w:bookmarkStart w:id="206" w:name="_Toc26711"/>
      <w:bookmarkStart w:id="207" w:name="_Toc10277"/>
      <w:bookmarkStart w:id="208" w:name="_Toc1830"/>
      <w:bookmarkStart w:id="209" w:name="_Toc31319"/>
      <w:bookmarkStart w:id="210" w:name="_Toc24677"/>
      <w:bookmarkStart w:id="211" w:name="_Toc19319"/>
      <w:bookmarkStart w:id="212" w:name="_Toc29763"/>
      <w:r>
        <w:rPr>
          <w:rFonts w:hint="eastAsia" w:eastAsia="方正黑体简体"/>
          <w:b w:val="0"/>
          <w:color w:val="000000"/>
        </w:rPr>
        <w:t>第二节　完善民政法治和标准化建设</w:t>
      </w:r>
      <w:bookmarkEnd w:id="206"/>
      <w:bookmarkEnd w:id="207"/>
      <w:bookmarkEnd w:id="208"/>
      <w:bookmarkEnd w:id="209"/>
      <w:bookmarkEnd w:id="210"/>
      <w:bookmarkEnd w:id="211"/>
      <w:bookmarkEnd w:id="212"/>
    </w:p>
    <w:p w14:paraId="6E7E8C47">
      <w:pPr>
        <w:ind w:firstLine="31680"/>
        <w:rPr>
          <w:color w:val="000000"/>
        </w:rPr>
      </w:pPr>
    </w:p>
    <w:p w14:paraId="3DE2C467">
      <w:pPr>
        <w:adjustRightInd w:val="0"/>
        <w:snapToGrid w:val="0"/>
        <w:ind w:firstLine="31680"/>
        <w:rPr>
          <w:color w:val="000000"/>
          <w:szCs w:val="32"/>
        </w:rPr>
      </w:pPr>
      <w:r>
        <w:rPr>
          <w:rFonts w:hint="eastAsia"/>
          <w:color w:val="000000"/>
          <w:szCs w:val="32"/>
        </w:rPr>
        <w:t>坚持以习近平法治思想为指导，加强民政法治建设。推动出台民政地方性法规规章，完善</w:t>
      </w:r>
      <w:r>
        <w:rPr>
          <w:rFonts w:hint="eastAsia"/>
          <w:color w:val="000000"/>
          <w:kern w:val="0"/>
          <w:szCs w:val="32"/>
        </w:rPr>
        <w:t>社会救助、社会组织、社会福利、社会事务、基层民主等方面的法规体系。强化民政行政执法队伍和行政执法能力建设，</w:t>
      </w:r>
      <w:r>
        <w:rPr>
          <w:rFonts w:hint="eastAsia"/>
          <w:color w:val="000000"/>
          <w:szCs w:val="32"/>
        </w:rPr>
        <w:t>规范落实</w:t>
      </w:r>
      <w:r>
        <w:rPr>
          <w:color w:val="000000"/>
          <w:szCs w:val="32"/>
        </w:rPr>
        <w:t>“</w:t>
      </w:r>
      <w:r>
        <w:rPr>
          <w:rFonts w:hint="eastAsia"/>
          <w:color w:val="000000"/>
          <w:szCs w:val="32"/>
        </w:rPr>
        <w:t>双随机</w:t>
      </w:r>
      <w:r>
        <w:rPr>
          <w:rFonts w:hint="eastAsia"/>
          <w:color w:val="000000"/>
          <w:szCs w:val="32"/>
          <w:lang w:eastAsia="zh-CN"/>
        </w:rPr>
        <w:t>、</w:t>
      </w:r>
      <w:r>
        <w:rPr>
          <w:rFonts w:hint="eastAsia"/>
          <w:color w:val="000000"/>
          <w:szCs w:val="32"/>
        </w:rPr>
        <w:t>一公开</w:t>
      </w:r>
      <w:r>
        <w:rPr>
          <w:color w:val="000000"/>
          <w:szCs w:val="32"/>
        </w:rPr>
        <w:t>”</w:t>
      </w:r>
      <w:r>
        <w:rPr>
          <w:rFonts w:hint="eastAsia"/>
          <w:color w:val="000000"/>
          <w:szCs w:val="32"/>
        </w:rPr>
        <w:t>制度</w:t>
      </w:r>
      <w:r>
        <w:rPr>
          <w:rFonts w:hint="eastAsia"/>
          <w:color w:val="000000"/>
          <w:kern w:val="0"/>
          <w:szCs w:val="32"/>
        </w:rPr>
        <w:t>。深入实施《中华人民共和国民法典》《中华人民共和国慈善法》《福建省志愿服务条例》《福建省促进革命老区发展条例》《福建省农村留守儿童关爱保护办法》等法律法规文件。</w:t>
      </w:r>
      <w:r>
        <w:rPr>
          <w:rFonts w:hint="eastAsia"/>
          <w:color w:val="000000"/>
          <w:szCs w:val="32"/>
        </w:rPr>
        <w:t>建立民政系统学习法律知识、增强法治意识、自觉遵守法律的制度，提升民政工作人员法律素养。</w:t>
      </w:r>
      <w:r>
        <w:rPr>
          <w:rFonts w:hint="eastAsia"/>
          <w:color w:val="000000"/>
          <w:kern w:val="0"/>
          <w:szCs w:val="32"/>
        </w:rPr>
        <w:t>积极</w:t>
      </w:r>
      <w:r>
        <w:rPr>
          <w:rFonts w:hint="eastAsia"/>
          <w:color w:val="000000"/>
          <w:szCs w:val="32"/>
        </w:rPr>
        <w:t>贯彻落实</w:t>
      </w:r>
      <w:r>
        <w:rPr>
          <w:color w:val="000000"/>
          <w:szCs w:val="32"/>
        </w:rPr>
        <w:t>“</w:t>
      </w:r>
      <w:r>
        <w:rPr>
          <w:rFonts w:hint="eastAsia"/>
          <w:color w:val="000000"/>
          <w:szCs w:val="32"/>
        </w:rPr>
        <w:t>放管服</w:t>
      </w:r>
      <w:r>
        <w:rPr>
          <w:color w:val="000000"/>
          <w:szCs w:val="32"/>
        </w:rPr>
        <w:t>”</w:t>
      </w:r>
      <w:r>
        <w:rPr>
          <w:rFonts w:hint="eastAsia"/>
          <w:color w:val="000000"/>
          <w:szCs w:val="32"/>
        </w:rPr>
        <w:t>改革，简化民政办事手续、优化办事流程。完善民政法治监督、宣传和普法新途径，依法依规办事。扩大民政标准化试点范围，重点推动养老、殡葬等行业和地方标准出台。</w:t>
      </w:r>
      <w:r>
        <w:rPr>
          <w:rFonts w:hint="eastAsia"/>
          <w:color w:val="000000"/>
          <w:kern w:val="0"/>
          <w:szCs w:val="32"/>
        </w:rPr>
        <w:t>充分发挥标准化在提</w:t>
      </w:r>
      <w:r>
        <w:rPr>
          <w:rFonts w:hint="eastAsia"/>
          <w:color w:val="000000"/>
          <w:szCs w:val="32"/>
        </w:rPr>
        <w:t>升管理和服务水平中的基础性作用，更好地服务于民政事业发展。</w:t>
      </w:r>
    </w:p>
    <w:p w14:paraId="59EC144F">
      <w:pPr>
        <w:adjustRightInd w:val="0"/>
        <w:snapToGrid w:val="0"/>
        <w:ind w:firstLine="31680"/>
        <w:rPr>
          <w:color w:val="000000"/>
          <w:szCs w:val="32"/>
        </w:rPr>
      </w:pPr>
    </w:p>
    <w:p w14:paraId="2518844E">
      <w:pPr>
        <w:pStyle w:val="25"/>
        <w:widowControl w:val="0"/>
        <w:outlineLvl w:val="1"/>
        <w:rPr>
          <w:rFonts w:eastAsia="方正黑体简体"/>
          <w:b w:val="0"/>
          <w:color w:val="000000"/>
        </w:rPr>
      </w:pPr>
      <w:bookmarkStart w:id="213" w:name="_Toc10583"/>
      <w:bookmarkStart w:id="214" w:name="_Toc3546"/>
      <w:bookmarkStart w:id="215" w:name="_Toc413"/>
      <w:bookmarkStart w:id="216" w:name="_Toc30934"/>
      <w:bookmarkStart w:id="217" w:name="_Toc28192"/>
      <w:bookmarkStart w:id="218" w:name="_Toc19645"/>
      <w:bookmarkStart w:id="219" w:name="_Toc3033"/>
      <w:r>
        <w:rPr>
          <w:rFonts w:hint="eastAsia" w:eastAsia="方正黑体简体"/>
          <w:b w:val="0"/>
          <w:color w:val="000000"/>
        </w:rPr>
        <w:t>第三节　拓宽民政资金保障渠道</w:t>
      </w:r>
      <w:bookmarkEnd w:id="213"/>
      <w:bookmarkEnd w:id="214"/>
      <w:bookmarkEnd w:id="215"/>
      <w:bookmarkEnd w:id="216"/>
      <w:bookmarkEnd w:id="217"/>
      <w:bookmarkEnd w:id="218"/>
      <w:bookmarkEnd w:id="219"/>
    </w:p>
    <w:p w14:paraId="16C4490C">
      <w:pPr>
        <w:ind w:firstLine="31680"/>
        <w:rPr>
          <w:color w:val="000000"/>
        </w:rPr>
      </w:pPr>
    </w:p>
    <w:p w14:paraId="31E80163">
      <w:pPr>
        <w:adjustRightInd w:val="0"/>
        <w:snapToGrid w:val="0"/>
        <w:ind w:firstLine="31680"/>
        <w:rPr>
          <w:bCs/>
          <w:color w:val="000000"/>
          <w:szCs w:val="32"/>
        </w:rPr>
      </w:pPr>
      <w:r>
        <w:rPr>
          <w:rFonts w:hint="eastAsia"/>
          <w:bCs/>
          <w:color w:val="000000"/>
          <w:szCs w:val="32"/>
        </w:rPr>
        <w:t>加强中期财政规划管理，增强与重大改革、重要政策和重大项目的有效衔接。健全完善与各级政府合理分担、事权与财权相匹配的民政资金保障机制。进一步放宽准入门槛，充分利用财税、金融等优惠、激励政策，引导和鼓励社会资本投入民政公共服务领域。通过扩大福利彩票发行、倡导公益慈善捐助等多种方式，引导和吸纳更多的社会资本投入民政事业，形成以政府投入为主的多方面、多渠道、多形式民政事业资金投入新格局。适应财政预算管理制度、财政支出标准化改革，稳步开展零基预算管理，强化预算约束。全面实施预算绩效管理，提高民政资金使用效率。</w:t>
      </w:r>
    </w:p>
    <w:p w14:paraId="01047E50">
      <w:pPr>
        <w:adjustRightInd w:val="0"/>
        <w:snapToGrid w:val="0"/>
        <w:ind w:firstLine="31680"/>
        <w:rPr>
          <w:bCs/>
          <w:color w:val="000000"/>
          <w:szCs w:val="32"/>
        </w:rPr>
      </w:pPr>
    </w:p>
    <w:p w14:paraId="1B1C5B69">
      <w:pPr>
        <w:pStyle w:val="25"/>
        <w:widowControl w:val="0"/>
        <w:outlineLvl w:val="1"/>
        <w:rPr>
          <w:rFonts w:eastAsia="方正黑体简体"/>
          <w:b w:val="0"/>
          <w:color w:val="000000"/>
        </w:rPr>
      </w:pPr>
      <w:bookmarkStart w:id="220" w:name="_Toc19516"/>
      <w:bookmarkStart w:id="221" w:name="_Toc5561"/>
      <w:bookmarkStart w:id="222" w:name="_Toc21617"/>
      <w:bookmarkStart w:id="223" w:name="_Toc21701"/>
      <w:bookmarkStart w:id="224" w:name="_Toc8330"/>
      <w:bookmarkStart w:id="225" w:name="_Toc26357"/>
      <w:bookmarkStart w:id="226" w:name="_Toc6707"/>
      <w:r>
        <w:rPr>
          <w:rFonts w:hint="eastAsia" w:eastAsia="方正黑体简体"/>
          <w:b w:val="0"/>
          <w:color w:val="000000"/>
        </w:rPr>
        <w:t>第四节　推进民政领域数字建设</w:t>
      </w:r>
      <w:bookmarkEnd w:id="220"/>
      <w:bookmarkEnd w:id="221"/>
      <w:bookmarkEnd w:id="222"/>
      <w:bookmarkEnd w:id="223"/>
      <w:bookmarkEnd w:id="224"/>
      <w:bookmarkEnd w:id="225"/>
      <w:bookmarkEnd w:id="226"/>
    </w:p>
    <w:p w14:paraId="5BF9C3EB">
      <w:pPr>
        <w:ind w:firstLine="31680"/>
        <w:rPr>
          <w:color w:val="000000"/>
        </w:rPr>
      </w:pPr>
    </w:p>
    <w:p w14:paraId="4FECEDAC">
      <w:pPr>
        <w:adjustRightInd w:val="0"/>
        <w:snapToGrid w:val="0"/>
        <w:ind w:firstLine="31680"/>
        <w:rPr>
          <w:color w:val="000000"/>
          <w:spacing w:val="-10"/>
          <w:szCs w:val="32"/>
          <w:shd w:val="clear" w:color="auto" w:fill="FFFFFF"/>
        </w:rPr>
      </w:pPr>
      <w:r>
        <w:rPr>
          <w:rFonts w:hint="eastAsia"/>
          <w:color w:val="000000"/>
          <w:spacing w:val="-10"/>
          <w:szCs w:val="32"/>
          <w:shd w:val="clear" w:color="auto" w:fill="FFFFFF"/>
        </w:rPr>
        <w:t>按照</w:t>
      </w:r>
      <w:r>
        <w:rPr>
          <w:color w:val="000000"/>
          <w:spacing w:val="-10"/>
          <w:szCs w:val="32"/>
          <w:shd w:val="clear" w:color="auto" w:fill="FFFFFF"/>
        </w:rPr>
        <w:t>“</w:t>
      </w:r>
      <w:r>
        <w:rPr>
          <w:rFonts w:hint="eastAsia"/>
          <w:color w:val="000000"/>
          <w:spacing w:val="-10"/>
          <w:szCs w:val="32"/>
          <w:shd w:val="clear" w:color="auto" w:fill="FFFFFF"/>
        </w:rPr>
        <w:t>一盘棋布局、一张网建设、一体化发展</w:t>
      </w:r>
      <w:r>
        <w:rPr>
          <w:color w:val="000000"/>
          <w:spacing w:val="-10"/>
          <w:szCs w:val="32"/>
          <w:shd w:val="clear" w:color="auto" w:fill="FFFFFF"/>
        </w:rPr>
        <w:t>”</w:t>
      </w:r>
      <w:r>
        <w:rPr>
          <w:rFonts w:hint="eastAsia"/>
          <w:color w:val="000000"/>
          <w:spacing w:val="-10"/>
          <w:szCs w:val="32"/>
          <w:shd w:val="clear" w:color="auto" w:fill="FFFFFF"/>
        </w:rPr>
        <w:t>的原则，落实</w:t>
      </w:r>
      <w:r>
        <w:rPr>
          <w:color w:val="000000"/>
          <w:spacing w:val="-10"/>
          <w:szCs w:val="32"/>
          <w:shd w:val="clear" w:color="auto" w:fill="FFFFFF"/>
        </w:rPr>
        <w:t>“</w:t>
      </w:r>
      <w:r>
        <w:rPr>
          <w:rFonts w:hint="eastAsia"/>
          <w:color w:val="000000"/>
          <w:spacing w:val="-10"/>
          <w:szCs w:val="32"/>
          <w:shd w:val="clear" w:color="auto" w:fill="FFFFFF"/>
        </w:rPr>
        <w:t>智慧民政</w:t>
      </w:r>
      <w:r>
        <w:rPr>
          <w:color w:val="000000"/>
          <w:spacing w:val="-10"/>
          <w:szCs w:val="32"/>
          <w:shd w:val="clear" w:color="auto" w:fill="FFFFFF"/>
        </w:rPr>
        <w:t>”</w:t>
      </w:r>
      <w:r>
        <w:rPr>
          <w:rFonts w:hint="eastAsia"/>
          <w:color w:val="000000"/>
          <w:spacing w:val="-10"/>
          <w:szCs w:val="32"/>
          <w:shd w:val="clear" w:color="auto" w:fill="FFFFFF"/>
        </w:rPr>
        <w:t>行动计划，提高民政管理智能化水平，提升便民为民服务技术保障能力。落实</w:t>
      </w:r>
      <w:r>
        <w:rPr>
          <w:color w:val="000000"/>
          <w:spacing w:val="-10"/>
          <w:szCs w:val="32"/>
          <w:shd w:val="clear" w:color="auto" w:fill="FFFFFF"/>
        </w:rPr>
        <w:t>“1+4+N”</w:t>
      </w:r>
      <w:r>
        <w:rPr>
          <w:rFonts w:hint="eastAsia"/>
          <w:color w:val="000000"/>
          <w:spacing w:val="-10"/>
          <w:szCs w:val="32"/>
          <w:shd w:val="clear" w:color="auto" w:fill="FFFFFF"/>
        </w:rPr>
        <w:t>智慧民政服务体系（建设</w:t>
      </w:r>
      <w:r>
        <w:rPr>
          <w:color w:val="000000"/>
          <w:spacing w:val="-10"/>
          <w:szCs w:val="32"/>
          <w:shd w:val="clear" w:color="auto" w:fill="FFFFFF"/>
        </w:rPr>
        <w:t>1</w:t>
      </w:r>
      <w:r>
        <w:rPr>
          <w:rFonts w:hint="eastAsia"/>
          <w:color w:val="000000"/>
          <w:spacing w:val="-10"/>
          <w:szCs w:val="32"/>
          <w:shd w:val="clear" w:color="auto" w:fill="FFFFFF"/>
        </w:rPr>
        <w:t>个数据中心、</w:t>
      </w:r>
      <w:r>
        <w:rPr>
          <w:color w:val="000000"/>
          <w:spacing w:val="-10"/>
          <w:szCs w:val="32"/>
          <w:shd w:val="clear" w:color="auto" w:fill="FFFFFF"/>
        </w:rPr>
        <w:t>4</w:t>
      </w:r>
      <w:r>
        <w:rPr>
          <w:rFonts w:hint="eastAsia"/>
          <w:color w:val="000000"/>
          <w:spacing w:val="-10"/>
          <w:szCs w:val="32"/>
          <w:shd w:val="clear" w:color="auto" w:fill="FFFFFF"/>
        </w:rPr>
        <w:t>个业务平台、</w:t>
      </w:r>
      <w:r>
        <w:rPr>
          <w:color w:val="000000"/>
          <w:spacing w:val="-10"/>
          <w:szCs w:val="32"/>
          <w:shd w:val="clear" w:color="auto" w:fill="FFFFFF"/>
        </w:rPr>
        <w:t>N</w:t>
      </w:r>
      <w:r>
        <w:rPr>
          <w:rFonts w:hint="eastAsia"/>
          <w:color w:val="000000"/>
          <w:spacing w:val="-10"/>
          <w:szCs w:val="32"/>
          <w:shd w:val="clear" w:color="auto" w:fill="FFFFFF"/>
        </w:rPr>
        <w:t>个业务应用系统），逐步实现</w:t>
      </w:r>
      <w:r>
        <w:rPr>
          <w:color w:val="000000"/>
          <w:spacing w:val="-10"/>
          <w:szCs w:val="32"/>
          <w:shd w:val="clear" w:color="auto" w:fill="FFFFFF"/>
        </w:rPr>
        <w:t>“</w:t>
      </w:r>
      <w:r>
        <w:rPr>
          <w:rFonts w:hint="eastAsia"/>
          <w:color w:val="000000"/>
          <w:spacing w:val="-10"/>
          <w:szCs w:val="32"/>
          <w:shd w:val="clear" w:color="auto" w:fill="FFFFFF"/>
        </w:rPr>
        <w:t>一网通办</w:t>
      </w:r>
      <w:r>
        <w:rPr>
          <w:color w:val="000000"/>
          <w:spacing w:val="-10"/>
          <w:szCs w:val="32"/>
          <w:shd w:val="clear" w:color="auto" w:fill="FFFFFF"/>
        </w:rPr>
        <w:t>”</w:t>
      </w:r>
      <w:r>
        <w:rPr>
          <w:rFonts w:hint="eastAsia"/>
          <w:color w:val="000000"/>
          <w:spacing w:val="-10"/>
          <w:szCs w:val="32"/>
          <w:shd w:val="clear" w:color="auto" w:fill="FFFFFF"/>
        </w:rPr>
        <w:t>向</w:t>
      </w:r>
      <w:r>
        <w:rPr>
          <w:color w:val="000000"/>
          <w:spacing w:val="-10"/>
          <w:szCs w:val="32"/>
          <w:shd w:val="clear" w:color="auto" w:fill="FFFFFF"/>
        </w:rPr>
        <w:t>“</w:t>
      </w:r>
      <w:r>
        <w:rPr>
          <w:rFonts w:hint="eastAsia"/>
          <w:color w:val="000000"/>
          <w:spacing w:val="-10"/>
          <w:szCs w:val="32"/>
          <w:shd w:val="clear" w:color="auto" w:fill="FFFFFF"/>
        </w:rPr>
        <w:t>一网好办</w:t>
      </w:r>
      <w:r>
        <w:rPr>
          <w:color w:val="000000"/>
          <w:spacing w:val="-10"/>
          <w:szCs w:val="32"/>
          <w:shd w:val="clear" w:color="auto" w:fill="FFFFFF"/>
        </w:rPr>
        <w:t>”</w:t>
      </w:r>
      <w:r>
        <w:rPr>
          <w:rFonts w:hint="eastAsia"/>
          <w:color w:val="000000"/>
          <w:spacing w:val="-10"/>
          <w:szCs w:val="32"/>
          <w:shd w:val="clear" w:color="auto" w:fill="FFFFFF"/>
        </w:rPr>
        <w:t>转变。融合民政部</w:t>
      </w:r>
      <w:r>
        <w:rPr>
          <w:color w:val="000000"/>
          <w:spacing w:val="-10"/>
          <w:szCs w:val="32"/>
          <w:shd w:val="clear" w:color="auto" w:fill="FFFFFF"/>
        </w:rPr>
        <w:t>“</w:t>
      </w:r>
      <w:r>
        <w:rPr>
          <w:rFonts w:hint="eastAsia"/>
          <w:color w:val="000000"/>
          <w:spacing w:val="-10"/>
          <w:szCs w:val="32"/>
          <w:shd w:val="clear" w:color="auto" w:fill="FFFFFF"/>
        </w:rPr>
        <w:t>金民工程</w:t>
      </w:r>
      <w:r>
        <w:rPr>
          <w:color w:val="000000"/>
          <w:spacing w:val="-10"/>
          <w:szCs w:val="32"/>
          <w:shd w:val="clear" w:color="auto" w:fill="FFFFFF"/>
        </w:rPr>
        <w:t>”</w:t>
      </w:r>
      <w:r>
        <w:rPr>
          <w:rFonts w:hint="eastAsia"/>
          <w:color w:val="000000"/>
          <w:spacing w:val="-10"/>
          <w:szCs w:val="32"/>
          <w:shd w:val="clear" w:color="auto" w:fill="FFFFFF"/>
        </w:rPr>
        <w:t>和数字福建、数字泉州建设要求，制定统一的数据规范标准，强化数据汇集能力，构建民政数据资源共享体系，实现民政业务系统与泉州市级政务数据汇聚共享平台互联互通、信息共享。充分利用区块链、物联网、</w:t>
      </w:r>
      <w:r>
        <w:rPr>
          <w:color w:val="000000"/>
          <w:spacing w:val="-10"/>
          <w:szCs w:val="32"/>
          <w:shd w:val="clear" w:color="auto" w:fill="FFFFFF"/>
        </w:rPr>
        <w:t>AI</w:t>
      </w:r>
      <w:r>
        <w:rPr>
          <w:rFonts w:hint="eastAsia"/>
          <w:color w:val="000000"/>
          <w:spacing w:val="-10"/>
          <w:szCs w:val="32"/>
          <w:shd w:val="clear" w:color="auto" w:fill="FFFFFF"/>
        </w:rPr>
        <w:t>等技术，提高应用系统的分析、统计、判断能力，逐步实现智能化，为领导的决策提供科学依据。加强民政信息化硬件设施建设，加快推进信创工程，为建设</w:t>
      </w:r>
      <w:r>
        <w:rPr>
          <w:color w:val="000000"/>
          <w:spacing w:val="-10"/>
          <w:szCs w:val="32"/>
          <w:shd w:val="clear" w:color="auto" w:fill="FFFFFF"/>
        </w:rPr>
        <w:t>“</w:t>
      </w:r>
      <w:r>
        <w:rPr>
          <w:rFonts w:hint="eastAsia"/>
          <w:color w:val="000000"/>
          <w:spacing w:val="-10"/>
          <w:szCs w:val="32"/>
          <w:shd w:val="clear" w:color="auto" w:fill="FFFFFF"/>
        </w:rPr>
        <w:t>数字化、网络化、可视化、智慧化</w:t>
      </w:r>
      <w:r>
        <w:rPr>
          <w:color w:val="000000"/>
          <w:spacing w:val="-10"/>
          <w:szCs w:val="32"/>
          <w:shd w:val="clear" w:color="auto" w:fill="FFFFFF"/>
        </w:rPr>
        <w:t>”</w:t>
      </w:r>
      <w:r>
        <w:rPr>
          <w:rFonts w:hint="eastAsia"/>
          <w:color w:val="000000"/>
          <w:spacing w:val="-10"/>
          <w:szCs w:val="32"/>
          <w:shd w:val="clear" w:color="auto" w:fill="FFFFFF"/>
        </w:rPr>
        <w:t>的智慧民政平台提供强有力支撑。</w:t>
      </w:r>
    </w:p>
    <w:p w14:paraId="457287A2">
      <w:pPr>
        <w:adjustRightInd w:val="0"/>
        <w:snapToGrid w:val="0"/>
        <w:ind w:firstLine="31680"/>
        <w:rPr>
          <w:color w:val="000000"/>
          <w:spacing w:val="-10"/>
          <w:szCs w:val="32"/>
          <w:shd w:val="clear" w:color="auto" w:fill="FFFFFF"/>
        </w:rPr>
      </w:pPr>
    </w:p>
    <w:p w14:paraId="59A6102C">
      <w:pPr>
        <w:pStyle w:val="25"/>
        <w:widowControl w:val="0"/>
        <w:outlineLvl w:val="1"/>
        <w:rPr>
          <w:rFonts w:eastAsia="方正黑体简体"/>
          <w:b w:val="0"/>
          <w:color w:val="000000"/>
        </w:rPr>
      </w:pPr>
      <w:bookmarkStart w:id="227" w:name="_Toc3210"/>
      <w:bookmarkStart w:id="228" w:name="_Toc3759"/>
      <w:bookmarkStart w:id="229" w:name="_Toc28567"/>
      <w:bookmarkStart w:id="230" w:name="_Toc25326"/>
      <w:bookmarkStart w:id="231" w:name="_Toc13521"/>
      <w:bookmarkStart w:id="232" w:name="_Toc18010"/>
      <w:bookmarkStart w:id="233" w:name="_Toc21849"/>
      <w:r>
        <w:rPr>
          <w:rFonts w:hint="eastAsia" w:eastAsia="方正黑体简体"/>
          <w:b w:val="0"/>
          <w:color w:val="000000"/>
        </w:rPr>
        <w:t>第五节　加强民政人才队伍建设</w:t>
      </w:r>
      <w:bookmarkEnd w:id="227"/>
      <w:bookmarkEnd w:id="228"/>
      <w:bookmarkEnd w:id="229"/>
      <w:bookmarkEnd w:id="230"/>
      <w:bookmarkEnd w:id="231"/>
      <w:bookmarkEnd w:id="232"/>
      <w:bookmarkEnd w:id="233"/>
    </w:p>
    <w:p w14:paraId="3CAF24BA">
      <w:pPr>
        <w:adjustRightInd w:val="0"/>
        <w:snapToGrid w:val="0"/>
        <w:ind w:firstLine="31680"/>
        <w:rPr>
          <w:color w:val="000000"/>
          <w:spacing w:val="-12"/>
          <w:szCs w:val="32"/>
        </w:rPr>
      </w:pPr>
      <w:r>
        <w:rPr>
          <w:rFonts w:hint="eastAsia"/>
          <w:color w:val="000000"/>
          <w:szCs w:val="32"/>
        </w:rPr>
        <w:t>统筹推进民政系统行政管理人才、专业技术人才、基层实用人才队伍建设，构建行政力量为主导、专业力量为支撑、社会力量为补充的人力资源保障格局。加大改革创新力</w:t>
      </w:r>
      <w:r>
        <w:rPr>
          <w:rFonts w:hint="eastAsia"/>
          <w:color w:val="000000"/>
          <w:spacing w:val="-12"/>
          <w:szCs w:val="32"/>
        </w:rPr>
        <w:t>度，采取内部调剂、开设岗位、购买服务等多种渠道，调整充实基层民政工作力量。严格监督管理和教育，加大民政人才培养力度，统筹资源、分级分类、精准有效开展民政干部职工教育培训，打造一支创新型、应用型、复合型民政人才队伍。</w:t>
      </w:r>
    </w:p>
    <w:p w14:paraId="1D7341B3">
      <w:pPr>
        <w:adjustRightInd w:val="0"/>
        <w:snapToGrid w:val="0"/>
        <w:ind w:firstLine="31680"/>
        <w:rPr>
          <w:color w:val="000000"/>
          <w:spacing w:val="-12"/>
          <w:szCs w:val="32"/>
        </w:rPr>
      </w:pPr>
    </w:p>
    <w:p w14:paraId="5EFC6093">
      <w:pPr>
        <w:pStyle w:val="25"/>
        <w:widowControl w:val="0"/>
        <w:outlineLvl w:val="1"/>
        <w:rPr>
          <w:rFonts w:eastAsia="方正黑体简体"/>
          <w:b w:val="0"/>
          <w:color w:val="000000"/>
        </w:rPr>
      </w:pPr>
      <w:bookmarkStart w:id="234" w:name="_Toc11037"/>
      <w:bookmarkStart w:id="235" w:name="_Toc24585"/>
      <w:bookmarkStart w:id="236" w:name="_Toc11709"/>
      <w:bookmarkStart w:id="237" w:name="_Toc2384"/>
      <w:bookmarkStart w:id="238" w:name="_Toc20559"/>
      <w:bookmarkStart w:id="239" w:name="_Toc26185"/>
      <w:bookmarkStart w:id="240" w:name="_Toc9330"/>
      <w:bookmarkStart w:id="241" w:name="_Toc32602"/>
      <w:r>
        <w:rPr>
          <w:rFonts w:hint="eastAsia" w:eastAsia="方正黑体简体"/>
          <w:b w:val="0"/>
          <w:color w:val="000000"/>
        </w:rPr>
        <w:t>第六节　统筹民政领域发展与安全</w:t>
      </w:r>
      <w:bookmarkEnd w:id="234"/>
      <w:bookmarkEnd w:id="235"/>
      <w:bookmarkEnd w:id="236"/>
      <w:bookmarkEnd w:id="237"/>
      <w:bookmarkEnd w:id="238"/>
      <w:bookmarkEnd w:id="239"/>
      <w:bookmarkEnd w:id="240"/>
      <w:bookmarkEnd w:id="241"/>
    </w:p>
    <w:p w14:paraId="536D9DB7">
      <w:pPr>
        <w:ind w:firstLine="31680"/>
        <w:rPr>
          <w:color w:val="000000"/>
        </w:rPr>
      </w:pPr>
    </w:p>
    <w:p w14:paraId="3183FB56">
      <w:pPr>
        <w:adjustRightInd w:val="0"/>
        <w:snapToGrid w:val="0"/>
        <w:ind w:firstLine="31680"/>
        <w:rPr>
          <w:color w:val="000000"/>
          <w:szCs w:val="32"/>
        </w:rPr>
      </w:pPr>
      <w:r>
        <w:rPr>
          <w:rFonts w:hint="eastAsia" w:hAnsi="仿宋_GB2312"/>
          <w:b/>
          <w:bCs/>
          <w:color w:val="000000"/>
          <w:szCs w:val="32"/>
        </w:rPr>
        <w:t>切实强化安全意识。</w:t>
      </w:r>
      <w:r>
        <w:rPr>
          <w:rFonts w:hint="eastAsia" w:hAnsi="仿宋_GB2312"/>
          <w:color w:val="000000"/>
          <w:szCs w:val="32"/>
        </w:rPr>
        <w:t>全面深入贯彻习近平总书记关于安全生产重要论述，按照党中央、国务院和省委、省政府关于安全生产的决策部署，坚持安全发展理念和红线意识，预防为主、关口前移。时刻绷紧安全生产这根弦，坚决落实最严格的安全生产责任制度，牢守民政安全发展底线，压紧压实安全生产责任，健全和完善民政服务机构消防、食品等安全隐患排查和安全预防控制体系建设。</w:t>
      </w:r>
    </w:p>
    <w:p w14:paraId="2ABD2EF0">
      <w:pPr>
        <w:adjustRightInd w:val="0"/>
        <w:snapToGrid w:val="0"/>
        <w:ind w:firstLine="31680"/>
        <w:rPr>
          <w:b/>
          <w:bCs/>
          <w:color w:val="000000"/>
          <w:szCs w:val="32"/>
        </w:rPr>
      </w:pPr>
      <w:r>
        <w:rPr>
          <w:rFonts w:hint="eastAsia" w:hAnsi="仿宋_GB2312"/>
          <w:b/>
          <w:bCs/>
          <w:color w:val="000000"/>
          <w:szCs w:val="32"/>
        </w:rPr>
        <w:t>推进安全生产工作。</w:t>
      </w:r>
      <w:r>
        <w:rPr>
          <w:rFonts w:hint="eastAsia" w:hAnsi="仿宋_GB2312"/>
          <w:color w:val="000000"/>
          <w:szCs w:val="32"/>
        </w:rPr>
        <w:t>抓实抓细日常安全生产管理，对安全问题实行</w:t>
      </w:r>
      <w:r>
        <w:rPr>
          <w:color w:val="000000"/>
          <w:szCs w:val="32"/>
        </w:rPr>
        <w:t>“</w:t>
      </w:r>
      <w:r>
        <w:rPr>
          <w:rFonts w:hint="eastAsia" w:hAnsi="仿宋_GB2312"/>
          <w:color w:val="000000"/>
          <w:szCs w:val="32"/>
        </w:rPr>
        <w:t>零容忍</w:t>
      </w:r>
      <w:r>
        <w:rPr>
          <w:color w:val="000000"/>
          <w:szCs w:val="32"/>
        </w:rPr>
        <w:t>”</w:t>
      </w:r>
      <w:r>
        <w:rPr>
          <w:rFonts w:hint="eastAsia" w:hAnsi="仿宋_GB2312"/>
          <w:color w:val="000000"/>
          <w:szCs w:val="32"/>
        </w:rPr>
        <w:t>，切实防范化解民政服务过程中的重大安全风险，坚决遏制重特大生产安全事故。科学规范落实民政系统服务机构消防安全管理，重点在社会事务、养老服务、儿童福利等领域民政服务机构开展消防安全专项整治行动，确保消防规范达标。营造良好民政服务安全保障环境，提升民政安全生产工作水平，为平安福建贡献民政力量。</w:t>
      </w:r>
    </w:p>
    <w:p w14:paraId="5B609103">
      <w:pPr>
        <w:adjustRightInd w:val="0"/>
        <w:snapToGrid w:val="0"/>
        <w:ind w:firstLine="31680"/>
        <w:rPr>
          <w:color w:val="000000"/>
          <w:szCs w:val="32"/>
        </w:rPr>
      </w:pPr>
      <w:r>
        <w:rPr>
          <w:rFonts w:hint="eastAsia" w:hAnsi="仿宋_GB2312"/>
          <w:b/>
          <w:bCs/>
          <w:color w:val="000000"/>
          <w:szCs w:val="32"/>
        </w:rPr>
        <w:t>全面做好疫情防控。</w:t>
      </w:r>
      <w:r>
        <w:rPr>
          <w:rFonts w:hint="eastAsia" w:hAnsi="仿宋_GB2312"/>
          <w:color w:val="000000"/>
          <w:szCs w:val="32"/>
        </w:rPr>
        <w:t>坚持常态化疫情防控和局部应急处置工作，不断巩固民政领域疫情防控成果。严格执行</w:t>
      </w:r>
      <w:r>
        <w:rPr>
          <w:color w:val="000000"/>
          <w:szCs w:val="32"/>
        </w:rPr>
        <w:t>“</w:t>
      </w:r>
      <w:r>
        <w:rPr>
          <w:rFonts w:hint="eastAsia" w:hAnsi="仿宋_GB2312"/>
          <w:color w:val="000000"/>
          <w:szCs w:val="32"/>
        </w:rPr>
        <w:t>四早</w:t>
      </w:r>
      <w:r>
        <w:rPr>
          <w:color w:val="000000"/>
          <w:szCs w:val="32"/>
        </w:rPr>
        <w:t>”</w:t>
      </w:r>
      <w:r>
        <w:rPr>
          <w:rFonts w:hint="eastAsia" w:hAnsi="仿宋_GB2312"/>
          <w:color w:val="000000"/>
          <w:szCs w:val="32"/>
        </w:rPr>
        <w:t>措施，督促指导民政服务机构、城乡社区等落实相关防控要求，有效开展疫情防控督导检查。完善常态化监测预警工作措施，加强机构内服务对象健康监测。根据需要建立跨区域援助工作机制，对疫情防控压力大、能力相对薄弱的地区及时开展支援。</w:t>
      </w:r>
    </w:p>
    <w:p w14:paraId="5592672E">
      <w:pPr>
        <w:adjustRightInd w:val="0"/>
        <w:snapToGrid w:val="0"/>
        <w:ind w:firstLine="31680"/>
        <w:rPr>
          <w:color w:val="000000"/>
          <w:szCs w:val="32"/>
        </w:rPr>
      </w:pPr>
    </w:p>
    <w:p w14:paraId="1DCF2355">
      <w:pPr>
        <w:pStyle w:val="25"/>
        <w:widowControl w:val="0"/>
        <w:outlineLvl w:val="1"/>
        <w:rPr>
          <w:rFonts w:eastAsia="方正黑体简体"/>
          <w:b w:val="0"/>
          <w:color w:val="000000"/>
        </w:rPr>
      </w:pPr>
      <w:bookmarkStart w:id="242" w:name="_Toc16865"/>
      <w:bookmarkStart w:id="243" w:name="_Toc13150"/>
      <w:bookmarkStart w:id="244" w:name="_Toc9588"/>
      <w:bookmarkStart w:id="245" w:name="_Toc3859"/>
      <w:bookmarkStart w:id="246" w:name="_Toc23755"/>
      <w:bookmarkStart w:id="247" w:name="_Toc11063"/>
      <w:bookmarkStart w:id="248" w:name="_Toc26703"/>
      <w:r>
        <w:rPr>
          <w:rFonts w:hint="eastAsia" w:eastAsia="方正黑体简体"/>
          <w:b w:val="0"/>
          <w:color w:val="000000"/>
        </w:rPr>
        <w:t>第七节　强化规划执行监测评估</w:t>
      </w:r>
      <w:bookmarkEnd w:id="242"/>
      <w:bookmarkEnd w:id="243"/>
      <w:bookmarkEnd w:id="244"/>
      <w:bookmarkEnd w:id="245"/>
      <w:bookmarkEnd w:id="246"/>
      <w:bookmarkEnd w:id="247"/>
      <w:bookmarkEnd w:id="248"/>
    </w:p>
    <w:p w14:paraId="1CE02D05">
      <w:pPr>
        <w:ind w:firstLine="31680"/>
        <w:rPr>
          <w:color w:val="000000"/>
        </w:rPr>
      </w:pPr>
    </w:p>
    <w:p w14:paraId="272D8D3F">
      <w:pPr>
        <w:adjustRightInd w:val="0"/>
        <w:snapToGrid w:val="0"/>
        <w:ind w:firstLine="31680"/>
        <w:rPr>
          <w:color w:val="000000"/>
          <w:szCs w:val="32"/>
        </w:rPr>
      </w:pPr>
      <w:r>
        <w:rPr>
          <w:rFonts w:hint="eastAsia"/>
          <w:color w:val="000000"/>
          <w:szCs w:val="32"/>
        </w:rPr>
        <w:t>坚持</w:t>
      </w:r>
      <w:r>
        <w:rPr>
          <w:color w:val="000000"/>
          <w:szCs w:val="32"/>
        </w:rPr>
        <w:t>“</w:t>
      </w:r>
      <w:r>
        <w:rPr>
          <w:rFonts w:hint="eastAsia"/>
          <w:color w:val="000000"/>
          <w:szCs w:val="32"/>
        </w:rPr>
        <w:t>任务项目化、项目清单化、清单具体化</w:t>
      </w:r>
      <w:r>
        <w:rPr>
          <w:color w:val="000000"/>
          <w:szCs w:val="32"/>
        </w:rPr>
        <w:t>”</w:t>
      </w:r>
      <w:r>
        <w:rPr>
          <w:rFonts w:hint="eastAsia"/>
          <w:color w:val="000000"/>
          <w:szCs w:val="32"/>
        </w:rPr>
        <w:t>，实行规划执行目标责任制，将规划目标任务、重大项目分解落实到具体部门、年度计划、财政预算，列入绩效考核。强化动态管理，跟踪分析规划执行情况，及时向社会发布，自觉接受监督。引入第三方机构参与规划监测评估，</w:t>
      </w:r>
      <w:r>
        <w:rPr>
          <w:color w:val="000000"/>
          <w:szCs w:val="32"/>
        </w:rPr>
        <w:t>2023</w:t>
      </w:r>
      <w:r>
        <w:rPr>
          <w:rFonts w:hint="eastAsia"/>
          <w:color w:val="000000"/>
          <w:szCs w:val="32"/>
        </w:rPr>
        <w:t>年实施中期评估，</w:t>
      </w:r>
      <w:r>
        <w:rPr>
          <w:color w:val="000000"/>
          <w:szCs w:val="32"/>
        </w:rPr>
        <w:t>2025</w:t>
      </w:r>
      <w:r>
        <w:rPr>
          <w:rFonts w:hint="eastAsia"/>
          <w:color w:val="000000"/>
          <w:szCs w:val="32"/>
        </w:rPr>
        <w:t>年实施</w:t>
      </w:r>
      <w:r>
        <w:rPr>
          <w:rFonts w:hint="eastAsia"/>
          <w:color w:val="000000"/>
          <w:spacing w:val="-6"/>
          <w:szCs w:val="32"/>
        </w:rPr>
        <w:t>终期评估。确需对本规划的重大目标任务进行调整时按程序报批。</w:t>
      </w:r>
    </w:p>
    <w:sectPr>
      <w:footerReference r:id="rId13" w:type="default"/>
      <w:footerReference r:id="rId14" w:type="even"/>
      <w:pgSz w:w="11906" w:h="16838"/>
      <w:pgMar w:top="2098" w:right="1474" w:bottom="1985" w:left="1588" w:header="851" w:footer="992" w:gutter="0"/>
      <w:pgNumType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panose1 w:val="03000509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64AD7">
    <w:pPr>
      <w:pStyle w:val="8"/>
      <w:ind w:firstLine="31680"/>
      <w:jc w:val="right"/>
    </w:pPr>
  </w:p>
  <w:p w14:paraId="47DE924B">
    <w:pPr>
      <w:pStyle w:val="8"/>
      <w:ind w:firstLine="316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3AE25">
    <w:pPr>
      <w:pStyle w:val="8"/>
      <w:ind w:firstLine="0" w:firstLineChars="0"/>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ascii="宋体" w:hAnsi="宋体" w:eastAsia="宋体"/>
        <w:sz w:val="28"/>
        <w:szCs w:val="28"/>
      </w:rPr>
      <w:t xml:space="preserve"> —</w:t>
    </w:r>
  </w:p>
  <w:p w14:paraId="594A02BA">
    <w:pPr>
      <w:pStyle w:val="8"/>
      <w:ind w:firstLine="316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05167">
    <w:pPr>
      <w:pStyle w:val="8"/>
      <w:ind w:firstLine="316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A7BA2">
    <w:pPr>
      <w:pStyle w:val="8"/>
      <w:ind w:firstLine="31680"/>
      <w:jc w:val="right"/>
      <w:rPr>
        <w:rFonts w:ascii="宋体" w:hAnsi="宋体" w:eastAsia="宋体"/>
        <w:sz w:val="28"/>
        <w:szCs w:val="28"/>
      </w:rPr>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ascii="宋体" w:hAnsi="宋体" w:eastAsia="宋体"/>
        <w:sz w:val="28"/>
        <w:szCs w:val="28"/>
      </w:rPr>
      <w:t xml:space="preserve"> —</w:t>
    </w:r>
  </w:p>
  <w:p w14:paraId="67196B5F">
    <w:pPr>
      <w:pStyle w:val="8"/>
      <w:ind w:firstLine="316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0C68E">
    <w:pPr>
      <w:pStyle w:val="8"/>
      <w:ind w:firstLine="31680"/>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ascii="宋体" w:hAnsi="宋体" w:eastAsia="宋体"/>
        <w:sz w:val="28"/>
        <w:szCs w:val="28"/>
      </w:rPr>
      <w:t xml:space="preserve"> —</w:t>
    </w:r>
  </w:p>
  <w:p w14:paraId="65EBA432">
    <w:pPr>
      <w:pStyle w:val="8"/>
      <w:ind w:firstLine="316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B40FD">
    <w:pPr>
      <w:pStyle w:val="8"/>
      <w:ind w:firstLine="31680"/>
      <w:jc w:val="right"/>
      <w:rPr>
        <w:rFonts w:ascii="宋体" w:hAnsi="宋体" w:eastAsia="宋体"/>
        <w:sz w:val="28"/>
        <w:szCs w:val="28"/>
      </w:rPr>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59</w:t>
    </w:r>
    <w:r>
      <w:rPr>
        <w:rFonts w:ascii="宋体" w:hAnsi="宋体" w:eastAsia="宋体"/>
        <w:sz w:val="28"/>
        <w:szCs w:val="28"/>
      </w:rPr>
      <w:fldChar w:fldCharType="end"/>
    </w:r>
    <w:r>
      <w:rPr>
        <w:rFonts w:ascii="宋体" w:hAnsi="宋体" w:eastAsia="宋体"/>
        <w:sz w:val="28"/>
        <w:szCs w:val="28"/>
      </w:rPr>
      <w:t xml:space="preserve"> —</w:t>
    </w:r>
  </w:p>
  <w:p w14:paraId="32646EB2">
    <w:pPr>
      <w:pStyle w:val="8"/>
      <w:ind w:firstLine="3168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6533F">
    <w:pPr>
      <w:pStyle w:val="8"/>
      <w:ind w:firstLine="0" w:firstLineChars="0"/>
    </w:pPr>
    <w:r>
      <w:rPr>
        <w:rFonts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58</w:t>
    </w:r>
    <w:r>
      <w:rPr>
        <w:rFonts w:ascii="宋体" w:hAnsi="宋体" w:eastAsia="宋体"/>
        <w:sz w:val="28"/>
        <w:szCs w:val="28"/>
      </w:rPr>
      <w:fldChar w:fldCharType="end"/>
    </w:r>
    <w:r>
      <w:rPr>
        <w:rFonts w:ascii="宋体" w:hAnsi="宋体" w:eastAsia="宋体"/>
        <w:sz w:val="28"/>
        <w:szCs w:val="28"/>
      </w:rPr>
      <w:t xml:space="preserve"> —</w:t>
    </w:r>
  </w:p>
  <w:p w14:paraId="0D399EC4">
    <w:pPr>
      <w:pStyle w:val="8"/>
      <w:ind w:firstLine="316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6ABC4">
    <w:pPr>
      <w:ind w:left="64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20CB6">
    <w:pPr>
      <w:ind w:left="640"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2BCED">
    <w:pPr>
      <w:pStyle w:val="9"/>
      <w:ind w:firstLine="316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attachedTemplate r:id="rId1"/>
  <w:documentProtection w:enforcement="0"/>
  <w:defaultTabStop w:val="420"/>
  <w:evenAndOddHeaders w:val="1"/>
  <w:drawingGridHorizontalSpacing w:val="160"/>
  <w:drawingGridVerticalSpacing w:val="435"/>
  <w:displayHorizontalDrawingGridEvery w:val="2"/>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Q4NGU4MjM3NzRmMmE5NTYyZDQzZGY3YmU4NGExMzIifQ=="/>
  </w:docVars>
  <w:rsids>
    <w:rsidRoot w:val="00B87303"/>
    <w:rsid w:val="00000759"/>
    <w:rsid w:val="000104C4"/>
    <w:rsid w:val="00013BA6"/>
    <w:rsid w:val="00034AA7"/>
    <w:rsid w:val="00036A75"/>
    <w:rsid w:val="000417DB"/>
    <w:rsid w:val="00050B13"/>
    <w:rsid w:val="00053E01"/>
    <w:rsid w:val="00057FDE"/>
    <w:rsid w:val="00062227"/>
    <w:rsid w:val="000646F3"/>
    <w:rsid w:val="00066624"/>
    <w:rsid w:val="00082E32"/>
    <w:rsid w:val="00084FE6"/>
    <w:rsid w:val="00091B68"/>
    <w:rsid w:val="000A012E"/>
    <w:rsid w:val="000A5161"/>
    <w:rsid w:val="000A6F6A"/>
    <w:rsid w:val="000B724E"/>
    <w:rsid w:val="000C7902"/>
    <w:rsid w:val="000D1DE6"/>
    <w:rsid w:val="000D3696"/>
    <w:rsid w:val="000D52BE"/>
    <w:rsid w:val="000E1C06"/>
    <w:rsid w:val="000F0DE2"/>
    <w:rsid w:val="001357AD"/>
    <w:rsid w:val="00147E1B"/>
    <w:rsid w:val="001550C7"/>
    <w:rsid w:val="001561E2"/>
    <w:rsid w:val="001570C5"/>
    <w:rsid w:val="00174FC5"/>
    <w:rsid w:val="0017657E"/>
    <w:rsid w:val="0018038F"/>
    <w:rsid w:val="00183715"/>
    <w:rsid w:val="001A3638"/>
    <w:rsid w:val="001B577F"/>
    <w:rsid w:val="001B6449"/>
    <w:rsid w:val="001D195E"/>
    <w:rsid w:val="001D33EC"/>
    <w:rsid w:val="001E3732"/>
    <w:rsid w:val="001F6353"/>
    <w:rsid w:val="0020229A"/>
    <w:rsid w:val="002244BB"/>
    <w:rsid w:val="00231EAE"/>
    <w:rsid w:val="00234688"/>
    <w:rsid w:val="002363FA"/>
    <w:rsid w:val="00241D32"/>
    <w:rsid w:val="00243F94"/>
    <w:rsid w:val="00246C45"/>
    <w:rsid w:val="00260019"/>
    <w:rsid w:val="002839C3"/>
    <w:rsid w:val="00290D19"/>
    <w:rsid w:val="0029133F"/>
    <w:rsid w:val="002978CC"/>
    <w:rsid w:val="002A7DAD"/>
    <w:rsid w:val="002B008D"/>
    <w:rsid w:val="002B5677"/>
    <w:rsid w:val="002C3570"/>
    <w:rsid w:val="002C6D53"/>
    <w:rsid w:val="002D69DB"/>
    <w:rsid w:val="002D6CFB"/>
    <w:rsid w:val="002E71CC"/>
    <w:rsid w:val="002F4A74"/>
    <w:rsid w:val="00310780"/>
    <w:rsid w:val="00315812"/>
    <w:rsid w:val="003271F4"/>
    <w:rsid w:val="0033000D"/>
    <w:rsid w:val="00360F90"/>
    <w:rsid w:val="003747B2"/>
    <w:rsid w:val="003836F8"/>
    <w:rsid w:val="0038643B"/>
    <w:rsid w:val="00390446"/>
    <w:rsid w:val="003966E4"/>
    <w:rsid w:val="003A3FAF"/>
    <w:rsid w:val="003B285E"/>
    <w:rsid w:val="003D1608"/>
    <w:rsid w:val="003D728D"/>
    <w:rsid w:val="003D7728"/>
    <w:rsid w:val="003E244B"/>
    <w:rsid w:val="003E4EF8"/>
    <w:rsid w:val="003F1B06"/>
    <w:rsid w:val="00400CC0"/>
    <w:rsid w:val="004035C1"/>
    <w:rsid w:val="00404960"/>
    <w:rsid w:val="00411FD0"/>
    <w:rsid w:val="0043313D"/>
    <w:rsid w:val="00443E73"/>
    <w:rsid w:val="0044529E"/>
    <w:rsid w:val="00445999"/>
    <w:rsid w:val="00454A00"/>
    <w:rsid w:val="00477C79"/>
    <w:rsid w:val="0049204E"/>
    <w:rsid w:val="004945F4"/>
    <w:rsid w:val="004A3C02"/>
    <w:rsid w:val="004B0461"/>
    <w:rsid w:val="004B101D"/>
    <w:rsid w:val="004B6BE3"/>
    <w:rsid w:val="004C2854"/>
    <w:rsid w:val="004C67A4"/>
    <w:rsid w:val="004C7FB5"/>
    <w:rsid w:val="004D6492"/>
    <w:rsid w:val="004D65B4"/>
    <w:rsid w:val="004D7953"/>
    <w:rsid w:val="004E7932"/>
    <w:rsid w:val="004F501A"/>
    <w:rsid w:val="00510C21"/>
    <w:rsid w:val="00521E3B"/>
    <w:rsid w:val="00534707"/>
    <w:rsid w:val="005377BB"/>
    <w:rsid w:val="00546BF8"/>
    <w:rsid w:val="00550632"/>
    <w:rsid w:val="00550979"/>
    <w:rsid w:val="00551475"/>
    <w:rsid w:val="00553968"/>
    <w:rsid w:val="0055438F"/>
    <w:rsid w:val="00555C20"/>
    <w:rsid w:val="0057609F"/>
    <w:rsid w:val="00576F80"/>
    <w:rsid w:val="0058036D"/>
    <w:rsid w:val="005845B4"/>
    <w:rsid w:val="00585B69"/>
    <w:rsid w:val="0059316D"/>
    <w:rsid w:val="005B59DA"/>
    <w:rsid w:val="005D4A5A"/>
    <w:rsid w:val="005E788C"/>
    <w:rsid w:val="005F08AB"/>
    <w:rsid w:val="00613904"/>
    <w:rsid w:val="00615C39"/>
    <w:rsid w:val="00637668"/>
    <w:rsid w:val="006612BA"/>
    <w:rsid w:val="00665E80"/>
    <w:rsid w:val="00667032"/>
    <w:rsid w:val="00675D7B"/>
    <w:rsid w:val="00682344"/>
    <w:rsid w:val="0068344E"/>
    <w:rsid w:val="00693897"/>
    <w:rsid w:val="006A4E3A"/>
    <w:rsid w:val="006A6F3B"/>
    <w:rsid w:val="006B40CB"/>
    <w:rsid w:val="006C52AF"/>
    <w:rsid w:val="006C559E"/>
    <w:rsid w:val="006F0279"/>
    <w:rsid w:val="00701451"/>
    <w:rsid w:val="0070217D"/>
    <w:rsid w:val="00703A0A"/>
    <w:rsid w:val="0070407A"/>
    <w:rsid w:val="00705101"/>
    <w:rsid w:val="00711092"/>
    <w:rsid w:val="00715D29"/>
    <w:rsid w:val="0072050E"/>
    <w:rsid w:val="00722A2E"/>
    <w:rsid w:val="007256B3"/>
    <w:rsid w:val="007342B7"/>
    <w:rsid w:val="007349B5"/>
    <w:rsid w:val="00736F08"/>
    <w:rsid w:val="00740AAC"/>
    <w:rsid w:val="00742C12"/>
    <w:rsid w:val="00753FD4"/>
    <w:rsid w:val="00757026"/>
    <w:rsid w:val="00771892"/>
    <w:rsid w:val="00781C7F"/>
    <w:rsid w:val="0079316F"/>
    <w:rsid w:val="007E53B5"/>
    <w:rsid w:val="007F4841"/>
    <w:rsid w:val="00804F5D"/>
    <w:rsid w:val="00811FE6"/>
    <w:rsid w:val="00824513"/>
    <w:rsid w:val="00870CFA"/>
    <w:rsid w:val="00875DC7"/>
    <w:rsid w:val="008864D2"/>
    <w:rsid w:val="00886E74"/>
    <w:rsid w:val="00890D45"/>
    <w:rsid w:val="00897CDC"/>
    <w:rsid w:val="008B545C"/>
    <w:rsid w:val="008C79E4"/>
    <w:rsid w:val="008D098F"/>
    <w:rsid w:val="008D23BE"/>
    <w:rsid w:val="008F0FC2"/>
    <w:rsid w:val="008F1F68"/>
    <w:rsid w:val="009149A2"/>
    <w:rsid w:val="00921C94"/>
    <w:rsid w:val="00922A11"/>
    <w:rsid w:val="0094192B"/>
    <w:rsid w:val="00947A99"/>
    <w:rsid w:val="00952E6B"/>
    <w:rsid w:val="009575DE"/>
    <w:rsid w:val="00970583"/>
    <w:rsid w:val="00977BA8"/>
    <w:rsid w:val="009808B9"/>
    <w:rsid w:val="00981154"/>
    <w:rsid w:val="00990982"/>
    <w:rsid w:val="009B3FDC"/>
    <w:rsid w:val="009D09AA"/>
    <w:rsid w:val="009D10FC"/>
    <w:rsid w:val="009F0A22"/>
    <w:rsid w:val="009F3C7E"/>
    <w:rsid w:val="00A04B51"/>
    <w:rsid w:val="00A127FF"/>
    <w:rsid w:val="00A447C8"/>
    <w:rsid w:val="00A457F7"/>
    <w:rsid w:val="00A47BD7"/>
    <w:rsid w:val="00A60411"/>
    <w:rsid w:val="00A6275A"/>
    <w:rsid w:val="00A70E60"/>
    <w:rsid w:val="00A7134B"/>
    <w:rsid w:val="00A71450"/>
    <w:rsid w:val="00A71979"/>
    <w:rsid w:val="00A73E31"/>
    <w:rsid w:val="00A8331C"/>
    <w:rsid w:val="00A87F35"/>
    <w:rsid w:val="00AA1761"/>
    <w:rsid w:val="00AA4DA0"/>
    <w:rsid w:val="00AA6A75"/>
    <w:rsid w:val="00AB0E5D"/>
    <w:rsid w:val="00AB20CC"/>
    <w:rsid w:val="00AB47CC"/>
    <w:rsid w:val="00AB7605"/>
    <w:rsid w:val="00AD4732"/>
    <w:rsid w:val="00AD473F"/>
    <w:rsid w:val="00AE45B4"/>
    <w:rsid w:val="00AE5A59"/>
    <w:rsid w:val="00AF6979"/>
    <w:rsid w:val="00AF6C52"/>
    <w:rsid w:val="00B05444"/>
    <w:rsid w:val="00B070EF"/>
    <w:rsid w:val="00B10749"/>
    <w:rsid w:val="00B12B79"/>
    <w:rsid w:val="00B2214A"/>
    <w:rsid w:val="00B51208"/>
    <w:rsid w:val="00B5713D"/>
    <w:rsid w:val="00B63995"/>
    <w:rsid w:val="00B6730E"/>
    <w:rsid w:val="00B708F6"/>
    <w:rsid w:val="00B755EE"/>
    <w:rsid w:val="00B87303"/>
    <w:rsid w:val="00B94C01"/>
    <w:rsid w:val="00BA3169"/>
    <w:rsid w:val="00BA69C5"/>
    <w:rsid w:val="00BB7562"/>
    <w:rsid w:val="00BC02C0"/>
    <w:rsid w:val="00BC1D04"/>
    <w:rsid w:val="00BC3320"/>
    <w:rsid w:val="00BD01CE"/>
    <w:rsid w:val="00BD0432"/>
    <w:rsid w:val="00BE0DE2"/>
    <w:rsid w:val="00BF4B5B"/>
    <w:rsid w:val="00C201D7"/>
    <w:rsid w:val="00C276AD"/>
    <w:rsid w:val="00C30D62"/>
    <w:rsid w:val="00C33F9A"/>
    <w:rsid w:val="00C463EE"/>
    <w:rsid w:val="00C7287B"/>
    <w:rsid w:val="00C811EB"/>
    <w:rsid w:val="00C818A8"/>
    <w:rsid w:val="00C902BB"/>
    <w:rsid w:val="00CA19AF"/>
    <w:rsid w:val="00CA48D7"/>
    <w:rsid w:val="00CA4A9C"/>
    <w:rsid w:val="00CB5923"/>
    <w:rsid w:val="00CB6BDB"/>
    <w:rsid w:val="00CC2846"/>
    <w:rsid w:val="00CD71E6"/>
    <w:rsid w:val="00CF0BC9"/>
    <w:rsid w:val="00D07837"/>
    <w:rsid w:val="00D100E7"/>
    <w:rsid w:val="00D1691E"/>
    <w:rsid w:val="00D202CE"/>
    <w:rsid w:val="00D20C7A"/>
    <w:rsid w:val="00D33254"/>
    <w:rsid w:val="00D363F9"/>
    <w:rsid w:val="00D36EE3"/>
    <w:rsid w:val="00D44F48"/>
    <w:rsid w:val="00D46F47"/>
    <w:rsid w:val="00D52A37"/>
    <w:rsid w:val="00D52C1C"/>
    <w:rsid w:val="00D5782A"/>
    <w:rsid w:val="00D73223"/>
    <w:rsid w:val="00D74A04"/>
    <w:rsid w:val="00D75BD7"/>
    <w:rsid w:val="00D83B45"/>
    <w:rsid w:val="00D845EE"/>
    <w:rsid w:val="00D90ADC"/>
    <w:rsid w:val="00D96AC7"/>
    <w:rsid w:val="00DA03D6"/>
    <w:rsid w:val="00DA316A"/>
    <w:rsid w:val="00DA4F3A"/>
    <w:rsid w:val="00DB1103"/>
    <w:rsid w:val="00DB5B7F"/>
    <w:rsid w:val="00DB7F55"/>
    <w:rsid w:val="00DC04E4"/>
    <w:rsid w:val="00DC68F0"/>
    <w:rsid w:val="00DD168A"/>
    <w:rsid w:val="00DD18DD"/>
    <w:rsid w:val="00E00089"/>
    <w:rsid w:val="00E058EB"/>
    <w:rsid w:val="00E30329"/>
    <w:rsid w:val="00E443DE"/>
    <w:rsid w:val="00E538D1"/>
    <w:rsid w:val="00E6652B"/>
    <w:rsid w:val="00E752CB"/>
    <w:rsid w:val="00E77E45"/>
    <w:rsid w:val="00E80251"/>
    <w:rsid w:val="00E80AA0"/>
    <w:rsid w:val="00E96D4C"/>
    <w:rsid w:val="00EA111D"/>
    <w:rsid w:val="00EB0B10"/>
    <w:rsid w:val="00ED11BB"/>
    <w:rsid w:val="00ED2937"/>
    <w:rsid w:val="00ED3C0A"/>
    <w:rsid w:val="00EE0F16"/>
    <w:rsid w:val="00EF2BBF"/>
    <w:rsid w:val="00F01D1E"/>
    <w:rsid w:val="00F1321B"/>
    <w:rsid w:val="00F13797"/>
    <w:rsid w:val="00F13ECB"/>
    <w:rsid w:val="00F14493"/>
    <w:rsid w:val="00F35DB3"/>
    <w:rsid w:val="00F46A92"/>
    <w:rsid w:val="00F52004"/>
    <w:rsid w:val="00F5468D"/>
    <w:rsid w:val="00F6402E"/>
    <w:rsid w:val="00F931BC"/>
    <w:rsid w:val="00F94511"/>
    <w:rsid w:val="00FD0D54"/>
    <w:rsid w:val="00FD323E"/>
    <w:rsid w:val="00FD764D"/>
    <w:rsid w:val="00FE3279"/>
    <w:rsid w:val="00FE5AE3"/>
    <w:rsid w:val="00FF122D"/>
    <w:rsid w:val="00FF2059"/>
    <w:rsid w:val="00FF5639"/>
    <w:rsid w:val="01CD130C"/>
    <w:rsid w:val="0AA20A9A"/>
    <w:rsid w:val="0BF8640F"/>
    <w:rsid w:val="14230D11"/>
    <w:rsid w:val="19A912DB"/>
    <w:rsid w:val="19E471AF"/>
    <w:rsid w:val="1DB774DB"/>
    <w:rsid w:val="1F6E7AFA"/>
    <w:rsid w:val="204737C2"/>
    <w:rsid w:val="243A5C02"/>
    <w:rsid w:val="29943F5A"/>
    <w:rsid w:val="2E6D4A86"/>
    <w:rsid w:val="2F667618"/>
    <w:rsid w:val="308700BA"/>
    <w:rsid w:val="36FB76AF"/>
    <w:rsid w:val="37771DC3"/>
    <w:rsid w:val="3D2E33E4"/>
    <w:rsid w:val="44410D07"/>
    <w:rsid w:val="4E8A0190"/>
    <w:rsid w:val="51383913"/>
    <w:rsid w:val="53BE700D"/>
    <w:rsid w:val="597F102F"/>
    <w:rsid w:val="5B916BA5"/>
    <w:rsid w:val="5D9A3D87"/>
    <w:rsid w:val="5F0F3989"/>
    <w:rsid w:val="668900C0"/>
    <w:rsid w:val="69A42E81"/>
    <w:rsid w:val="6B412563"/>
    <w:rsid w:val="6F262F86"/>
    <w:rsid w:val="723F2CDC"/>
    <w:rsid w:val="74D7010D"/>
    <w:rsid w:val="7756789F"/>
    <w:rsid w:val="776802EB"/>
    <w:rsid w:val="7AAB42F8"/>
    <w:rsid w:val="7B71456F"/>
    <w:rsid w:val="7E9D725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99" w:semiHidden="0" w:name="toc 1"/>
    <w:lsdException w:unhideWhenUsed="0" w:uiPriority="99" w:semiHidden="0" w:name="toc 2"/>
    <w:lsdException w:unhideWhenUsed="0" w:uiPriority="99" w:name="toc 3"/>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imes New Roman"/>
      <w:kern w:val="32"/>
      <w:sz w:val="32"/>
      <w:szCs w:val="22"/>
      <w:lang w:val="en-US" w:eastAsia="zh-CN" w:bidi="ar-SA"/>
    </w:rPr>
  </w:style>
  <w:style w:type="paragraph" w:styleId="2">
    <w:name w:val="heading 1"/>
    <w:basedOn w:val="1"/>
    <w:next w:val="1"/>
    <w:link w:val="17"/>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99"/>
    <w:pPr>
      <w:keepNext/>
      <w:keepLines/>
      <w:spacing w:before="260" w:after="260" w:line="416" w:lineRule="atLeast"/>
      <w:outlineLvl w:val="1"/>
    </w:pPr>
    <w:rPr>
      <w:rFonts w:ascii="Cambria" w:hAnsi="Cambria" w:eastAsia="宋体"/>
      <w:b/>
      <w:bCs/>
      <w:szCs w:val="32"/>
    </w:rPr>
  </w:style>
  <w:style w:type="paragraph" w:styleId="4">
    <w:name w:val="heading 3"/>
    <w:basedOn w:val="1"/>
    <w:next w:val="1"/>
    <w:link w:val="19"/>
    <w:qFormat/>
    <w:uiPriority w:val="99"/>
    <w:pPr>
      <w:keepNext/>
      <w:keepLines/>
      <w:spacing w:before="260" w:after="260" w:line="416" w:lineRule="atLeast"/>
      <w:outlineLvl w:val="2"/>
    </w:pPr>
    <w:rPr>
      <w:b/>
      <w:bCs/>
      <w:szCs w:val="32"/>
    </w:rPr>
  </w:style>
  <w:style w:type="character" w:default="1" w:styleId="15">
    <w:name w:val="Default Paragraph Font"/>
    <w:semiHidden/>
    <w:qFormat/>
    <w:uiPriority w:val="99"/>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semiHidden/>
    <w:uiPriority w:val="99"/>
    <w:pPr>
      <w:widowControl/>
      <w:spacing w:after="100" w:line="276" w:lineRule="auto"/>
      <w:ind w:left="440"/>
      <w:jc w:val="left"/>
    </w:pPr>
    <w:rPr>
      <w:kern w:val="0"/>
      <w:sz w:val="22"/>
    </w:rPr>
  </w:style>
  <w:style w:type="paragraph" w:styleId="6">
    <w:name w:val="Date"/>
    <w:basedOn w:val="1"/>
    <w:next w:val="1"/>
    <w:link w:val="20"/>
    <w:semiHidden/>
    <w:uiPriority w:val="99"/>
    <w:pPr>
      <w:ind w:left="100" w:leftChars="2500"/>
    </w:pPr>
  </w:style>
  <w:style w:type="paragraph" w:styleId="7">
    <w:name w:val="Balloon Text"/>
    <w:basedOn w:val="1"/>
    <w:link w:val="21"/>
    <w:semiHidden/>
    <w:uiPriority w:val="99"/>
    <w:rPr>
      <w:sz w:val="18"/>
      <w:szCs w:val="18"/>
    </w:rPr>
  </w:style>
  <w:style w:type="paragraph" w:styleId="8">
    <w:name w:val="footer"/>
    <w:basedOn w:val="1"/>
    <w:link w:val="22"/>
    <w:uiPriority w:val="99"/>
    <w:pPr>
      <w:tabs>
        <w:tab w:val="center" w:pos="4153"/>
        <w:tab w:val="right" w:pos="8306"/>
      </w:tabs>
      <w:snapToGrid w:val="0"/>
      <w:jc w:val="left"/>
    </w:pPr>
    <w:rPr>
      <w:sz w:val="18"/>
      <w:szCs w:val="18"/>
    </w:rPr>
  </w:style>
  <w:style w:type="paragraph" w:styleId="9">
    <w:name w:val="header"/>
    <w:basedOn w:val="1"/>
    <w:link w:val="23"/>
    <w:semiHidden/>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iPriority w:val="99"/>
    <w:pPr>
      <w:widowControl/>
      <w:tabs>
        <w:tab w:val="right" w:leader="dot" w:pos="8834"/>
      </w:tabs>
      <w:spacing w:after="100" w:line="276" w:lineRule="auto"/>
      <w:ind w:firstLine="0" w:firstLineChars="0"/>
      <w:jc w:val="left"/>
    </w:pPr>
    <w:rPr>
      <w:kern w:val="0"/>
      <w:sz w:val="22"/>
    </w:rPr>
  </w:style>
  <w:style w:type="paragraph" w:styleId="11">
    <w:name w:val="toc 2"/>
    <w:basedOn w:val="1"/>
    <w:next w:val="1"/>
    <w:uiPriority w:val="99"/>
    <w:pPr>
      <w:widowControl/>
      <w:spacing w:after="100" w:line="276" w:lineRule="auto"/>
      <w:ind w:left="220"/>
      <w:jc w:val="left"/>
    </w:pPr>
    <w:rPr>
      <w:kern w:val="0"/>
      <w:sz w:val="22"/>
    </w:rPr>
  </w:style>
  <w:style w:type="paragraph" w:styleId="12">
    <w:name w:val="Normal (Web)"/>
    <w:basedOn w:val="1"/>
    <w:uiPriority w:val="99"/>
    <w:pPr>
      <w:widowControl/>
      <w:spacing w:before="100" w:beforeAutospacing="1" w:after="100" w:afterAutospacing="1" w:line="240" w:lineRule="auto"/>
      <w:ind w:firstLine="0" w:firstLineChars="0"/>
      <w:jc w:val="left"/>
    </w:pPr>
    <w:rPr>
      <w:rFonts w:ascii="宋体" w:eastAsia="宋体" w:cs="宋体"/>
      <w:color w:val="000000"/>
      <w:kern w:val="0"/>
      <w:sz w:val="24"/>
      <w:szCs w:val="24"/>
    </w:rPr>
  </w:style>
  <w:style w:type="table" w:styleId="14">
    <w:name w:val="Table Grid"/>
    <w:basedOn w:val="13"/>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Hyperlink"/>
    <w:basedOn w:val="15"/>
    <w:uiPriority w:val="99"/>
    <w:rPr>
      <w:rFonts w:cs="Times New Roman"/>
      <w:color w:val="0000FF"/>
      <w:u w:val="single"/>
    </w:rPr>
  </w:style>
  <w:style w:type="character" w:customStyle="1" w:styleId="17">
    <w:name w:val="Heading 1 Char"/>
    <w:basedOn w:val="15"/>
    <w:link w:val="2"/>
    <w:locked/>
    <w:uiPriority w:val="99"/>
    <w:rPr>
      <w:rFonts w:cs="Times New Roman"/>
      <w:b/>
      <w:bCs/>
      <w:kern w:val="44"/>
      <w:sz w:val="44"/>
      <w:szCs w:val="44"/>
    </w:rPr>
  </w:style>
  <w:style w:type="character" w:customStyle="1" w:styleId="18">
    <w:name w:val="Heading 2 Char"/>
    <w:basedOn w:val="15"/>
    <w:link w:val="3"/>
    <w:semiHidden/>
    <w:locked/>
    <w:uiPriority w:val="99"/>
    <w:rPr>
      <w:rFonts w:ascii="Cambria" w:hAnsi="Cambria" w:eastAsia="宋体" w:cs="Times New Roman"/>
      <w:b/>
      <w:bCs/>
      <w:kern w:val="32"/>
      <w:sz w:val="32"/>
      <w:szCs w:val="32"/>
    </w:rPr>
  </w:style>
  <w:style w:type="character" w:customStyle="1" w:styleId="19">
    <w:name w:val="Heading 3 Char"/>
    <w:basedOn w:val="15"/>
    <w:link w:val="4"/>
    <w:semiHidden/>
    <w:locked/>
    <w:uiPriority w:val="99"/>
    <w:rPr>
      <w:rFonts w:ascii="Times New Roman" w:hAnsi="Times New Roman" w:eastAsia="仿宋_GB2312" w:cs="Times New Roman"/>
      <w:b/>
      <w:bCs/>
      <w:kern w:val="32"/>
      <w:sz w:val="32"/>
      <w:szCs w:val="32"/>
    </w:rPr>
  </w:style>
  <w:style w:type="character" w:customStyle="1" w:styleId="20">
    <w:name w:val="Date Char"/>
    <w:basedOn w:val="15"/>
    <w:link w:val="6"/>
    <w:semiHidden/>
    <w:locked/>
    <w:uiPriority w:val="99"/>
    <w:rPr>
      <w:rFonts w:cs="Times New Roman"/>
    </w:rPr>
  </w:style>
  <w:style w:type="character" w:customStyle="1" w:styleId="21">
    <w:name w:val="Balloon Text Char"/>
    <w:basedOn w:val="15"/>
    <w:link w:val="7"/>
    <w:semiHidden/>
    <w:locked/>
    <w:uiPriority w:val="99"/>
    <w:rPr>
      <w:rFonts w:cs="Times New Roman"/>
      <w:sz w:val="18"/>
      <w:szCs w:val="18"/>
    </w:rPr>
  </w:style>
  <w:style w:type="character" w:customStyle="1" w:styleId="22">
    <w:name w:val="Footer Char"/>
    <w:basedOn w:val="15"/>
    <w:link w:val="8"/>
    <w:locked/>
    <w:uiPriority w:val="99"/>
    <w:rPr>
      <w:rFonts w:cs="Times New Roman"/>
      <w:sz w:val="18"/>
      <w:szCs w:val="18"/>
    </w:rPr>
  </w:style>
  <w:style w:type="character" w:customStyle="1" w:styleId="23">
    <w:name w:val="Header Char"/>
    <w:basedOn w:val="15"/>
    <w:link w:val="9"/>
    <w:semiHidden/>
    <w:locked/>
    <w:uiPriority w:val="99"/>
    <w:rPr>
      <w:rFonts w:cs="Times New Roman"/>
      <w:sz w:val="18"/>
      <w:szCs w:val="18"/>
    </w:rPr>
  </w:style>
  <w:style w:type="paragraph" w:customStyle="1" w:styleId="24">
    <w:name w:val="章标题"/>
    <w:link w:val="26"/>
    <w:uiPriority w:val="99"/>
    <w:pPr>
      <w:spacing w:line="560" w:lineRule="exact"/>
      <w:jc w:val="center"/>
    </w:pPr>
    <w:rPr>
      <w:rFonts w:ascii="黑体" w:hAnsi="黑体" w:eastAsia="黑体" w:cs="Times New Roman"/>
      <w:bCs/>
      <w:kern w:val="32"/>
      <w:sz w:val="32"/>
      <w:szCs w:val="44"/>
      <w:lang w:val="en-US" w:eastAsia="zh-CN" w:bidi="ar-SA"/>
    </w:rPr>
  </w:style>
  <w:style w:type="paragraph" w:customStyle="1" w:styleId="25">
    <w:name w:val="节标题"/>
    <w:basedOn w:val="24"/>
    <w:next w:val="1"/>
    <w:link w:val="28"/>
    <w:uiPriority w:val="99"/>
    <w:pPr>
      <w:adjustRightInd w:val="0"/>
      <w:snapToGrid w:val="0"/>
    </w:pPr>
    <w:rPr>
      <w:rFonts w:ascii="Times New Roman" w:hAnsi="Times New Roman" w:eastAsia="楷体_GB2312"/>
      <w:b/>
    </w:rPr>
  </w:style>
  <w:style w:type="character" w:customStyle="1" w:styleId="26">
    <w:name w:val="章标题 Char"/>
    <w:basedOn w:val="15"/>
    <w:link w:val="24"/>
    <w:locked/>
    <w:uiPriority w:val="99"/>
    <w:rPr>
      <w:rFonts w:ascii="黑体" w:hAnsi="黑体" w:eastAsia="黑体" w:cs="Times New Roman"/>
      <w:bCs/>
      <w:kern w:val="32"/>
      <w:sz w:val="44"/>
      <w:szCs w:val="44"/>
      <w:lang w:val="en-US" w:eastAsia="zh-CN" w:bidi="ar-SA"/>
    </w:rPr>
  </w:style>
  <w:style w:type="paragraph" w:customStyle="1" w:styleId="27">
    <w:name w:val="TOC 标题1"/>
    <w:basedOn w:val="2"/>
    <w:next w:val="1"/>
    <w:semiHidden/>
    <w:uiPriority w:val="99"/>
    <w:pPr>
      <w:widowControl/>
      <w:spacing w:before="480" w:after="0" w:line="276" w:lineRule="auto"/>
      <w:jc w:val="left"/>
      <w:outlineLvl w:val="9"/>
    </w:pPr>
    <w:rPr>
      <w:rFonts w:ascii="Cambria" w:hAnsi="Cambria" w:eastAsia="宋体"/>
      <w:color w:val="365F91"/>
      <w:kern w:val="0"/>
      <w:sz w:val="28"/>
      <w:szCs w:val="28"/>
    </w:rPr>
  </w:style>
  <w:style w:type="character" w:customStyle="1" w:styleId="28">
    <w:name w:val="节标题 Char"/>
    <w:basedOn w:val="26"/>
    <w:link w:val="25"/>
    <w:locked/>
    <w:uiPriority w:val="99"/>
    <w:rPr>
      <w:rFonts w:ascii="Times New Roman" w:hAnsi="Times New Roman" w:eastAsia="楷体_GB2312"/>
      <w:b/>
    </w:rPr>
  </w:style>
  <w:style w:type="paragraph" w:customStyle="1" w:styleId="29">
    <w:name w:val="删除"/>
    <w:basedOn w:val="1"/>
    <w:link w:val="30"/>
    <w:uiPriority w:val="99"/>
    <w:pPr>
      <w:ind w:firstLine="643"/>
    </w:pPr>
    <w:rPr>
      <w:rFonts w:ascii="仿宋_GB2312" w:hAnsi="仿宋_GB2312" w:cs="仿宋_GB2312"/>
      <w:strike/>
      <w:color w:val="FF0000"/>
      <w:spacing w:val="-11"/>
      <w:szCs w:val="32"/>
    </w:rPr>
  </w:style>
  <w:style w:type="character" w:customStyle="1" w:styleId="30">
    <w:name w:val="删除 Char"/>
    <w:basedOn w:val="15"/>
    <w:link w:val="29"/>
    <w:locked/>
    <w:uiPriority w:val="99"/>
    <w:rPr>
      <w:rFonts w:ascii="仿宋_GB2312" w:hAnsi="仿宋_GB2312" w:eastAsia="仿宋_GB2312" w:cs="仿宋_GB2312"/>
      <w:strike/>
      <w:color w:val="FF0000"/>
      <w:spacing w:val="-11"/>
      <w:kern w:val="32"/>
      <w:sz w:val="32"/>
      <w:szCs w:val="32"/>
    </w:rPr>
  </w:style>
  <w:style w:type="paragraph" w:customStyle="1" w:styleId="31">
    <w:name w:val="正文标题"/>
    <w:basedOn w:val="24"/>
    <w:next w:val="1"/>
    <w:uiPriority w:val="99"/>
    <w:rPr>
      <w:rFonts w:ascii="方正小标宋简体" w:eastAsia="方正小标宋简体"/>
      <w:color w:val="000000"/>
      <w:kern w:val="44"/>
      <w:sz w:val="44"/>
    </w:rPr>
  </w:style>
  <w:style w:type="paragraph" w:customStyle="1" w:styleId="32">
    <w:name w:val="一级标题"/>
    <w:basedOn w:val="1"/>
    <w:next w:val="1"/>
    <w:uiPriority w:val="99"/>
    <w:rPr>
      <w:rFonts w:eastAsia="黑体"/>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Nuts\F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Formal</Template>
  <Company>china</Company>
  <Pages>63</Pages>
  <Words>31382</Words>
  <Characters>32080</Characters>
  <Lines>0</Lines>
  <Paragraphs>0</Paragraphs>
  <TotalTime>2</TotalTime>
  <ScaleCrop>false</ScaleCrop>
  <LinksUpToDate>false</LinksUpToDate>
  <CharactersWithSpaces>32205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2022-01-05T07:09:00Z</dcterms:created>
  <dc:creator>dell</dc:creator>
  <cp:lastModifiedBy>奔雨</cp:lastModifiedBy>
  <cp:lastPrinted>2021-12-22T03:08:00Z</cp:lastPrinted>
  <dcterms:modified xsi:type="dcterms:W3CDTF">2026-09-14T07:05:57Z</dcterms:modified>
  <dc:title>泉州市“十四五”民政事业发展专项规划</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A5187B5214464A7BB691532FACBC83D0_12</vt:lpwstr>
  </property>
  <property fmtid="{D5CDD505-2E9C-101B-9397-08002B2CF9AE}" pid="4" name="KSOTemplateDocerSaveRecord">
    <vt:lpwstr>eyJoZGlkIjoiM2JjNmQwM2QzNjc3ZDVhYWNjMjdiYzYwZGEwNTU1MDkiLCJ1c2VySWQiOiI0Mjc2NDkzMTgifQ==</vt:lpwstr>
  </property>
</Properties>
</file>