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F6" w:rsidRDefault="001B79F6" w:rsidP="001B79F6">
      <w:pPr>
        <w:snapToGrid w:val="0"/>
        <w:jc w:val="center"/>
        <w:rPr>
          <w:rFonts w:ascii="方正小标宋简体" w:eastAsia="方正小标宋简体" w:hAnsi="仿宋" w:cs="方正小标宋简体" w:hint="eastAsia"/>
          <w:sz w:val="36"/>
          <w:szCs w:val="36"/>
          <w:lang/>
        </w:rPr>
      </w:pPr>
    </w:p>
    <w:p w:rsidR="001B79F6" w:rsidRDefault="001B79F6" w:rsidP="001B79F6">
      <w:pPr>
        <w:snapToGrid w:val="0"/>
        <w:jc w:val="center"/>
        <w:rPr>
          <w:rFonts w:ascii="方正小标宋简体" w:eastAsia="方正小标宋简体" w:hAnsi="仿宋" w:cs="方正小标宋简体" w:hint="eastAsia"/>
          <w:sz w:val="36"/>
          <w:szCs w:val="36"/>
        </w:rPr>
      </w:pPr>
      <w:r>
        <w:rPr>
          <w:rFonts w:ascii="方正小标宋简体" w:eastAsia="方正小标宋简体" w:hAnsi="仿宋" w:cs="方正小标宋简体" w:hint="eastAsia"/>
          <w:sz w:val="36"/>
          <w:szCs w:val="36"/>
          <w:lang/>
        </w:rPr>
        <w:t>泉州市中心市区新一轮城镇土地使用税土地等级范围</w:t>
      </w:r>
    </w:p>
    <w:p w:rsidR="001B79F6" w:rsidRDefault="001B79F6" w:rsidP="001B79F6">
      <w:pPr>
        <w:snapToGrid w:val="0"/>
        <w:ind w:firstLineChars="200" w:firstLine="880"/>
        <w:rPr>
          <w:rFonts w:ascii="仿宋" w:eastAsia="仿宋" w:hAnsi="仿宋" w:cs="仿宋" w:hint="eastAsia"/>
          <w:sz w:val="44"/>
          <w:szCs w:val="44"/>
        </w:rPr>
      </w:pPr>
    </w:p>
    <w:p w:rsidR="001B79F6" w:rsidRDefault="001B79F6" w:rsidP="001B79F6">
      <w:pPr>
        <w:snapToGrid w:val="0"/>
        <w:spacing w:line="560" w:lineRule="exact"/>
        <w:ind w:firstLineChars="200" w:firstLine="640"/>
        <w:rPr>
          <w:rFonts w:ascii="仿宋" w:eastAsia="仿宋" w:hAnsi="仿宋" w:cs="仿宋" w:hint="eastAsia"/>
          <w:szCs w:val="32"/>
        </w:rPr>
      </w:pPr>
      <w:r>
        <w:rPr>
          <w:rFonts w:ascii="仿宋" w:eastAsia="仿宋" w:hAnsi="仿宋" w:cs="仿宋" w:hint="eastAsia"/>
          <w:szCs w:val="32"/>
          <w:lang/>
        </w:rPr>
        <w:t>按照一致性原则，以《泉州市人民政府关于实施泉州市中心市区新一轮城镇土地定级和基准地价的通告》（泉政〔2021〕2号，以下简称“泉政〔2021〕2号文”）为依据，将泉州市中心市区城镇土地使用税（以下简称“土地使用税”）的应税土地等级分别对应新的城镇土地定级，对土地等级范围进行调整。具体为：</w:t>
      </w:r>
    </w:p>
    <w:p w:rsidR="001B79F6" w:rsidRDefault="001B79F6" w:rsidP="001B79F6">
      <w:pPr>
        <w:snapToGrid w:val="0"/>
        <w:spacing w:line="560" w:lineRule="exact"/>
        <w:ind w:firstLineChars="200" w:firstLine="640"/>
        <w:rPr>
          <w:rFonts w:ascii="黑体" w:eastAsia="黑体" w:hAnsi="宋体" w:cs="黑体" w:hint="eastAsia"/>
          <w:szCs w:val="32"/>
        </w:rPr>
      </w:pPr>
      <w:r>
        <w:rPr>
          <w:rFonts w:ascii="黑体" w:eastAsia="黑体" w:hAnsi="宋体" w:cs="黑体" w:hint="eastAsia"/>
          <w:szCs w:val="32"/>
          <w:lang/>
        </w:rPr>
        <w:t>一、商服用地的土地等级及范围</w:t>
      </w:r>
    </w:p>
    <w:p w:rsidR="001B79F6" w:rsidRDefault="001B79F6" w:rsidP="001B79F6">
      <w:pPr>
        <w:snapToGrid w:val="0"/>
        <w:spacing w:line="560" w:lineRule="exact"/>
        <w:ind w:firstLineChars="200" w:firstLine="640"/>
        <w:rPr>
          <w:rFonts w:ascii="仿宋" w:eastAsia="仿宋" w:hAnsi="仿宋" w:cs="仿宋" w:hint="eastAsia"/>
          <w:szCs w:val="32"/>
        </w:rPr>
      </w:pPr>
      <w:r>
        <w:rPr>
          <w:rFonts w:ascii="仿宋" w:eastAsia="仿宋" w:hAnsi="仿宋" w:cs="仿宋" w:hint="eastAsia"/>
          <w:szCs w:val="32"/>
          <w:lang/>
        </w:rPr>
        <w:t>中心市区商服用地的土地使用税土地等级包括一等、二等、三等、四等、五等五类区域，相应等级土地范围分别对应泉政〔2021〕2号文土地定级商服用地的一级地至五级地范围。</w:t>
      </w:r>
    </w:p>
    <w:p w:rsidR="001B79F6" w:rsidRDefault="001B79F6" w:rsidP="001B79F6">
      <w:pPr>
        <w:snapToGrid w:val="0"/>
        <w:spacing w:line="560" w:lineRule="exact"/>
        <w:ind w:firstLineChars="200" w:firstLine="640"/>
        <w:rPr>
          <w:rFonts w:ascii="黑体" w:eastAsia="黑体" w:hAnsi="宋体" w:cs="黑体" w:hint="eastAsia"/>
          <w:szCs w:val="32"/>
        </w:rPr>
      </w:pPr>
      <w:r>
        <w:rPr>
          <w:rFonts w:ascii="黑体" w:eastAsia="黑体" w:hAnsi="宋体" w:cs="黑体" w:hint="eastAsia"/>
          <w:szCs w:val="32"/>
          <w:lang/>
        </w:rPr>
        <w:t>二、住宅用地的土地等级及范围</w:t>
      </w:r>
    </w:p>
    <w:p w:rsidR="001B79F6" w:rsidRDefault="001B79F6" w:rsidP="001B79F6">
      <w:pPr>
        <w:snapToGrid w:val="0"/>
        <w:spacing w:line="560" w:lineRule="exact"/>
        <w:ind w:firstLineChars="200" w:firstLine="640"/>
        <w:rPr>
          <w:rFonts w:ascii="仿宋" w:eastAsia="仿宋" w:hAnsi="仿宋" w:cs="仿宋" w:hint="eastAsia"/>
          <w:szCs w:val="32"/>
        </w:rPr>
      </w:pPr>
      <w:r>
        <w:rPr>
          <w:rFonts w:ascii="仿宋" w:eastAsia="仿宋" w:hAnsi="仿宋" w:cs="仿宋" w:hint="eastAsia"/>
          <w:szCs w:val="32"/>
          <w:lang/>
        </w:rPr>
        <w:t>中心市区住宅用地的土地使用税土地等级包括一等、二等、三等、四等、五等五类区域，相应等级土地范围分别对应泉政〔2021〕2号文土地定级住宅用地的一级地至五级地范围。</w:t>
      </w:r>
    </w:p>
    <w:p w:rsidR="001B79F6" w:rsidRDefault="001B79F6" w:rsidP="001B79F6">
      <w:pPr>
        <w:snapToGrid w:val="0"/>
        <w:spacing w:line="560" w:lineRule="exact"/>
        <w:ind w:firstLineChars="200" w:firstLine="640"/>
        <w:rPr>
          <w:rFonts w:ascii="黑体" w:eastAsia="黑体" w:hAnsi="宋体" w:cs="黑体" w:hint="eastAsia"/>
          <w:szCs w:val="32"/>
        </w:rPr>
      </w:pPr>
      <w:r>
        <w:rPr>
          <w:rFonts w:ascii="黑体" w:eastAsia="黑体" w:hAnsi="宋体" w:cs="黑体" w:hint="eastAsia"/>
          <w:szCs w:val="32"/>
          <w:lang/>
        </w:rPr>
        <w:t>三、工矿仓储用地的土地等级及范围</w:t>
      </w:r>
    </w:p>
    <w:p w:rsidR="001B79F6" w:rsidRDefault="001B79F6" w:rsidP="001B79F6">
      <w:pPr>
        <w:snapToGrid w:val="0"/>
        <w:spacing w:line="560" w:lineRule="exact"/>
        <w:ind w:firstLineChars="200" w:firstLine="640"/>
        <w:rPr>
          <w:rFonts w:ascii="仿宋" w:eastAsia="仿宋" w:hAnsi="仿宋" w:cs="仿宋" w:hint="eastAsia"/>
          <w:szCs w:val="32"/>
        </w:rPr>
      </w:pPr>
      <w:r>
        <w:rPr>
          <w:rFonts w:ascii="仿宋" w:eastAsia="仿宋" w:hAnsi="仿宋" w:cs="仿宋" w:hint="eastAsia"/>
          <w:szCs w:val="32"/>
          <w:lang/>
        </w:rPr>
        <w:t>中心市区工矿仓储用地的土地使用税土地等级包括一等、二等、三等、四等、五等五类区域，相应等级土地范围分别对应泉政〔2021〕2号文土地定级工矿仓储用地的一级地至五级地范围。</w:t>
      </w:r>
    </w:p>
    <w:p w:rsidR="001B79F6" w:rsidRDefault="001B79F6" w:rsidP="001B79F6">
      <w:pPr>
        <w:snapToGrid w:val="0"/>
        <w:spacing w:line="560" w:lineRule="exact"/>
        <w:ind w:firstLineChars="200" w:firstLine="640"/>
        <w:rPr>
          <w:rFonts w:ascii="黑体" w:eastAsia="黑体" w:hAnsi="宋体" w:cs="黑体" w:hint="eastAsia"/>
          <w:szCs w:val="32"/>
        </w:rPr>
      </w:pPr>
      <w:r>
        <w:rPr>
          <w:rFonts w:ascii="黑体" w:eastAsia="黑体" w:hAnsi="宋体" w:cs="黑体" w:hint="eastAsia"/>
          <w:szCs w:val="32"/>
          <w:lang/>
        </w:rPr>
        <w:lastRenderedPageBreak/>
        <w:t>四、公共管理与公共服务用地的土地等级及范围</w:t>
      </w:r>
    </w:p>
    <w:p w:rsidR="001B79F6" w:rsidRDefault="001B79F6" w:rsidP="001B79F6">
      <w:pPr>
        <w:snapToGrid w:val="0"/>
        <w:spacing w:line="560" w:lineRule="exact"/>
        <w:ind w:firstLineChars="200" w:firstLine="640"/>
        <w:rPr>
          <w:rFonts w:ascii="仿宋" w:eastAsia="仿宋" w:hAnsi="仿宋" w:cs="仿宋" w:hint="eastAsia"/>
          <w:szCs w:val="32"/>
        </w:rPr>
      </w:pPr>
      <w:r>
        <w:rPr>
          <w:rFonts w:ascii="仿宋" w:eastAsia="仿宋" w:hAnsi="仿宋" w:cs="仿宋" w:hint="eastAsia"/>
          <w:szCs w:val="32"/>
          <w:lang/>
        </w:rPr>
        <w:t>中心市区公共管理与公共服务用地的土地使用税土地等级包括二等、三等、四等、五等四类区域，相应等级土地范围分别对应泉政〔2021〕2号文土地定级公共管理与公共服务用地的一级地至四级地范围。</w:t>
      </w:r>
    </w:p>
    <w:p w:rsidR="001B79F6" w:rsidRDefault="001B79F6" w:rsidP="001B79F6">
      <w:pPr>
        <w:snapToGrid w:val="0"/>
        <w:spacing w:line="560" w:lineRule="exact"/>
        <w:ind w:firstLineChars="200" w:firstLine="640"/>
        <w:rPr>
          <w:rFonts w:ascii="黑体" w:eastAsia="黑体" w:hAnsi="宋体" w:cs="黑体" w:hint="eastAsia"/>
          <w:szCs w:val="32"/>
        </w:rPr>
      </w:pPr>
      <w:r>
        <w:rPr>
          <w:rFonts w:ascii="黑体" w:eastAsia="黑体" w:hAnsi="宋体" w:cs="黑体" w:hint="eastAsia"/>
          <w:szCs w:val="32"/>
          <w:lang/>
        </w:rPr>
        <w:t>五、其他用地的土地等级及范围</w:t>
      </w:r>
    </w:p>
    <w:p w:rsidR="001B79F6" w:rsidRDefault="001B79F6" w:rsidP="001B79F6">
      <w:pPr>
        <w:snapToGrid w:val="0"/>
        <w:spacing w:line="560" w:lineRule="exact"/>
        <w:ind w:firstLineChars="200" w:firstLine="640"/>
        <w:rPr>
          <w:rFonts w:ascii="仿宋" w:eastAsia="仿宋" w:hAnsi="仿宋" w:cs="仿宋" w:hint="eastAsia"/>
          <w:szCs w:val="32"/>
        </w:rPr>
      </w:pPr>
      <w:r>
        <w:rPr>
          <w:rFonts w:ascii="仿宋" w:eastAsia="仿宋" w:hAnsi="仿宋" w:cs="仿宋" w:hint="eastAsia"/>
          <w:szCs w:val="32"/>
          <w:lang/>
        </w:rPr>
        <w:t>中心市区其他用地的土地使用税土地等级包括二等、三等、四等、五等四类区域，相应等级土地范围分别对应泉政〔2021〕2号文土地定级其他用地的一级地至四级地范围。</w:t>
      </w:r>
    </w:p>
    <w:p w:rsidR="001B79F6" w:rsidRDefault="001B79F6" w:rsidP="001B79F6">
      <w:pPr>
        <w:numPr>
          <w:ilvl w:val="0"/>
          <w:numId w:val="1"/>
        </w:numPr>
        <w:snapToGrid w:val="0"/>
        <w:spacing w:line="560" w:lineRule="exact"/>
        <w:ind w:firstLineChars="200" w:firstLine="640"/>
        <w:rPr>
          <w:rFonts w:ascii="黑体" w:eastAsia="黑体" w:hAnsi="宋体" w:cs="黑体" w:hint="eastAsia"/>
          <w:szCs w:val="32"/>
        </w:rPr>
      </w:pPr>
      <w:r>
        <w:rPr>
          <w:rFonts w:ascii="黑体" w:eastAsia="黑体" w:hAnsi="宋体" w:cs="黑体" w:hint="eastAsia"/>
          <w:szCs w:val="32"/>
          <w:lang/>
        </w:rPr>
        <w:t>调整后的中心市区土地使用税土地等级范围从</w:t>
      </w:r>
      <w:r>
        <w:rPr>
          <w:rFonts w:ascii="黑体" w:eastAsia="黑体" w:hAnsi="仿宋" w:cs="黑体" w:hint="eastAsia"/>
          <w:szCs w:val="32"/>
          <w:lang/>
        </w:rPr>
        <w:t>2022</w:t>
      </w:r>
      <w:r>
        <w:rPr>
          <w:rFonts w:ascii="黑体" w:eastAsia="黑体" w:hAnsi="宋体" w:cs="黑体" w:hint="eastAsia"/>
          <w:szCs w:val="32"/>
          <w:lang/>
        </w:rPr>
        <w:t>年</w:t>
      </w:r>
      <w:r>
        <w:rPr>
          <w:rFonts w:ascii="黑体" w:eastAsia="黑体" w:hAnsi="仿宋" w:cs="黑体" w:hint="eastAsia"/>
          <w:szCs w:val="32"/>
          <w:lang/>
        </w:rPr>
        <w:t>1</w:t>
      </w:r>
      <w:r>
        <w:rPr>
          <w:rFonts w:ascii="黑体" w:eastAsia="黑体" w:hAnsi="宋体" w:cs="黑体" w:hint="eastAsia"/>
          <w:szCs w:val="32"/>
          <w:lang/>
        </w:rPr>
        <w:t>月</w:t>
      </w:r>
      <w:r>
        <w:rPr>
          <w:rFonts w:ascii="黑体" w:eastAsia="黑体" w:hAnsi="仿宋" w:cs="黑体" w:hint="eastAsia"/>
          <w:szCs w:val="32"/>
          <w:lang/>
        </w:rPr>
        <w:t>1</w:t>
      </w:r>
      <w:r>
        <w:rPr>
          <w:rFonts w:ascii="黑体" w:eastAsia="黑体" w:hAnsi="宋体" w:cs="黑体" w:hint="eastAsia"/>
          <w:szCs w:val="32"/>
          <w:lang/>
        </w:rPr>
        <w:t>日起执行。</w:t>
      </w:r>
    </w:p>
    <w:p w:rsidR="001B79F6" w:rsidRDefault="001B79F6" w:rsidP="001B79F6">
      <w:pPr>
        <w:numPr>
          <w:ilvl w:val="0"/>
          <w:numId w:val="1"/>
        </w:numPr>
        <w:snapToGrid w:val="0"/>
        <w:spacing w:line="560" w:lineRule="exact"/>
        <w:ind w:firstLineChars="200" w:firstLine="640"/>
        <w:rPr>
          <w:rFonts w:ascii="黑体" w:eastAsia="黑体" w:hAnsi="仿宋" w:cs="黑体" w:hint="eastAsia"/>
          <w:szCs w:val="32"/>
        </w:rPr>
      </w:pPr>
      <w:r>
        <w:rPr>
          <w:rFonts w:ascii="黑体" w:eastAsia="黑体" w:hAnsi="宋体" w:cs="黑体" w:hint="eastAsia"/>
          <w:szCs w:val="32"/>
          <w:lang/>
        </w:rPr>
        <w:t>今后，泉州市中心市区城镇土地定级和基准定价更新的，土地使用税土地等级范围要适时对应跟进调整。</w:t>
      </w:r>
      <w:bookmarkStart w:id="0" w:name="_GoBack"/>
      <w:bookmarkEnd w:id="0"/>
    </w:p>
    <w:p w:rsidR="00AD1626" w:rsidRPr="001B79F6" w:rsidRDefault="00AD1626"/>
    <w:sectPr w:rsidR="00AD1626" w:rsidRPr="001B79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626" w:rsidRDefault="00AD1626" w:rsidP="001B79F6">
      <w:pPr>
        <w:ind w:firstLine="640"/>
      </w:pPr>
      <w:r>
        <w:separator/>
      </w:r>
    </w:p>
  </w:endnote>
  <w:endnote w:type="continuationSeparator" w:id="1">
    <w:p w:rsidR="00AD1626" w:rsidRDefault="00AD1626" w:rsidP="001B79F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626" w:rsidRDefault="00AD1626" w:rsidP="001B79F6">
      <w:pPr>
        <w:ind w:firstLine="640"/>
      </w:pPr>
      <w:r>
        <w:separator/>
      </w:r>
    </w:p>
  </w:footnote>
  <w:footnote w:type="continuationSeparator" w:id="1">
    <w:p w:rsidR="00AD1626" w:rsidRDefault="00AD1626" w:rsidP="001B79F6">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85E5C"/>
    <w:multiLevelType w:val="multilevel"/>
    <w:tmpl w:val="36F85E5C"/>
    <w:lvl w:ilvl="0">
      <w:start w:val="6"/>
      <w:numFmt w:val="chineseCounting"/>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79F6"/>
    <w:rsid w:val="001B79F6"/>
    <w:rsid w:val="00AD16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9F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7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79F6"/>
    <w:rPr>
      <w:sz w:val="18"/>
      <w:szCs w:val="18"/>
    </w:rPr>
  </w:style>
  <w:style w:type="paragraph" w:styleId="a4">
    <w:name w:val="footer"/>
    <w:basedOn w:val="a"/>
    <w:link w:val="Char0"/>
    <w:uiPriority w:val="99"/>
    <w:semiHidden/>
    <w:unhideWhenUsed/>
    <w:rsid w:val="001B79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79F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Company>微软公司</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陈婷婷/泉州市/泉州市人民政府/市政府办公室/财金科</dc:creator>
  <cp:keywords/>
  <dc:description/>
  <cp:lastModifiedBy>陈婷婷/泉州市/泉州市人民政府/市政府办公室/财金科</cp:lastModifiedBy>
  <cp:revision>2</cp:revision>
  <dcterms:created xsi:type="dcterms:W3CDTF">2021-11-16T02:59:00Z</dcterms:created>
  <dcterms:modified xsi:type="dcterms:W3CDTF">2021-11-16T02:59:00Z</dcterms:modified>
</cp:coreProperties>
</file>