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B5EC7">
      <w:pPr>
        <w:autoSpaceDE w:val="0"/>
        <w:autoSpaceDN w:val="0"/>
        <w:adjustRightInd w:val="0"/>
        <w:snapToGrid w:val="0"/>
        <w:ind w:firstLine="803"/>
        <w:jc w:val="center"/>
        <w:rPr>
          <w:rFonts w:ascii="仿宋" w:hAnsi="仿宋" w:cs="仿宋"/>
          <w:b/>
          <w:bCs/>
          <w:kern w:val="0"/>
          <w:sz w:val="40"/>
          <w:szCs w:val="40"/>
          <w:lang w:val="zh-CN"/>
        </w:rPr>
      </w:pPr>
    </w:p>
    <w:p w14:paraId="6D048197">
      <w:pPr>
        <w:autoSpaceDE w:val="0"/>
        <w:autoSpaceDN w:val="0"/>
        <w:adjustRightInd w:val="0"/>
        <w:snapToGrid w:val="0"/>
        <w:ind w:firstLine="803"/>
        <w:jc w:val="center"/>
        <w:rPr>
          <w:rFonts w:ascii="仿宋" w:hAnsi="仿宋" w:cs="仿宋"/>
          <w:b/>
          <w:bCs/>
          <w:kern w:val="0"/>
          <w:sz w:val="40"/>
          <w:szCs w:val="40"/>
          <w:lang w:val="zh-CN"/>
        </w:rPr>
      </w:pPr>
    </w:p>
    <w:p w14:paraId="61BA6D0F">
      <w:pPr>
        <w:autoSpaceDE w:val="0"/>
        <w:autoSpaceDN w:val="0"/>
        <w:adjustRightInd w:val="0"/>
        <w:snapToGrid w:val="0"/>
        <w:ind w:firstLine="803"/>
        <w:jc w:val="center"/>
        <w:rPr>
          <w:rFonts w:ascii="仿宋" w:hAnsi="仿宋" w:cs="仿宋"/>
          <w:b/>
          <w:bCs/>
          <w:kern w:val="0"/>
          <w:sz w:val="40"/>
          <w:szCs w:val="40"/>
          <w:lang w:val="zh-CN"/>
        </w:rPr>
      </w:pPr>
    </w:p>
    <w:p w14:paraId="2F4DED09">
      <w:pPr>
        <w:autoSpaceDE w:val="0"/>
        <w:autoSpaceDN w:val="0"/>
        <w:adjustRightInd w:val="0"/>
        <w:snapToGrid w:val="0"/>
        <w:ind w:firstLine="803"/>
        <w:jc w:val="center"/>
        <w:rPr>
          <w:rFonts w:ascii="仿宋" w:hAnsi="仿宋" w:cs="仿宋"/>
          <w:b/>
          <w:bCs/>
          <w:kern w:val="0"/>
          <w:sz w:val="40"/>
          <w:szCs w:val="40"/>
          <w:lang w:val="zh-CN"/>
        </w:rPr>
      </w:pPr>
    </w:p>
    <w:p w14:paraId="7D8B9124">
      <w:pPr>
        <w:autoSpaceDE w:val="0"/>
        <w:autoSpaceDN w:val="0"/>
        <w:adjustRightInd w:val="0"/>
        <w:snapToGrid w:val="0"/>
        <w:ind w:firstLine="803"/>
        <w:jc w:val="center"/>
        <w:rPr>
          <w:rFonts w:ascii="仿宋" w:hAnsi="仿宋" w:cs="仿宋"/>
          <w:b/>
          <w:kern w:val="0"/>
          <w:sz w:val="40"/>
          <w:szCs w:val="40"/>
          <w:lang w:val="zh-CN"/>
        </w:rPr>
      </w:pPr>
    </w:p>
    <w:p w14:paraId="0D4C1683">
      <w:pPr>
        <w:autoSpaceDE w:val="0"/>
        <w:autoSpaceDN w:val="0"/>
        <w:adjustRightInd w:val="0"/>
        <w:snapToGrid w:val="0"/>
        <w:spacing w:line="240" w:lineRule="auto"/>
        <w:ind w:firstLine="0" w:firstLineChars="0"/>
        <w:jc w:val="center"/>
        <w:rPr>
          <w:rFonts w:ascii="黑体" w:hAnsi="黑体" w:eastAsia="黑体" w:cs="仿宋"/>
          <w:b/>
          <w:kern w:val="0"/>
          <w:sz w:val="52"/>
          <w:szCs w:val="36"/>
          <w:lang w:val="zh-CN"/>
        </w:rPr>
      </w:pPr>
      <w:r>
        <w:rPr>
          <w:rFonts w:hint="eastAsia" w:ascii="黑体" w:hAnsi="黑体" w:eastAsia="黑体" w:cs="仿宋"/>
          <w:b/>
          <w:kern w:val="0"/>
          <w:sz w:val="52"/>
          <w:szCs w:val="36"/>
          <w:lang w:val="zh-CN"/>
        </w:rPr>
        <w:t>泉州市“十四五”城乡基础设施</w:t>
      </w:r>
    </w:p>
    <w:p w14:paraId="4E3A8E38">
      <w:pPr>
        <w:autoSpaceDE w:val="0"/>
        <w:autoSpaceDN w:val="0"/>
        <w:adjustRightInd w:val="0"/>
        <w:snapToGrid w:val="0"/>
        <w:spacing w:line="240" w:lineRule="auto"/>
        <w:ind w:firstLine="0" w:firstLineChars="0"/>
        <w:jc w:val="center"/>
        <w:rPr>
          <w:rFonts w:ascii="仿宋" w:hAnsi="仿宋" w:cs="仿宋"/>
          <w:bCs/>
          <w:kern w:val="0"/>
          <w:sz w:val="144"/>
          <w:szCs w:val="52"/>
          <w:lang w:val="zh-CN"/>
        </w:rPr>
      </w:pPr>
      <w:r>
        <w:rPr>
          <w:rFonts w:hint="eastAsia" w:ascii="黑体" w:hAnsi="黑体" w:eastAsia="黑体" w:cs="仿宋"/>
          <w:b/>
          <w:kern w:val="0"/>
          <w:sz w:val="52"/>
          <w:szCs w:val="36"/>
          <w:lang w:val="zh-CN"/>
        </w:rPr>
        <w:t>建设与管理专项规划</w:t>
      </w:r>
    </w:p>
    <w:p w14:paraId="4874C961">
      <w:pPr>
        <w:autoSpaceDE w:val="0"/>
        <w:autoSpaceDN w:val="0"/>
        <w:adjustRightInd w:val="0"/>
        <w:snapToGrid w:val="0"/>
        <w:spacing w:line="360" w:lineRule="auto"/>
        <w:ind w:firstLine="562"/>
        <w:jc w:val="center"/>
        <w:rPr>
          <w:rFonts w:ascii="仿宋" w:hAnsi="仿宋" w:cs="仿宋"/>
          <w:b/>
          <w:bCs/>
          <w:kern w:val="0"/>
          <w:szCs w:val="32"/>
          <w:lang w:val="zh-CN"/>
        </w:rPr>
      </w:pPr>
    </w:p>
    <w:p w14:paraId="3F4901C4">
      <w:pPr>
        <w:autoSpaceDE w:val="0"/>
        <w:autoSpaceDN w:val="0"/>
        <w:adjustRightInd w:val="0"/>
        <w:snapToGrid w:val="0"/>
        <w:spacing w:line="360" w:lineRule="auto"/>
        <w:ind w:firstLine="562"/>
        <w:jc w:val="center"/>
        <w:rPr>
          <w:rFonts w:ascii="仿宋" w:hAnsi="仿宋" w:cs="仿宋"/>
          <w:b/>
          <w:bCs/>
          <w:kern w:val="0"/>
          <w:szCs w:val="32"/>
          <w:lang w:val="zh-CN"/>
        </w:rPr>
      </w:pPr>
    </w:p>
    <w:p w14:paraId="137C9B6B">
      <w:pPr>
        <w:autoSpaceDE w:val="0"/>
        <w:autoSpaceDN w:val="0"/>
        <w:adjustRightInd w:val="0"/>
        <w:snapToGrid w:val="0"/>
        <w:spacing w:line="360" w:lineRule="auto"/>
        <w:ind w:firstLine="562"/>
        <w:jc w:val="center"/>
        <w:rPr>
          <w:rFonts w:ascii="仿宋" w:hAnsi="仿宋" w:cs="仿宋"/>
          <w:b/>
          <w:bCs/>
          <w:kern w:val="0"/>
          <w:szCs w:val="32"/>
          <w:lang w:val="zh-CN"/>
        </w:rPr>
      </w:pPr>
    </w:p>
    <w:p w14:paraId="2FA57D14">
      <w:pPr>
        <w:autoSpaceDE w:val="0"/>
        <w:autoSpaceDN w:val="0"/>
        <w:adjustRightInd w:val="0"/>
        <w:snapToGrid w:val="0"/>
        <w:spacing w:line="360" w:lineRule="auto"/>
        <w:ind w:firstLine="562"/>
        <w:jc w:val="center"/>
        <w:rPr>
          <w:rFonts w:ascii="仿宋" w:hAnsi="仿宋" w:cs="仿宋"/>
          <w:b/>
          <w:bCs/>
          <w:kern w:val="0"/>
          <w:szCs w:val="32"/>
          <w:lang w:val="zh-CN"/>
        </w:rPr>
      </w:pPr>
    </w:p>
    <w:p w14:paraId="29B3E119">
      <w:pPr>
        <w:autoSpaceDE w:val="0"/>
        <w:autoSpaceDN w:val="0"/>
        <w:adjustRightInd w:val="0"/>
        <w:snapToGrid w:val="0"/>
        <w:spacing w:line="360" w:lineRule="auto"/>
        <w:ind w:firstLine="562"/>
        <w:jc w:val="center"/>
        <w:rPr>
          <w:rFonts w:ascii="仿宋" w:hAnsi="仿宋" w:cs="仿宋"/>
          <w:b/>
          <w:bCs/>
          <w:kern w:val="0"/>
          <w:szCs w:val="32"/>
          <w:lang w:val="zh-CN"/>
        </w:rPr>
      </w:pPr>
    </w:p>
    <w:p w14:paraId="4B21E7C4">
      <w:pPr>
        <w:autoSpaceDE w:val="0"/>
        <w:autoSpaceDN w:val="0"/>
        <w:adjustRightInd w:val="0"/>
        <w:snapToGrid w:val="0"/>
        <w:spacing w:line="360" w:lineRule="auto"/>
        <w:ind w:firstLine="562"/>
        <w:jc w:val="center"/>
        <w:rPr>
          <w:rFonts w:ascii="仿宋" w:hAnsi="仿宋" w:cs="仿宋"/>
          <w:b/>
          <w:bCs/>
          <w:kern w:val="0"/>
          <w:szCs w:val="32"/>
          <w:lang w:val="zh-CN"/>
        </w:rPr>
      </w:pPr>
    </w:p>
    <w:p w14:paraId="268E4BB8">
      <w:pPr>
        <w:autoSpaceDE w:val="0"/>
        <w:autoSpaceDN w:val="0"/>
        <w:adjustRightInd w:val="0"/>
        <w:snapToGrid w:val="0"/>
        <w:spacing w:line="360" w:lineRule="auto"/>
        <w:ind w:firstLine="562"/>
        <w:jc w:val="center"/>
        <w:rPr>
          <w:rFonts w:ascii="仿宋" w:hAnsi="仿宋" w:cs="仿宋"/>
          <w:b/>
          <w:bCs/>
          <w:kern w:val="0"/>
          <w:szCs w:val="32"/>
          <w:lang w:val="zh-CN"/>
        </w:rPr>
      </w:pPr>
    </w:p>
    <w:p w14:paraId="160548DC">
      <w:pPr>
        <w:autoSpaceDE w:val="0"/>
        <w:autoSpaceDN w:val="0"/>
        <w:adjustRightInd w:val="0"/>
        <w:snapToGrid w:val="0"/>
        <w:spacing w:line="360" w:lineRule="auto"/>
        <w:ind w:firstLine="562"/>
        <w:jc w:val="center"/>
        <w:rPr>
          <w:rFonts w:ascii="仿宋" w:hAnsi="仿宋" w:cs="仿宋"/>
          <w:b/>
          <w:bCs/>
          <w:kern w:val="0"/>
          <w:szCs w:val="32"/>
          <w:lang w:val="zh-CN"/>
        </w:rPr>
      </w:pPr>
    </w:p>
    <w:p w14:paraId="3404443F">
      <w:pPr>
        <w:autoSpaceDE w:val="0"/>
        <w:autoSpaceDN w:val="0"/>
        <w:adjustRightInd w:val="0"/>
        <w:snapToGrid w:val="0"/>
        <w:spacing w:line="360" w:lineRule="auto"/>
        <w:ind w:firstLine="562"/>
        <w:jc w:val="center"/>
        <w:rPr>
          <w:rFonts w:ascii="仿宋" w:hAnsi="仿宋" w:cs="仿宋"/>
          <w:b/>
          <w:bCs/>
          <w:kern w:val="0"/>
          <w:szCs w:val="32"/>
          <w:lang w:val="zh-CN"/>
        </w:rPr>
      </w:pPr>
    </w:p>
    <w:p w14:paraId="11CDDF3D">
      <w:pPr>
        <w:autoSpaceDE w:val="0"/>
        <w:autoSpaceDN w:val="0"/>
        <w:adjustRightInd w:val="0"/>
        <w:snapToGrid w:val="0"/>
        <w:spacing w:line="360" w:lineRule="auto"/>
        <w:ind w:firstLine="562"/>
        <w:jc w:val="center"/>
        <w:rPr>
          <w:rFonts w:ascii="仿宋" w:hAnsi="仿宋" w:cs="仿宋"/>
          <w:b/>
          <w:bCs/>
          <w:kern w:val="0"/>
          <w:szCs w:val="32"/>
          <w:lang w:val="zh-CN"/>
        </w:rPr>
      </w:pPr>
    </w:p>
    <w:p w14:paraId="3176561F">
      <w:pPr>
        <w:autoSpaceDE w:val="0"/>
        <w:autoSpaceDN w:val="0"/>
        <w:adjustRightInd w:val="0"/>
        <w:snapToGrid w:val="0"/>
        <w:spacing w:line="360" w:lineRule="auto"/>
        <w:ind w:firstLine="0" w:firstLineChars="0"/>
        <w:rPr>
          <w:rFonts w:ascii="仿宋" w:hAnsi="仿宋" w:cs="仿宋"/>
          <w:b/>
          <w:bCs/>
          <w:kern w:val="0"/>
          <w:szCs w:val="32"/>
          <w:lang w:val="zh-CN"/>
        </w:rPr>
      </w:pPr>
      <w:r>
        <w:rPr>
          <w:rFonts w:ascii="仿宋" w:hAnsi="仿宋" w:cs="仿宋"/>
          <w:b/>
          <w:bCs/>
          <w:kern w:val="0"/>
          <w:szCs w:val="32"/>
          <w:lang w:val="zh-CN"/>
        </w:rPr>
        <w:br w:type="page"/>
      </w:r>
    </w:p>
    <w:p w14:paraId="35CE4E86">
      <w:pPr>
        <w:ind w:firstLine="0" w:firstLineChars="0"/>
        <w:jc w:val="center"/>
        <w:rPr>
          <w:rFonts w:ascii="黑体" w:hAnsi="黑体"/>
          <w:b/>
          <w:bCs/>
          <w:sz w:val="40"/>
        </w:rPr>
      </w:pPr>
      <w:bookmarkStart w:id="0" w:name="_Toc62163221"/>
      <w:bookmarkStart w:id="1" w:name="_Toc62176190"/>
      <w:bookmarkStart w:id="2" w:name="_Toc62128185"/>
      <w:bookmarkStart w:id="3" w:name="_Toc62175585"/>
      <w:r>
        <w:rPr>
          <w:rFonts w:hint="eastAsia" w:ascii="黑体" w:hAnsi="黑体" w:eastAsia="黑体"/>
          <w:b/>
          <w:bCs/>
          <w:sz w:val="40"/>
        </w:rPr>
        <w:t>前</w:t>
      </w:r>
      <w:r>
        <w:rPr>
          <w:rFonts w:ascii="黑体" w:hAnsi="黑体" w:eastAsia="黑体"/>
          <w:b/>
          <w:bCs/>
          <w:sz w:val="40"/>
        </w:rPr>
        <w:t xml:space="preserve">  </w:t>
      </w:r>
      <w:r>
        <w:rPr>
          <w:rFonts w:hint="eastAsia" w:ascii="黑体" w:hAnsi="黑体" w:eastAsia="黑体"/>
          <w:b/>
          <w:bCs/>
          <w:sz w:val="40"/>
        </w:rPr>
        <w:t>言</w:t>
      </w:r>
      <w:bookmarkEnd w:id="0"/>
      <w:bookmarkEnd w:id="1"/>
      <w:bookmarkEnd w:id="2"/>
      <w:bookmarkEnd w:id="3"/>
    </w:p>
    <w:p w14:paraId="2D7ED988">
      <w:pPr>
        <w:ind w:firstLine="560"/>
        <w:rPr>
          <w:rFonts w:ascii="仿宋" w:hAnsi="仿宋"/>
        </w:rPr>
      </w:pPr>
    </w:p>
    <w:p w14:paraId="1D421128">
      <w:pPr>
        <w:snapToGrid w:val="0"/>
        <w:spacing w:line="540" w:lineRule="exact"/>
        <w:ind w:firstLine="640"/>
        <w:rPr>
          <w:rFonts w:ascii="仿宋" w:hAnsi="仿宋"/>
          <w:sz w:val="32"/>
          <w:szCs w:val="24"/>
        </w:rPr>
      </w:pPr>
      <w:r>
        <w:rPr>
          <w:rFonts w:hint="eastAsia" w:ascii="仿宋" w:hAnsi="仿宋"/>
          <w:sz w:val="32"/>
          <w:szCs w:val="24"/>
        </w:rPr>
        <w:t>“十四五”时期</w:t>
      </w:r>
      <w:r>
        <w:rPr>
          <w:rFonts w:ascii="仿宋" w:hAnsi="仿宋"/>
          <w:sz w:val="32"/>
          <w:szCs w:val="24"/>
        </w:rPr>
        <w:t>是我国全面建设社会主义现代化国家新征程的起步期，是泉州</w:t>
      </w:r>
      <w:r>
        <w:rPr>
          <w:rFonts w:hint="eastAsia" w:ascii="仿宋" w:hAnsi="仿宋"/>
          <w:sz w:val="32"/>
          <w:szCs w:val="24"/>
        </w:rPr>
        <w:t>前瞻</w:t>
      </w:r>
      <w:r>
        <w:rPr>
          <w:rFonts w:ascii="仿宋" w:hAnsi="仿宋"/>
          <w:sz w:val="32"/>
          <w:szCs w:val="24"/>
        </w:rPr>
        <w:t>2035年奋力建成海丝名城、智造强市、品质泉州的开局</w:t>
      </w:r>
      <w:r>
        <w:rPr>
          <w:rFonts w:hint="eastAsia" w:ascii="仿宋" w:hAnsi="仿宋"/>
          <w:sz w:val="32"/>
          <w:szCs w:val="24"/>
        </w:rPr>
        <w:t>阶段</w:t>
      </w:r>
      <w:r>
        <w:rPr>
          <w:rFonts w:ascii="仿宋" w:hAnsi="仿宋"/>
          <w:sz w:val="32"/>
          <w:szCs w:val="24"/>
        </w:rPr>
        <w:t>，也是</w:t>
      </w:r>
      <w:r>
        <w:rPr>
          <w:rFonts w:hint="eastAsia" w:ascii="仿宋" w:hAnsi="仿宋"/>
          <w:sz w:val="32"/>
          <w:szCs w:val="24"/>
        </w:rPr>
        <w:t>泉州当好新时代新福建建设和全方位推进高质量发展超越主力军的关键时期。</w:t>
      </w:r>
    </w:p>
    <w:p w14:paraId="438CD131">
      <w:pPr>
        <w:snapToGrid w:val="0"/>
        <w:spacing w:line="540" w:lineRule="exact"/>
        <w:ind w:firstLine="640"/>
        <w:rPr>
          <w:rFonts w:ascii="仿宋" w:hAnsi="仿宋"/>
          <w:sz w:val="32"/>
          <w:szCs w:val="24"/>
        </w:rPr>
      </w:pPr>
      <w:r>
        <w:rPr>
          <w:rFonts w:hint="eastAsia"/>
          <w:sz w:val="32"/>
          <w:szCs w:val="24"/>
        </w:rPr>
        <w:t>泉州市城乡基础设施建设发展要</w:t>
      </w:r>
      <w:r>
        <w:rPr>
          <w:rFonts w:hint="eastAsia" w:ascii="仿宋" w:hAnsi="仿宋"/>
          <w:sz w:val="32"/>
          <w:szCs w:val="24"/>
        </w:rPr>
        <w:t>以解决人民群众最关心、最直接、最现实的问题为立足点，</w:t>
      </w:r>
      <w:r>
        <w:rPr>
          <w:rFonts w:hint="eastAsia"/>
          <w:sz w:val="32"/>
          <w:szCs w:val="24"/>
        </w:rPr>
        <w:t>以提质增效为主线，加快构建支撑跨江发展、跨域融合、区划重构、聚城畅通、聚湾强心的现代化城乡基础设施体系，全面提升城市综合承载力和辐射影响力，</w:t>
      </w:r>
      <w:r>
        <w:rPr>
          <w:rFonts w:hint="eastAsia" w:ascii="仿宋" w:hAnsi="仿宋"/>
          <w:sz w:val="32"/>
          <w:szCs w:val="24"/>
        </w:rPr>
        <w:t>有力支撑泉州市经济社会发展，为奋力谱写全面建设社会主义现代化国家的泉州篇章奠定坚实基础。</w:t>
      </w:r>
    </w:p>
    <w:p w14:paraId="179AE9FE">
      <w:pPr>
        <w:snapToGrid w:val="0"/>
        <w:spacing w:line="540" w:lineRule="exact"/>
        <w:ind w:firstLine="640"/>
        <w:rPr>
          <w:rFonts w:ascii="仿宋" w:hAnsi="仿宋"/>
          <w:kern w:val="0"/>
          <w:sz w:val="32"/>
          <w:szCs w:val="36"/>
        </w:rPr>
      </w:pPr>
      <w:r>
        <w:rPr>
          <w:rFonts w:hint="eastAsia" w:ascii="仿宋" w:hAnsi="仿宋"/>
          <w:sz w:val="32"/>
          <w:szCs w:val="24"/>
        </w:rPr>
        <w:t>本规划依据《泉州市国民经济和社会发展第十四个五年规划和二〇三五年远景目标纲要》和《福建省“十四五”城乡基础设施建设专项规划》编制</w:t>
      </w:r>
      <w:r>
        <w:rPr>
          <w:rFonts w:ascii="仿宋" w:hAnsi="仿宋"/>
          <w:sz w:val="32"/>
          <w:szCs w:val="24"/>
        </w:rPr>
        <w:t>，</w:t>
      </w:r>
      <w:r>
        <w:rPr>
          <w:rFonts w:hint="eastAsia" w:ascii="仿宋" w:hAnsi="仿宋"/>
          <w:sz w:val="32"/>
          <w:szCs w:val="24"/>
        </w:rPr>
        <w:t>并与综合交通运输、水利等市级“十四五”专项规划相衔接，</w:t>
      </w:r>
      <w:r>
        <w:rPr>
          <w:rFonts w:hint="eastAsia" w:ascii="仿宋" w:hAnsi="仿宋"/>
          <w:kern w:val="0"/>
          <w:sz w:val="32"/>
          <w:szCs w:val="36"/>
        </w:rPr>
        <w:t>明确</w:t>
      </w:r>
      <w:r>
        <w:rPr>
          <w:rFonts w:ascii="仿宋" w:hAnsi="仿宋"/>
          <w:kern w:val="0"/>
          <w:sz w:val="32"/>
          <w:szCs w:val="36"/>
        </w:rPr>
        <w:t>了“</w:t>
      </w:r>
      <w:r>
        <w:rPr>
          <w:rFonts w:hint="eastAsia" w:ascii="仿宋" w:hAnsi="仿宋"/>
          <w:kern w:val="0"/>
          <w:sz w:val="32"/>
          <w:szCs w:val="36"/>
        </w:rPr>
        <w:t>十四五</w:t>
      </w:r>
      <w:r>
        <w:rPr>
          <w:rFonts w:ascii="仿宋" w:hAnsi="仿宋"/>
          <w:kern w:val="0"/>
          <w:sz w:val="32"/>
          <w:szCs w:val="36"/>
        </w:rPr>
        <w:t>”</w:t>
      </w:r>
      <w:r>
        <w:rPr>
          <w:rFonts w:hint="eastAsia" w:ascii="仿宋" w:hAnsi="仿宋"/>
          <w:kern w:val="0"/>
          <w:sz w:val="32"/>
          <w:szCs w:val="36"/>
        </w:rPr>
        <w:t>泉州市城乡基础</w:t>
      </w:r>
      <w:r>
        <w:rPr>
          <w:rFonts w:ascii="仿宋" w:hAnsi="仿宋"/>
          <w:kern w:val="0"/>
          <w:sz w:val="32"/>
          <w:szCs w:val="36"/>
        </w:rPr>
        <w:t>设施</w:t>
      </w:r>
      <w:r>
        <w:rPr>
          <w:rFonts w:hint="eastAsia" w:ascii="仿宋" w:hAnsi="仿宋"/>
          <w:kern w:val="0"/>
          <w:sz w:val="32"/>
          <w:szCs w:val="36"/>
        </w:rPr>
        <w:t>建设与管理</w:t>
      </w:r>
      <w:r>
        <w:rPr>
          <w:rFonts w:ascii="仿宋" w:hAnsi="仿宋"/>
          <w:kern w:val="0"/>
          <w:sz w:val="32"/>
          <w:szCs w:val="36"/>
        </w:rPr>
        <w:t>的发展目标和</w:t>
      </w:r>
      <w:r>
        <w:rPr>
          <w:rFonts w:hint="eastAsia" w:ascii="仿宋" w:hAnsi="仿宋"/>
          <w:kern w:val="0"/>
          <w:sz w:val="32"/>
          <w:szCs w:val="36"/>
        </w:rPr>
        <w:t>重点</w:t>
      </w:r>
      <w:r>
        <w:rPr>
          <w:rFonts w:ascii="仿宋" w:hAnsi="仿宋"/>
          <w:kern w:val="0"/>
          <w:sz w:val="32"/>
          <w:szCs w:val="36"/>
        </w:rPr>
        <w:t>任务，</w:t>
      </w:r>
      <w:r>
        <w:rPr>
          <w:rFonts w:hint="eastAsia" w:ascii="仿宋" w:hAnsi="仿宋"/>
          <w:kern w:val="0"/>
          <w:sz w:val="32"/>
          <w:szCs w:val="36"/>
        </w:rPr>
        <w:t>是“十四五”期间城乡基础设施建设发展的总体蓝图和行动纲领。</w:t>
      </w:r>
    </w:p>
    <w:p w14:paraId="2E2BA9D9">
      <w:pPr>
        <w:snapToGrid w:val="0"/>
        <w:spacing w:line="540" w:lineRule="exact"/>
        <w:ind w:firstLine="640"/>
        <w:rPr>
          <w:rFonts w:ascii="仿宋" w:hAnsi="仿宋"/>
          <w:sz w:val="32"/>
          <w:szCs w:val="24"/>
        </w:rPr>
      </w:pPr>
      <w:r>
        <w:rPr>
          <w:rFonts w:hint="eastAsia" w:ascii="仿宋" w:hAnsi="仿宋"/>
          <w:sz w:val="32"/>
          <w:szCs w:val="24"/>
        </w:rPr>
        <w:t>本规划包含交通、园林绿化、居住品质、供水、生活污水处理、环境卫生、燃气、安全、新型城市基础设施、城市管理等内容，</w:t>
      </w:r>
      <w:r>
        <w:rPr>
          <w:rFonts w:hint="eastAsia" w:ascii="仿宋" w:hAnsi="仿宋"/>
          <w:kern w:val="0"/>
          <w:sz w:val="32"/>
          <w:szCs w:val="36"/>
        </w:rPr>
        <w:t>规划范围为泉州</w:t>
      </w:r>
      <w:r>
        <w:rPr>
          <w:rFonts w:ascii="仿宋" w:hAnsi="仿宋"/>
          <w:kern w:val="0"/>
          <w:sz w:val="32"/>
          <w:szCs w:val="36"/>
        </w:rPr>
        <w:t>市</w:t>
      </w:r>
      <w:r>
        <w:rPr>
          <w:rFonts w:hint="eastAsia" w:ascii="仿宋" w:hAnsi="仿宋"/>
          <w:kern w:val="0"/>
          <w:sz w:val="32"/>
          <w:szCs w:val="36"/>
        </w:rPr>
        <w:t>全</w:t>
      </w:r>
      <w:r>
        <w:rPr>
          <w:rFonts w:ascii="仿宋" w:hAnsi="仿宋"/>
          <w:kern w:val="0"/>
          <w:sz w:val="32"/>
          <w:szCs w:val="36"/>
        </w:rPr>
        <w:t>域，</w:t>
      </w:r>
      <w:r>
        <w:rPr>
          <w:rFonts w:hint="eastAsia" w:ascii="仿宋" w:hAnsi="仿宋"/>
          <w:kern w:val="0"/>
          <w:sz w:val="32"/>
          <w:szCs w:val="36"/>
        </w:rPr>
        <w:t>重点是</w:t>
      </w:r>
      <w:r>
        <w:rPr>
          <w:rFonts w:ascii="仿宋" w:hAnsi="仿宋"/>
          <w:kern w:val="0"/>
          <w:sz w:val="32"/>
          <w:szCs w:val="36"/>
        </w:rPr>
        <w:t>统管区</w:t>
      </w:r>
      <w:r>
        <w:rPr>
          <w:rFonts w:hint="eastAsia" w:ascii="仿宋" w:hAnsi="仿宋"/>
          <w:kern w:val="0"/>
          <w:sz w:val="32"/>
          <w:szCs w:val="36"/>
        </w:rPr>
        <w:t>和</w:t>
      </w:r>
      <w:r>
        <w:rPr>
          <w:rFonts w:ascii="仿宋" w:hAnsi="仿宋"/>
          <w:kern w:val="0"/>
          <w:sz w:val="32"/>
          <w:szCs w:val="36"/>
        </w:rPr>
        <w:t>统筹区</w:t>
      </w:r>
      <w:r>
        <w:rPr>
          <w:rFonts w:hint="eastAsia" w:ascii="仿宋" w:hAnsi="仿宋"/>
          <w:kern w:val="0"/>
          <w:sz w:val="32"/>
          <w:szCs w:val="36"/>
        </w:rPr>
        <w:t>范围，</w:t>
      </w:r>
      <w:r>
        <w:rPr>
          <w:rFonts w:ascii="仿宋" w:hAnsi="仿宋"/>
          <w:kern w:val="0"/>
          <w:sz w:val="32"/>
          <w:szCs w:val="36"/>
        </w:rPr>
        <w:t>统管区涵盖鲤城区、丰泽区、洛江区、</w:t>
      </w:r>
      <w:r>
        <w:rPr>
          <w:rFonts w:hint="eastAsia" w:ascii="仿宋" w:hAnsi="仿宋"/>
          <w:kern w:val="0"/>
          <w:sz w:val="32"/>
          <w:szCs w:val="36"/>
        </w:rPr>
        <w:t>泉州</w:t>
      </w:r>
      <w:r>
        <w:rPr>
          <w:rFonts w:ascii="仿宋" w:hAnsi="仿宋"/>
          <w:kern w:val="0"/>
          <w:sz w:val="32"/>
          <w:szCs w:val="36"/>
        </w:rPr>
        <w:t>台商投资区，统筹区</w:t>
      </w:r>
      <w:r>
        <w:rPr>
          <w:rFonts w:hint="eastAsia" w:ascii="仿宋" w:hAnsi="仿宋"/>
          <w:kern w:val="0"/>
          <w:sz w:val="32"/>
          <w:szCs w:val="36"/>
        </w:rPr>
        <w:t>为</w:t>
      </w:r>
      <w:r>
        <w:rPr>
          <w:rFonts w:ascii="仿宋" w:hAnsi="仿宋"/>
          <w:kern w:val="0"/>
          <w:sz w:val="32"/>
          <w:szCs w:val="36"/>
        </w:rPr>
        <w:t>统管区外围</w:t>
      </w:r>
      <w:r>
        <w:rPr>
          <w:rFonts w:hint="eastAsia" w:ascii="仿宋" w:hAnsi="仿宋"/>
          <w:kern w:val="0"/>
          <w:sz w:val="32"/>
          <w:szCs w:val="36"/>
        </w:rPr>
        <w:t>崇武</w:t>
      </w:r>
      <w:r>
        <w:rPr>
          <w:rFonts w:ascii="仿宋" w:hAnsi="仿宋"/>
          <w:kern w:val="0"/>
          <w:sz w:val="32"/>
          <w:szCs w:val="36"/>
        </w:rPr>
        <w:t>镇、</w:t>
      </w:r>
      <w:r>
        <w:rPr>
          <w:rFonts w:hint="eastAsia" w:ascii="仿宋" w:hAnsi="仿宋"/>
          <w:kern w:val="0"/>
          <w:sz w:val="32"/>
          <w:szCs w:val="36"/>
        </w:rPr>
        <w:t>山</w:t>
      </w:r>
      <w:r>
        <w:rPr>
          <w:rFonts w:ascii="仿宋" w:hAnsi="仿宋"/>
          <w:kern w:val="0"/>
          <w:sz w:val="32"/>
          <w:szCs w:val="36"/>
        </w:rPr>
        <w:t>霞</w:t>
      </w:r>
      <w:r>
        <w:rPr>
          <w:rFonts w:hint="eastAsia" w:ascii="仿宋" w:hAnsi="仿宋"/>
          <w:kern w:val="0"/>
          <w:sz w:val="32"/>
          <w:szCs w:val="36"/>
        </w:rPr>
        <w:t>镇</w:t>
      </w:r>
      <w:r>
        <w:rPr>
          <w:rFonts w:ascii="仿宋" w:hAnsi="仿宋"/>
          <w:kern w:val="0"/>
          <w:sz w:val="32"/>
          <w:szCs w:val="36"/>
        </w:rPr>
        <w:t>、黄塘</w:t>
      </w:r>
      <w:r>
        <w:rPr>
          <w:rFonts w:hint="eastAsia" w:ascii="仿宋" w:hAnsi="仿宋"/>
          <w:kern w:val="0"/>
          <w:sz w:val="32"/>
          <w:szCs w:val="36"/>
        </w:rPr>
        <w:t>镇</w:t>
      </w:r>
      <w:r>
        <w:rPr>
          <w:rFonts w:ascii="仿宋" w:hAnsi="仿宋"/>
          <w:kern w:val="0"/>
          <w:sz w:val="32"/>
          <w:szCs w:val="36"/>
        </w:rPr>
        <w:t>等11个乡镇及</w:t>
      </w:r>
      <w:r>
        <w:rPr>
          <w:rFonts w:hint="eastAsia" w:ascii="仿宋" w:hAnsi="仿宋"/>
          <w:kern w:val="0"/>
          <w:sz w:val="32"/>
          <w:szCs w:val="36"/>
        </w:rPr>
        <w:t>泉州</w:t>
      </w:r>
      <w:r>
        <w:rPr>
          <w:rFonts w:ascii="仿宋" w:hAnsi="仿宋"/>
          <w:kern w:val="0"/>
          <w:sz w:val="32"/>
          <w:szCs w:val="36"/>
        </w:rPr>
        <w:t>开发区</w:t>
      </w:r>
      <w:r>
        <w:rPr>
          <w:rFonts w:hint="eastAsia" w:ascii="仿宋" w:hAnsi="仿宋"/>
          <w:sz w:val="32"/>
          <w:szCs w:val="24"/>
        </w:rPr>
        <w:t>。</w:t>
      </w:r>
    </w:p>
    <w:p w14:paraId="2733FE20">
      <w:pPr>
        <w:pStyle w:val="31"/>
        <w:snapToGrid w:val="0"/>
        <w:spacing w:line="540" w:lineRule="exact"/>
        <w:ind w:firstLine="560" w:firstLineChars="0"/>
        <w:rPr>
          <w:sz w:val="32"/>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cols w:space="425" w:num="1"/>
          <w:docGrid w:type="lines" w:linePitch="312" w:charSpace="0"/>
        </w:sectPr>
      </w:pPr>
      <w:r>
        <w:rPr>
          <w:rFonts w:hint="eastAsia" w:ascii="仿宋" w:hAnsi="仿宋"/>
          <w:kern w:val="0"/>
          <w:sz w:val="32"/>
          <w:szCs w:val="36"/>
        </w:rPr>
        <w:t>本规划基年为</w:t>
      </w:r>
      <w:r>
        <w:rPr>
          <w:rFonts w:ascii="仿宋" w:hAnsi="仿宋"/>
          <w:kern w:val="0"/>
          <w:sz w:val="32"/>
          <w:szCs w:val="36"/>
        </w:rPr>
        <w:t>2020年，规划期为2021</w:t>
      </w:r>
      <w:r>
        <w:rPr>
          <w:rFonts w:hint="eastAsia" w:ascii="仿宋" w:hAnsi="仿宋"/>
          <w:kern w:val="0"/>
          <w:sz w:val="32"/>
          <w:szCs w:val="36"/>
        </w:rPr>
        <w:t>—</w:t>
      </w:r>
      <w:r>
        <w:rPr>
          <w:rFonts w:ascii="仿宋" w:hAnsi="仿宋"/>
          <w:kern w:val="0"/>
          <w:sz w:val="32"/>
          <w:szCs w:val="36"/>
        </w:rPr>
        <w:t>2025年</w:t>
      </w:r>
      <w:r>
        <w:rPr>
          <w:rFonts w:hint="eastAsia" w:ascii="仿宋" w:hAnsi="仿宋"/>
          <w:kern w:val="0"/>
          <w:sz w:val="32"/>
          <w:szCs w:val="36"/>
        </w:rPr>
        <w:t>，远景目标规划期为</w:t>
      </w:r>
      <w:r>
        <w:rPr>
          <w:rFonts w:ascii="仿宋" w:hAnsi="仿宋"/>
          <w:kern w:val="0"/>
          <w:sz w:val="32"/>
          <w:szCs w:val="36"/>
        </w:rPr>
        <w:t>2035年。</w:t>
      </w:r>
    </w:p>
    <w:sdt>
      <w:sdtPr>
        <w:rPr>
          <w:rFonts w:hint="eastAsia" w:ascii="黑体" w:hAnsi="黑体" w:eastAsia="黑体" w:cs="黑体"/>
          <w:b/>
          <w:bCs/>
          <w:kern w:val="0"/>
          <w:sz w:val="32"/>
          <w:szCs w:val="32"/>
        </w:rPr>
        <w:id w:val="147456285"/>
        <w:docPartObj>
          <w:docPartGallery w:val="Table of Contents"/>
          <w:docPartUnique/>
        </w:docPartObj>
      </w:sdtPr>
      <w:sdtEndPr>
        <w:rPr>
          <w:rFonts w:hint="eastAsia" w:ascii="黑体" w:hAnsi="黑体" w:eastAsia="黑体" w:cs="黑体"/>
          <w:b/>
          <w:bCs/>
          <w:kern w:val="0"/>
          <w:sz w:val="28"/>
          <w:szCs w:val="28"/>
        </w:rPr>
      </w:sdtEndPr>
      <w:sdtContent>
        <w:p w14:paraId="7FD77F76">
          <w:pPr>
            <w:spacing w:line="240" w:lineRule="auto"/>
            <w:ind w:firstLine="0" w:firstLineChars="0"/>
            <w:jc w:val="center"/>
            <w:rPr>
              <w:rFonts w:ascii="黑体" w:hAnsi="黑体" w:eastAsia="黑体" w:cs="黑体"/>
              <w:sz w:val="44"/>
              <w:szCs w:val="44"/>
            </w:rPr>
          </w:pPr>
          <w:r>
            <w:rPr>
              <w:rFonts w:ascii="黑体" w:hAnsi="黑体" w:eastAsia="黑体" w:cs="黑体"/>
              <w:sz w:val="44"/>
              <w:szCs w:val="44"/>
            </w:rPr>
            <w:t>目</w:t>
          </w:r>
          <w:r>
            <w:rPr>
              <w:rFonts w:hint="eastAsia" w:ascii="黑体" w:hAnsi="黑体" w:eastAsia="黑体" w:cs="黑体"/>
              <w:sz w:val="44"/>
              <w:szCs w:val="44"/>
            </w:rPr>
            <w:t xml:space="preserve">  </w:t>
          </w:r>
          <w:r>
            <w:rPr>
              <w:rFonts w:ascii="黑体" w:hAnsi="黑体" w:eastAsia="黑体" w:cs="黑体"/>
              <w:sz w:val="44"/>
              <w:szCs w:val="44"/>
            </w:rPr>
            <w:t>录</w:t>
          </w:r>
        </w:p>
        <w:p w14:paraId="5C9CD7A1">
          <w:pPr>
            <w:spacing w:line="240" w:lineRule="auto"/>
            <w:ind w:firstLine="0" w:firstLineChars="0"/>
            <w:jc w:val="center"/>
            <w:rPr>
              <w:rFonts w:ascii="黑体" w:hAnsi="黑体" w:eastAsia="黑体" w:cs="黑体"/>
              <w:sz w:val="44"/>
              <w:szCs w:val="44"/>
            </w:rPr>
          </w:pPr>
        </w:p>
        <w:p w14:paraId="13164E9D">
          <w:pPr>
            <w:pStyle w:val="15"/>
            <w:tabs>
              <w:tab w:val="right" w:leader="dot" w:pos="9240"/>
              <w:tab w:val="clear" w:pos="8834"/>
            </w:tabs>
            <w:spacing w:line="600" w:lineRule="exact"/>
            <w:ind w:firstLine="562"/>
            <w:rPr>
              <w:rFonts w:ascii="Times New Roman" w:hAnsi="Times New Roman"/>
              <w:sz w:val="32"/>
              <w:szCs w:val="32"/>
            </w:rPr>
          </w:pPr>
          <w:r>
            <w:fldChar w:fldCharType="begin"/>
          </w:r>
          <w:r>
            <w:instrText xml:space="preserve">TOC \o "1-3" \h \u </w:instrText>
          </w:r>
          <w:r>
            <w:fldChar w:fldCharType="separate"/>
          </w:r>
          <w:r>
            <w:fldChar w:fldCharType="begin"/>
          </w:r>
          <w:r>
            <w:instrText xml:space="preserve"> HYPERLINK \l "_Toc9994" </w:instrText>
          </w:r>
          <w:r>
            <w:fldChar w:fldCharType="separate"/>
          </w:r>
          <w:r>
            <w:rPr>
              <w:rFonts w:ascii="Times New Roman" w:hAnsi="Times New Roman"/>
              <w:sz w:val="32"/>
              <w:szCs w:val="32"/>
            </w:rPr>
            <w:t>第一章  发展基础与面临形势</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_Toc9994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Fonts w:ascii="Times New Roman" w:hAnsi="Times New Roman"/>
              <w:sz w:val="32"/>
              <w:szCs w:val="32"/>
            </w:rPr>
            <w:fldChar w:fldCharType="end"/>
          </w:r>
        </w:p>
        <w:p w14:paraId="0183462A">
          <w:pPr>
            <w:pStyle w:val="19"/>
            <w:tabs>
              <w:tab w:val="right" w:leader="dot" w:pos="9240"/>
              <w:tab w:val="clear" w:pos="8834"/>
            </w:tabs>
            <w:spacing w:line="600" w:lineRule="exact"/>
            <w:rPr>
              <w:rFonts w:ascii="仿宋" w:hAnsi="仿宋" w:eastAsia="仿宋"/>
              <w:kern w:val="2"/>
              <w:sz w:val="32"/>
              <w:szCs w:val="32"/>
            </w:rPr>
          </w:pPr>
          <w:r>
            <w:fldChar w:fldCharType="begin"/>
          </w:r>
          <w:r>
            <w:instrText xml:space="preserve"> HYPERLINK \l "_Toc1729" </w:instrText>
          </w:r>
          <w:r>
            <w:fldChar w:fldCharType="separate"/>
          </w:r>
          <w:r>
            <w:rPr>
              <w:rFonts w:ascii="仿宋" w:hAnsi="仿宋" w:eastAsia="仿宋"/>
              <w:kern w:val="2"/>
              <w:sz w:val="32"/>
              <w:szCs w:val="32"/>
            </w:rPr>
            <w:t>一、“十三五”建设成就</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_Toc1729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279CF7AA">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"_Toc16429" </w:instrText>
          </w:r>
          <w:r>
            <w:fldChar w:fldCharType="separate"/>
          </w:r>
          <w:r>
            <w:rPr>
              <w:rFonts w:ascii="Times New Roman" w:hAnsi="Times New Roman" w:eastAsia="仿宋"/>
              <w:kern w:val="2"/>
              <w:sz w:val="32"/>
              <w:szCs w:val="32"/>
            </w:rPr>
            <w:t>二、存在的主要问题</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_Toc16429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6</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5ADC181B">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"_Toc8706" </w:instrText>
          </w:r>
          <w:r>
            <w:fldChar w:fldCharType="separate"/>
          </w:r>
          <w:r>
            <w:rPr>
              <w:rFonts w:ascii="Times New Roman" w:hAnsi="Times New Roman" w:eastAsia="仿宋"/>
              <w:kern w:val="2"/>
              <w:sz w:val="32"/>
              <w:szCs w:val="32"/>
            </w:rPr>
            <w:t>三、面临的挑战与机遇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_Toc8706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7</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3E9138B0">
          <w:pPr>
            <w:pStyle w:val="15"/>
            <w:tabs>
              <w:tab w:val="right" w:leader="dot" w:pos="9240"/>
              <w:tab w:val="clear" w:pos="8834"/>
            </w:tabs>
            <w:spacing w:line="600" w:lineRule="exact"/>
            <w:ind w:firstLine="643"/>
            <w:rPr>
              <w:rFonts w:ascii="Times New Roman" w:hAnsi="Times New Roman"/>
              <w:sz w:val="32"/>
              <w:szCs w:val="32"/>
            </w:rPr>
          </w:pPr>
          <w:r>
            <w:fldChar w:fldCharType="begin"/>
          </w:r>
          <w:r>
            <w:instrText xml:space="preserve"> HYPERLINK \l "_Toc17662" </w:instrText>
          </w:r>
          <w:r>
            <w:fldChar w:fldCharType="separate"/>
          </w:r>
          <w:r>
            <w:rPr>
              <w:rFonts w:ascii="Times New Roman" w:hAnsi="Times New Roman"/>
              <w:sz w:val="32"/>
              <w:szCs w:val="32"/>
            </w:rPr>
            <w:t>第二章  总体要求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_Toc17662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r>
            <w:rPr>
              <w:rFonts w:ascii="Times New Roman" w:hAnsi="Times New Roman"/>
              <w:sz w:val="32"/>
              <w:szCs w:val="32"/>
            </w:rPr>
            <w:fldChar w:fldCharType="end"/>
          </w:r>
        </w:p>
        <w:p w14:paraId="75FDFC83">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"_Toc29099" </w:instrText>
          </w:r>
          <w:r>
            <w:fldChar w:fldCharType="separate"/>
          </w:r>
          <w:r>
            <w:rPr>
              <w:rFonts w:ascii="Times New Roman" w:hAnsi="Times New Roman" w:eastAsia="仿宋"/>
              <w:kern w:val="2"/>
              <w:sz w:val="32"/>
              <w:szCs w:val="32"/>
            </w:rPr>
            <w:t>一、指导思想</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_Toc29099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7AB2C9B">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"_Toc16790" </w:instrText>
          </w:r>
          <w:r>
            <w:fldChar w:fldCharType="separate"/>
          </w:r>
          <w:r>
            <w:rPr>
              <w:rFonts w:ascii="Times New Roman" w:hAnsi="Times New Roman" w:eastAsia="仿宋"/>
              <w:kern w:val="2"/>
              <w:sz w:val="32"/>
              <w:szCs w:val="32"/>
            </w:rPr>
            <w:t>二、基本原则</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_Toc16790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2E66E822">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"_Toc21547" </w:instrText>
          </w:r>
          <w:r>
            <w:fldChar w:fldCharType="separate"/>
          </w:r>
          <w:r>
            <w:rPr>
              <w:rFonts w:ascii="Times New Roman" w:hAnsi="Times New Roman" w:eastAsia="仿宋"/>
              <w:kern w:val="2"/>
              <w:sz w:val="32"/>
              <w:szCs w:val="32"/>
            </w:rPr>
            <w:t>三、发展思路</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_Toc21547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12</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A46C5FE">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"_Toc18650" </w:instrText>
          </w:r>
          <w:r>
            <w:fldChar w:fldCharType="separate"/>
          </w:r>
          <w:r>
            <w:rPr>
              <w:rFonts w:ascii="Times New Roman" w:hAnsi="Times New Roman" w:eastAsia="仿宋"/>
              <w:kern w:val="2"/>
              <w:sz w:val="32"/>
              <w:szCs w:val="32"/>
            </w:rPr>
            <w:t>四、发展目标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_Toc18650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13</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502DB327">
          <w:pPr>
            <w:pStyle w:val="15"/>
            <w:tabs>
              <w:tab w:val="right" w:leader="dot" w:pos="9240"/>
              <w:tab w:val="clear" w:pos="8834"/>
            </w:tabs>
            <w:spacing w:line="600" w:lineRule="exact"/>
            <w:ind w:firstLine="643"/>
            <w:rPr>
              <w:rFonts w:ascii="Times New Roman" w:hAnsi="Times New Roman"/>
              <w:sz w:val="32"/>
              <w:szCs w:val="32"/>
            </w:rPr>
          </w:pPr>
          <w:r>
            <w:fldChar w:fldCharType="begin"/>
          </w:r>
          <w:r>
            <w:instrText xml:space="preserve"> HYPERLINK \l "_Toc2869" </w:instrText>
          </w:r>
          <w:r>
            <w:fldChar w:fldCharType="separate"/>
          </w:r>
          <w:r>
            <w:rPr>
              <w:rFonts w:ascii="Times New Roman" w:hAnsi="Times New Roman"/>
              <w:sz w:val="32"/>
              <w:szCs w:val="32"/>
            </w:rPr>
            <w:t>第三章  重点任务</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_Toc2869 \h </w:instrText>
          </w:r>
          <w:r>
            <w:rPr>
              <w:rFonts w:ascii="Times New Roman" w:hAnsi="Times New Roman"/>
              <w:sz w:val="32"/>
              <w:szCs w:val="32"/>
            </w:rPr>
            <w:fldChar w:fldCharType="separate"/>
          </w:r>
          <w:r>
            <w:rPr>
              <w:rFonts w:ascii="Times New Roman" w:hAnsi="Times New Roman"/>
              <w:sz w:val="32"/>
              <w:szCs w:val="32"/>
            </w:rPr>
            <w:t>16</w:t>
          </w:r>
          <w:r>
            <w:rPr>
              <w:rFonts w:ascii="Times New Roman" w:hAnsi="Times New Roman"/>
              <w:sz w:val="32"/>
              <w:szCs w:val="32"/>
            </w:rPr>
            <w:fldChar w:fldCharType="end"/>
          </w:r>
          <w:r>
            <w:rPr>
              <w:rFonts w:ascii="Times New Roman" w:hAnsi="Times New Roman"/>
              <w:sz w:val="32"/>
              <w:szCs w:val="32"/>
            </w:rPr>
            <w:fldChar w:fldCharType="end"/>
          </w:r>
        </w:p>
        <w:p w14:paraId="0F1F6B19">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"_Toc12767" </w:instrText>
          </w:r>
          <w:r>
            <w:fldChar w:fldCharType="separate"/>
          </w:r>
          <w:r>
            <w:rPr>
              <w:rFonts w:ascii="Times New Roman" w:hAnsi="Times New Roman" w:eastAsia="仿宋"/>
              <w:kern w:val="2"/>
              <w:sz w:val="32"/>
              <w:szCs w:val="32"/>
            </w:rPr>
            <w:t>一、交通设施提升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_Toc12767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16</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78F1A9C">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"_Toc19986" </w:instrText>
          </w:r>
          <w:r>
            <w:fldChar w:fldCharType="separate"/>
          </w:r>
          <w:r>
            <w:rPr>
              <w:rFonts w:ascii="Times New Roman" w:hAnsi="Times New Roman" w:eastAsia="仿宋"/>
              <w:kern w:val="2"/>
              <w:sz w:val="32"/>
              <w:szCs w:val="32"/>
            </w:rPr>
            <w:t>二、园林绿化提升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_Toc19986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21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4FCE7E3">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"_Toc16420" </w:instrText>
          </w:r>
          <w:r>
            <w:fldChar w:fldCharType="separate"/>
          </w:r>
          <w:r>
            <w:rPr>
              <w:rFonts w:ascii="Times New Roman" w:hAnsi="Times New Roman" w:eastAsia="仿宋"/>
              <w:kern w:val="2"/>
              <w:sz w:val="32"/>
              <w:szCs w:val="32"/>
            </w:rPr>
            <w:t>三、居住品质提升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_Toc16420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24</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2DA0316">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"_Toc14541" </w:instrText>
          </w:r>
          <w:r>
            <w:fldChar w:fldCharType="separate"/>
          </w:r>
          <w:r>
            <w:rPr>
              <w:rFonts w:ascii="Times New Roman" w:hAnsi="Times New Roman" w:eastAsia="仿宋"/>
              <w:kern w:val="2"/>
              <w:sz w:val="32"/>
              <w:szCs w:val="32"/>
            </w:rPr>
            <w:t>四、供水保障工程</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_Toc14541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29</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396427E0">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"_Toc12563" </w:instrText>
          </w:r>
          <w:r>
            <w:fldChar w:fldCharType="separate"/>
          </w:r>
          <w:r>
            <w:rPr>
              <w:rFonts w:ascii="Times New Roman" w:hAnsi="Times New Roman" w:eastAsia="仿宋"/>
              <w:kern w:val="2"/>
              <w:sz w:val="32"/>
              <w:szCs w:val="32"/>
            </w:rPr>
            <w:t>五、城乡生活污水处理</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_Toc12563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65B10978">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"_Toc18360" </w:instrText>
          </w:r>
          <w:r>
            <w:fldChar w:fldCharType="separate"/>
          </w:r>
          <w:r>
            <w:rPr>
              <w:rFonts w:ascii="Times New Roman" w:hAnsi="Times New Roman" w:eastAsia="仿宋"/>
              <w:kern w:val="2"/>
              <w:sz w:val="32"/>
              <w:szCs w:val="32"/>
            </w:rPr>
            <w:t>六、城乡环境卫生</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_Toc18360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33</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6238C730">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"_Toc16940" </w:instrText>
          </w:r>
          <w:r>
            <w:fldChar w:fldCharType="separate"/>
          </w:r>
          <w:r>
            <w:rPr>
              <w:rFonts w:ascii="Times New Roman" w:hAnsi="Times New Roman" w:eastAsia="仿宋"/>
              <w:kern w:val="2"/>
              <w:sz w:val="32"/>
              <w:szCs w:val="32"/>
            </w:rPr>
            <w:t>七、城镇燃气工程</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_Toc16940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37</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5B9416CA">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"_Toc14246" </w:instrText>
          </w:r>
          <w:r>
            <w:fldChar w:fldCharType="separate"/>
          </w:r>
          <w:r>
            <w:rPr>
              <w:rFonts w:ascii="Times New Roman" w:hAnsi="Times New Roman" w:eastAsia="仿宋"/>
              <w:kern w:val="2"/>
              <w:sz w:val="32"/>
              <w:szCs w:val="32"/>
            </w:rPr>
            <w:t>八、安全保障工程</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_Toc14246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39</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D570609">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"_Toc13356" </w:instrText>
          </w:r>
          <w:r>
            <w:fldChar w:fldCharType="separate"/>
          </w:r>
          <w:r>
            <w:rPr>
              <w:rFonts w:ascii="Times New Roman" w:hAnsi="Times New Roman" w:eastAsia="仿宋"/>
              <w:kern w:val="2"/>
              <w:sz w:val="32"/>
              <w:szCs w:val="32"/>
            </w:rPr>
            <w:t>九、新型城市基础设施建设</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_Toc13356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41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4FBC204B">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"_Toc11037" </w:instrText>
          </w:r>
          <w:r>
            <w:fldChar w:fldCharType="separate"/>
          </w:r>
          <w:r>
            <w:rPr>
              <w:rFonts w:ascii="Times New Roman" w:hAnsi="Times New Roman" w:eastAsia="仿宋"/>
              <w:kern w:val="2"/>
              <w:sz w:val="32"/>
              <w:szCs w:val="32"/>
            </w:rPr>
            <w:t>十、城市管理提升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_Toc11037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45</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21D39EF8">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"_Toc15638" </w:instrText>
          </w:r>
          <w:r>
            <w:fldChar w:fldCharType="separate"/>
          </w:r>
          <w:r>
            <w:rPr>
              <w:rFonts w:ascii="Times New Roman" w:hAnsi="Times New Roman" w:eastAsia="仿宋"/>
              <w:kern w:val="2"/>
              <w:sz w:val="32"/>
              <w:szCs w:val="32"/>
            </w:rPr>
            <w:t>十一、投资估算与重点项目谋划</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_Toc15638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49</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6CA079E7">
          <w:pPr>
            <w:pStyle w:val="15"/>
            <w:tabs>
              <w:tab w:val="right" w:leader="dot" w:pos="9240"/>
              <w:tab w:val="clear" w:pos="8834"/>
            </w:tabs>
            <w:spacing w:line="600" w:lineRule="exact"/>
            <w:ind w:firstLine="643"/>
            <w:rPr>
              <w:rFonts w:ascii="Times New Roman" w:hAnsi="Times New Roman"/>
              <w:sz w:val="32"/>
              <w:szCs w:val="32"/>
            </w:rPr>
          </w:pPr>
          <w:r>
            <w:fldChar w:fldCharType="begin"/>
          </w:r>
          <w:r>
            <w:instrText xml:space="preserve"> HYPERLINK \l "_Toc14126" </w:instrText>
          </w:r>
          <w:r>
            <w:fldChar w:fldCharType="separate"/>
          </w:r>
          <w:r>
            <w:rPr>
              <w:rFonts w:ascii="Times New Roman" w:hAnsi="Times New Roman"/>
              <w:sz w:val="32"/>
              <w:szCs w:val="32"/>
            </w:rPr>
            <w:t>第四章  保障措施</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_Toc14126 \h </w:instrText>
          </w:r>
          <w:r>
            <w:rPr>
              <w:rFonts w:ascii="Times New Roman" w:hAnsi="Times New Roman"/>
              <w:sz w:val="32"/>
              <w:szCs w:val="32"/>
            </w:rPr>
            <w:fldChar w:fldCharType="separate"/>
          </w:r>
          <w:r>
            <w:rPr>
              <w:rFonts w:ascii="Times New Roman" w:hAnsi="Times New Roman"/>
              <w:sz w:val="32"/>
              <w:szCs w:val="32"/>
            </w:rPr>
            <w:t>54</w:t>
          </w:r>
          <w:r>
            <w:rPr>
              <w:rFonts w:ascii="Times New Roman" w:hAnsi="Times New Roman"/>
              <w:sz w:val="32"/>
              <w:szCs w:val="32"/>
            </w:rPr>
            <w:fldChar w:fldCharType="end"/>
          </w:r>
          <w:r>
            <w:rPr>
              <w:rFonts w:ascii="Times New Roman" w:hAnsi="Times New Roman"/>
              <w:sz w:val="32"/>
              <w:szCs w:val="32"/>
            </w:rPr>
            <w:fldChar w:fldCharType="end"/>
          </w:r>
        </w:p>
        <w:p w14:paraId="40142EE4">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"_Toc6482" </w:instrText>
          </w:r>
          <w:r>
            <w:fldChar w:fldCharType="separate"/>
          </w:r>
          <w:r>
            <w:rPr>
              <w:rFonts w:ascii="Times New Roman" w:hAnsi="Times New Roman" w:eastAsia="仿宋"/>
              <w:kern w:val="2"/>
              <w:sz w:val="32"/>
              <w:szCs w:val="32"/>
            </w:rPr>
            <w:t>一、推进规划统筹实施</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_Toc6482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54</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FA615BC">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"_Toc8951" </w:instrText>
          </w:r>
          <w:r>
            <w:fldChar w:fldCharType="separate"/>
          </w:r>
          <w:r>
            <w:rPr>
              <w:rFonts w:ascii="Times New Roman" w:hAnsi="Times New Roman" w:eastAsia="仿宋"/>
              <w:kern w:val="2"/>
              <w:sz w:val="32"/>
              <w:szCs w:val="32"/>
            </w:rPr>
            <w:t>二、加强规划实施保障</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_Toc8951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54</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EF4D585">
          <w:pPr>
            <w:pStyle w:val="19"/>
            <w:tabs>
              <w:tab w:val="right" w:leader="dot" w:pos="9240"/>
              <w:tab w:val="clear" w:pos="8834"/>
            </w:tabs>
            <w:spacing w:line="600" w:lineRule="exact"/>
            <w:rPr>
              <w:rFonts w:ascii="Times New Roman" w:hAnsi="Times New Roman"/>
            </w:rPr>
          </w:pPr>
          <w:r>
            <w:fldChar w:fldCharType="begin"/>
          </w:r>
          <w:r>
            <w:instrText xml:space="preserve"> HYPERLINK \l "_Toc27779" </w:instrText>
          </w:r>
          <w:r>
            <w:fldChar w:fldCharType="separate"/>
          </w:r>
          <w:r>
            <w:rPr>
              <w:rFonts w:ascii="Times New Roman" w:hAnsi="Times New Roman" w:eastAsia="仿宋"/>
              <w:kern w:val="2"/>
              <w:sz w:val="32"/>
              <w:szCs w:val="32"/>
            </w:rPr>
            <w:t>三、落实规划监督考评</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_Toc27779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56</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4634B8BC">
          <w:pPr>
            <w:spacing w:line="600" w:lineRule="exact"/>
            <w:ind w:firstLine="560"/>
          </w:pPr>
          <w:r>
            <w:fldChar w:fldCharType="end"/>
          </w:r>
        </w:p>
      </w:sdtContent>
    </w:sdt>
    <w:p w14:paraId="2AF73B3D">
      <w:pPr>
        <w:snapToGrid w:val="0"/>
        <w:ind w:firstLine="0" w:firstLineChars="0"/>
        <w:rPr>
          <w:rFonts w:ascii="仿宋" w:hAnsi="仿宋"/>
        </w:rPr>
        <w:sectPr>
          <w:footerReference r:id="rId11" w:type="default"/>
          <w:pgSz w:w="11906" w:h="16838"/>
          <w:pgMar w:top="1440" w:right="1135" w:bottom="1440" w:left="1531" w:header="851" w:footer="992" w:gutter="0"/>
          <w:pgNumType w:fmt="upperRoman" w:start="1"/>
          <w:cols w:space="425" w:num="1"/>
          <w:docGrid w:type="lines" w:linePitch="312" w:charSpace="0"/>
        </w:sectPr>
      </w:pPr>
    </w:p>
    <w:p w14:paraId="703BAC94">
      <w:pPr>
        <w:pStyle w:val="2"/>
        <w:spacing w:after="312" w:afterLines="100"/>
        <w:rPr>
          <w:rFonts w:ascii="黑体" w:hAnsi="黑体"/>
          <w:sz w:val="40"/>
          <w:szCs w:val="56"/>
        </w:rPr>
      </w:pPr>
      <w:bookmarkStart w:id="4" w:name="_Toc9400"/>
      <w:bookmarkStart w:id="5" w:name="_Toc29027"/>
      <w:bookmarkStart w:id="6" w:name="_Toc9994"/>
      <w:bookmarkStart w:id="7" w:name="_Toc7068"/>
      <w:bookmarkStart w:id="8" w:name="_Toc11429"/>
      <w:bookmarkStart w:id="9" w:name="_Toc62176650"/>
      <w:bookmarkStart w:id="10" w:name="_Toc62163251"/>
      <w:bookmarkStart w:id="11" w:name="_Toc63077438"/>
      <w:r>
        <w:rPr>
          <w:rFonts w:hint="eastAsia" w:ascii="黑体" w:hAnsi="黑体"/>
          <w:sz w:val="40"/>
          <w:szCs w:val="56"/>
        </w:rPr>
        <w:t>第一章</w:t>
      </w:r>
      <w:r>
        <w:rPr>
          <w:rFonts w:ascii="黑体" w:hAnsi="黑体"/>
          <w:sz w:val="40"/>
          <w:szCs w:val="56"/>
        </w:rPr>
        <w:t xml:space="preserve">  </w:t>
      </w:r>
      <w:r>
        <w:rPr>
          <w:rFonts w:hint="eastAsia" w:ascii="黑体" w:hAnsi="黑体"/>
          <w:sz w:val="40"/>
          <w:szCs w:val="56"/>
        </w:rPr>
        <w:t>发展基础与面临形势</w:t>
      </w:r>
      <w:bookmarkEnd w:id="4"/>
      <w:bookmarkEnd w:id="5"/>
      <w:bookmarkEnd w:id="6"/>
      <w:bookmarkEnd w:id="7"/>
      <w:bookmarkEnd w:id="8"/>
    </w:p>
    <w:p w14:paraId="795717DE">
      <w:pPr>
        <w:pStyle w:val="3"/>
        <w:spacing w:before="468" w:beforeLines="150" w:after="156" w:afterLines="50" w:line="540" w:lineRule="exact"/>
        <w:ind w:firstLine="643" w:firstLineChars="200"/>
        <w:rPr>
          <w:rFonts w:ascii="黑体" w:hAnsi="黑体" w:eastAsia="黑体"/>
          <w:sz w:val="32"/>
        </w:rPr>
      </w:pPr>
      <w:bookmarkStart w:id="12" w:name="_Toc15869"/>
      <w:bookmarkStart w:id="13" w:name="_Toc20506"/>
      <w:bookmarkStart w:id="14" w:name="_Toc8065"/>
      <w:bookmarkStart w:id="15" w:name="_Toc23985"/>
      <w:bookmarkStart w:id="16" w:name="_Toc1729"/>
      <w:r>
        <w:rPr>
          <w:rFonts w:hint="eastAsia" w:ascii="黑体" w:hAnsi="黑体" w:eastAsia="黑体"/>
          <w:sz w:val="32"/>
        </w:rPr>
        <w:t>一、“十三五”建设成就</w:t>
      </w:r>
      <w:bookmarkEnd w:id="12"/>
      <w:bookmarkEnd w:id="13"/>
      <w:bookmarkEnd w:id="14"/>
      <w:bookmarkEnd w:id="15"/>
      <w:bookmarkEnd w:id="16"/>
    </w:p>
    <w:p w14:paraId="36DA1ECB">
      <w:pPr>
        <w:pStyle w:val="31"/>
        <w:spacing w:line="540" w:lineRule="exact"/>
        <w:ind w:firstLine="640"/>
        <w:rPr>
          <w:rFonts w:ascii="仿宋" w:hAnsi="仿宋"/>
          <w:sz w:val="32"/>
          <w:szCs w:val="32"/>
        </w:rPr>
      </w:pPr>
      <w:r>
        <w:rPr>
          <w:rFonts w:hint="eastAsia" w:ascii="仿宋" w:hAnsi="仿宋"/>
          <w:sz w:val="32"/>
          <w:szCs w:val="32"/>
        </w:rPr>
        <w:t>“十三五”期间，全市</w:t>
      </w:r>
      <w:r>
        <w:rPr>
          <w:rFonts w:ascii="仿宋" w:hAnsi="仿宋"/>
          <w:sz w:val="32"/>
          <w:szCs w:val="32"/>
        </w:rPr>
        <w:t>城乡基础设施</w:t>
      </w:r>
      <w:r>
        <w:rPr>
          <w:rFonts w:hint="eastAsia" w:ascii="仿宋" w:hAnsi="仿宋"/>
          <w:sz w:val="32"/>
          <w:szCs w:val="32"/>
        </w:rPr>
        <w:t>投资保持高位运行，累计完成投资</w:t>
      </w:r>
      <w:r>
        <w:rPr>
          <w:rFonts w:ascii="仿宋" w:hAnsi="仿宋"/>
          <w:sz w:val="32"/>
          <w:szCs w:val="32"/>
        </w:rPr>
        <w:t>1508.5亿元，</w:t>
      </w:r>
      <w:r>
        <w:rPr>
          <w:rFonts w:hint="eastAsia" w:ascii="仿宋" w:hAnsi="仿宋"/>
          <w:sz w:val="32"/>
          <w:szCs w:val="32"/>
        </w:rPr>
        <w:t>规划</w:t>
      </w:r>
      <w:r>
        <w:rPr>
          <w:rFonts w:hint="eastAsia" w:ascii="仿宋" w:hAnsi="仿宋"/>
          <w:kern w:val="0"/>
          <w:sz w:val="32"/>
          <w:szCs w:val="32"/>
        </w:rPr>
        <w:t>主要目标和重点任务如期完成，</w:t>
      </w:r>
      <w:r>
        <w:rPr>
          <w:rFonts w:hint="eastAsia" w:ascii="仿宋" w:hAnsi="仿宋"/>
          <w:sz w:val="32"/>
          <w:szCs w:val="32"/>
        </w:rPr>
        <w:t>城乡</w:t>
      </w:r>
      <w:r>
        <w:rPr>
          <w:rFonts w:ascii="仿宋" w:hAnsi="仿宋"/>
          <w:sz w:val="32"/>
          <w:szCs w:val="32"/>
        </w:rPr>
        <w:t>综合承载力</w:t>
      </w:r>
      <w:r>
        <w:rPr>
          <w:rFonts w:hint="eastAsia" w:ascii="仿宋" w:hAnsi="仿宋"/>
          <w:sz w:val="32"/>
          <w:szCs w:val="32"/>
        </w:rPr>
        <w:t>不断</w:t>
      </w:r>
      <w:r>
        <w:rPr>
          <w:rFonts w:ascii="仿宋" w:hAnsi="仿宋"/>
          <w:sz w:val="32"/>
          <w:szCs w:val="32"/>
        </w:rPr>
        <w:t>增强，历史文化</w:t>
      </w:r>
      <w:r>
        <w:rPr>
          <w:rFonts w:hint="eastAsia" w:ascii="仿宋" w:hAnsi="仿宋"/>
          <w:sz w:val="32"/>
          <w:szCs w:val="32"/>
        </w:rPr>
        <w:t>影响力不断提升</w:t>
      </w:r>
      <w:r>
        <w:rPr>
          <w:rFonts w:ascii="仿宋" w:hAnsi="仿宋"/>
          <w:sz w:val="32"/>
          <w:szCs w:val="32"/>
        </w:rPr>
        <w:t>，城市管理效能</w:t>
      </w:r>
      <w:r>
        <w:rPr>
          <w:rFonts w:hint="eastAsia" w:ascii="仿宋" w:hAnsi="仿宋"/>
          <w:sz w:val="32"/>
          <w:szCs w:val="32"/>
        </w:rPr>
        <w:t>不断提高</w:t>
      </w:r>
      <w:r>
        <w:rPr>
          <w:rFonts w:ascii="仿宋" w:hAnsi="仿宋"/>
          <w:sz w:val="32"/>
          <w:szCs w:val="32"/>
        </w:rPr>
        <w:t>，</w:t>
      </w:r>
      <w:r>
        <w:rPr>
          <w:rFonts w:ascii="仿宋" w:hAnsi="仿宋"/>
          <w:kern w:val="0"/>
          <w:sz w:val="32"/>
          <w:szCs w:val="32"/>
        </w:rPr>
        <w:t>为</w:t>
      </w:r>
      <w:r>
        <w:rPr>
          <w:rFonts w:ascii="仿宋" w:hAnsi="仿宋"/>
          <w:sz w:val="32"/>
          <w:szCs w:val="32"/>
        </w:rPr>
        <w:t>全面建成小康社会和建设“五个泉州”</w:t>
      </w:r>
      <w:r>
        <w:rPr>
          <w:rStyle w:val="29"/>
          <w:rFonts w:ascii="仿宋" w:hAnsi="仿宋" w:eastAsia="宋体"/>
          <w:sz w:val="32"/>
          <w:szCs w:val="32"/>
        </w:rPr>
        <w:footnoteReference w:id="0"/>
      </w:r>
      <w:r>
        <w:rPr>
          <w:rFonts w:ascii="仿宋" w:hAnsi="仿宋"/>
          <w:sz w:val="32"/>
          <w:szCs w:val="32"/>
        </w:rPr>
        <w:t>提供了有力保障，</w:t>
      </w:r>
      <w:r>
        <w:rPr>
          <w:rFonts w:ascii="仿宋" w:hAnsi="仿宋"/>
          <w:kern w:val="0"/>
          <w:sz w:val="32"/>
          <w:szCs w:val="32"/>
        </w:rPr>
        <w:t>为高质量发展落实赶超作出重要贡献。</w:t>
      </w:r>
      <w:r>
        <w:rPr>
          <w:rFonts w:hint="eastAsia" w:ascii="仿宋" w:hAnsi="仿宋"/>
          <w:sz w:val="32"/>
          <w:szCs w:val="32"/>
        </w:rPr>
        <w:t>全国首创生态连绵带，入选首个国家级文化生态保护区、全国“一带一路”建设案例城市、全国第二批乡村治理典型案例城市，金门</w:t>
      </w:r>
      <w:r>
        <w:rPr>
          <w:rFonts w:ascii="仿宋" w:hAnsi="仿宋"/>
          <w:sz w:val="32"/>
          <w:szCs w:val="32"/>
        </w:rPr>
        <w:t>供水</w:t>
      </w:r>
      <w:r>
        <w:rPr>
          <w:rFonts w:hint="eastAsia" w:ascii="仿宋" w:hAnsi="仿宋"/>
          <w:sz w:val="32"/>
          <w:szCs w:val="32"/>
        </w:rPr>
        <w:t>工程安全通水，蝉联全国综治领域的最高荣誉“长安</w:t>
      </w:r>
      <w:r>
        <w:rPr>
          <w:rFonts w:ascii="仿宋" w:hAnsi="仿宋"/>
          <w:sz w:val="32"/>
          <w:szCs w:val="32"/>
        </w:rPr>
        <w:t>杯</w:t>
      </w:r>
      <w:r>
        <w:rPr>
          <w:rFonts w:hint="eastAsia" w:ascii="仿宋" w:hAnsi="仿宋"/>
          <w:sz w:val="32"/>
          <w:szCs w:val="32"/>
        </w:rPr>
        <w:t>”</w:t>
      </w:r>
      <w:r>
        <w:rPr>
          <w:rFonts w:ascii="仿宋" w:hAnsi="仿宋"/>
          <w:sz w:val="32"/>
          <w:szCs w:val="32"/>
        </w:rPr>
        <w:t>。</w:t>
      </w:r>
    </w:p>
    <w:p w14:paraId="4374466D">
      <w:pPr>
        <w:snapToGrid w:val="0"/>
        <w:spacing w:before="156" w:beforeLines="50" w:after="156" w:afterLines="50" w:line="500" w:lineRule="exact"/>
        <w:ind w:firstLine="420" w:firstLineChars="150"/>
        <w:jc w:val="center"/>
        <w:rPr>
          <w:rFonts w:ascii="黑体" w:hAnsi="黑体" w:eastAsia="黑体"/>
          <w:szCs w:val="28"/>
        </w:rPr>
      </w:pPr>
      <w:r>
        <w:rPr>
          <w:rFonts w:hint="eastAsia" w:ascii="黑体" w:hAnsi="黑体" w:eastAsia="黑体"/>
          <w:szCs w:val="28"/>
        </w:rPr>
        <w:t>表</w:t>
      </w:r>
      <w:r>
        <w:rPr>
          <w:rFonts w:ascii="黑体" w:hAnsi="黑体" w:eastAsia="黑体"/>
          <w:szCs w:val="28"/>
        </w:rPr>
        <w:t>1 “十三五”</w:t>
      </w:r>
      <w:r>
        <w:rPr>
          <w:rFonts w:hint="eastAsia" w:ascii="黑体" w:hAnsi="黑体" w:eastAsia="黑体"/>
          <w:szCs w:val="28"/>
        </w:rPr>
        <w:t>泉州城市</w:t>
      </w:r>
      <w:r>
        <w:rPr>
          <w:rFonts w:ascii="黑体" w:hAnsi="黑体" w:eastAsia="黑体"/>
          <w:szCs w:val="28"/>
        </w:rPr>
        <w:t>基础设施</w:t>
      </w:r>
      <w:r>
        <w:rPr>
          <w:rFonts w:hint="eastAsia" w:ascii="黑体" w:hAnsi="黑体" w:eastAsia="黑体"/>
          <w:szCs w:val="28"/>
        </w:rPr>
        <w:t>主要指标完成</w:t>
      </w:r>
      <w:r>
        <w:rPr>
          <w:rFonts w:ascii="黑体" w:hAnsi="黑体" w:eastAsia="黑体"/>
          <w:szCs w:val="28"/>
        </w:rPr>
        <w:t>情况</w:t>
      </w:r>
    </w:p>
    <w:tbl>
      <w:tblPr>
        <w:tblStyle w:val="2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678"/>
        <w:gridCol w:w="1134"/>
        <w:gridCol w:w="2180"/>
      </w:tblGrid>
      <w:tr w14:paraId="5E25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46" w:type="dxa"/>
            <w:vAlign w:val="center"/>
          </w:tcPr>
          <w:p w14:paraId="17A1993B">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序号</w:t>
            </w:r>
          </w:p>
        </w:tc>
        <w:tc>
          <w:tcPr>
            <w:tcW w:w="4678" w:type="dxa"/>
            <w:vAlign w:val="center"/>
          </w:tcPr>
          <w:p w14:paraId="1BAC9B42">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指标</w:t>
            </w:r>
          </w:p>
        </w:tc>
        <w:tc>
          <w:tcPr>
            <w:tcW w:w="1134" w:type="dxa"/>
            <w:vAlign w:val="center"/>
          </w:tcPr>
          <w:p w14:paraId="55EC1B80">
            <w:pPr>
              <w:widowControl/>
              <w:snapToGrid w:val="0"/>
              <w:spacing w:before="31" w:beforeLines="10" w:after="31" w:afterLines="10" w:line="240" w:lineRule="auto"/>
              <w:ind w:firstLine="0" w:firstLineChars="0"/>
              <w:jc w:val="center"/>
              <w:rPr>
                <w:rFonts w:ascii="仿宋" w:hAnsi="仿宋"/>
                <w:bCs/>
                <w:szCs w:val="28"/>
              </w:rPr>
            </w:pPr>
            <w:r>
              <w:rPr>
                <w:rFonts w:ascii="仿宋" w:hAnsi="仿宋"/>
                <w:bCs/>
                <w:szCs w:val="28"/>
              </w:rPr>
              <w:t>2015年</w:t>
            </w:r>
          </w:p>
        </w:tc>
        <w:tc>
          <w:tcPr>
            <w:tcW w:w="2180" w:type="dxa"/>
            <w:vAlign w:val="center"/>
          </w:tcPr>
          <w:p w14:paraId="0C641091">
            <w:pPr>
              <w:widowControl/>
              <w:snapToGrid w:val="0"/>
              <w:spacing w:before="31" w:beforeLines="10" w:after="31" w:afterLines="10" w:line="240" w:lineRule="auto"/>
              <w:ind w:firstLine="0" w:firstLineChars="0"/>
              <w:jc w:val="center"/>
              <w:rPr>
                <w:rFonts w:ascii="仿宋" w:hAnsi="仿宋"/>
                <w:szCs w:val="28"/>
              </w:rPr>
            </w:pPr>
            <w:r>
              <w:rPr>
                <w:rFonts w:hint="eastAsia" w:ascii="仿宋" w:hAnsi="仿宋"/>
                <w:bCs/>
                <w:szCs w:val="28"/>
              </w:rPr>
              <w:t>2020年</w:t>
            </w:r>
            <w:r>
              <w:rPr>
                <w:rFonts w:ascii="仿宋" w:hAnsi="仿宋"/>
                <w:bCs/>
                <w:szCs w:val="28"/>
              </w:rPr>
              <w:t>末完成值</w:t>
            </w:r>
          </w:p>
        </w:tc>
      </w:tr>
      <w:tr w14:paraId="578B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Align w:val="center"/>
          </w:tcPr>
          <w:p w14:paraId="5427BBCE">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1</w:t>
            </w:r>
          </w:p>
        </w:tc>
        <w:tc>
          <w:tcPr>
            <w:tcW w:w="4678" w:type="dxa"/>
            <w:vAlign w:val="center"/>
          </w:tcPr>
          <w:p w14:paraId="041FC1AF">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供水普及率</w:t>
            </w:r>
            <w:r>
              <w:rPr>
                <w:rFonts w:hint="eastAsia" w:ascii="仿宋" w:hAnsi="仿宋"/>
                <w:szCs w:val="28"/>
              </w:rPr>
              <w:t>（</w:t>
            </w:r>
            <w:r>
              <w:rPr>
                <w:rFonts w:ascii="仿宋" w:hAnsi="仿宋"/>
                <w:szCs w:val="28"/>
              </w:rPr>
              <w:t>%</w:t>
            </w:r>
            <w:r>
              <w:rPr>
                <w:rFonts w:hint="eastAsia" w:ascii="仿宋" w:hAnsi="仿宋"/>
                <w:szCs w:val="28"/>
              </w:rPr>
              <w:t>）</w:t>
            </w:r>
          </w:p>
        </w:tc>
        <w:tc>
          <w:tcPr>
            <w:tcW w:w="1134" w:type="dxa"/>
            <w:vAlign w:val="center"/>
          </w:tcPr>
          <w:p w14:paraId="21ADAE15">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97.85</w:t>
            </w:r>
          </w:p>
        </w:tc>
        <w:tc>
          <w:tcPr>
            <w:tcW w:w="2180" w:type="dxa"/>
            <w:vAlign w:val="center"/>
          </w:tcPr>
          <w:p w14:paraId="78EB528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99</w:t>
            </w:r>
          </w:p>
        </w:tc>
      </w:tr>
      <w:tr w14:paraId="5509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46" w:type="dxa"/>
            <w:vAlign w:val="center"/>
          </w:tcPr>
          <w:p w14:paraId="5AC1773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2</w:t>
            </w:r>
          </w:p>
        </w:tc>
        <w:tc>
          <w:tcPr>
            <w:tcW w:w="4678" w:type="dxa"/>
            <w:vAlign w:val="center"/>
          </w:tcPr>
          <w:p w14:paraId="7F6A2D32">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燃气普及率</w:t>
            </w:r>
            <w:r>
              <w:rPr>
                <w:rFonts w:hint="eastAsia" w:ascii="仿宋" w:hAnsi="仿宋"/>
                <w:szCs w:val="28"/>
              </w:rPr>
              <w:t>（</w:t>
            </w:r>
            <w:r>
              <w:rPr>
                <w:rFonts w:ascii="仿宋" w:hAnsi="仿宋"/>
                <w:szCs w:val="28"/>
              </w:rPr>
              <w:t>%</w:t>
            </w:r>
            <w:r>
              <w:rPr>
                <w:rFonts w:hint="eastAsia" w:ascii="仿宋" w:hAnsi="仿宋"/>
                <w:szCs w:val="28"/>
              </w:rPr>
              <w:t>）</w:t>
            </w:r>
          </w:p>
        </w:tc>
        <w:tc>
          <w:tcPr>
            <w:tcW w:w="1134" w:type="dxa"/>
            <w:vAlign w:val="center"/>
          </w:tcPr>
          <w:p w14:paraId="105FA6AE">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97.85</w:t>
            </w:r>
          </w:p>
        </w:tc>
        <w:tc>
          <w:tcPr>
            <w:tcW w:w="2180" w:type="dxa"/>
            <w:vAlign w:val="center"/>
          </w:tcPr>
          <w:p w14:paraId="13977C1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99.09</w:t>
            </w:r>
          </w:p>
        </w:tc>
      </w:tr>
      <w:tr w14:paraId="2BFE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846" w:type="dxa"/>
            <w:vAlign w:val="center"/>
          </w:tcPr>
          <w:p w14:paraId="79FCD263">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3</w:t>
            </w:r>
          </w:p>
        </w:tc>
        <w:tc>
          <w:tcPr>
            <w:tcW w:w="4678" w:type="dxa"/>
            <w:vAlign w:val="center"/>
          </w:tcPr>
          <w:p w14:paraId="34A24FB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建成区路网密度</w:t>
            </w:r>
            <w:r>
              <w:rPr>
                <w:rFonts w:hint="eastAsia" w:ascii="仿宋" w:hAnsi="仿宋"/>
                <w:szCs w:val="28"/>
              </w:rPr>
              <w:t>（公里</w:t>
            </w:r>
            <w:r>
              <w:rPr>
                <w:rFonts w:ascii="仿宋" w:hAnsi="仿宋"/>
                <w:szCs w:val="28"/>
              </w:rPr>
              <w:t>/平方公里</w:t>
            </w:r>
            <w:r>
              <w:rPr>
                <w:rFonts w:hint="eastAsia" w:ascii="仿宋" w:hAnsi="仿宋"/>
                <w:szCs w:val="28"/>
              </w:rPr>
              <w:t>）</w:t>
            </w:r>
          </w:p>
        </w:tc>
        <w:tc>
          <w:tcPr>
            <w:tcW w:w="1134" w:type="dxa"/>
            <w:vAlign w:val="center"/>
          </w:tcPr>
          <w:p w14:paraId="7247AC70">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w:t>
            </w:r>
          </w:p>
        </w:tc>
        <w:tc>
          <w:tcPr>
            <w:tcW w:w="2180" w:type="dxa"/>
            <w:vAlign w:val="center"/>
          </w:tcPr>
          <w:p w14:paraId="643B893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7.</w:t>
            </w:r>
            <w:r>
              <w:rPr>
                <w:rFonts w:hint="eastAsia" w:ascii="仿宋" w:hAnsi="仿宋"/>
                <w:szCs w:val="28"/>
              </w:rPr>
              <w:t>38</w:t>
            </w:r>
          </w:p>
        </w:tc>
      </w:tr>
      <w:tr w14:paraId="669B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46" w:type="dxa"/>
            <w:vAlign w:val="center"/>
          </w:tcPr>
          <w:p w14:paraId="10C9267D">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w:t>
            </w:r>
          </w:p>
        </w:tc>
        <w:tc>
          <w:tcPr>
            <w:tcW w:w="4678" w:type="dxa"/>
            <w:vAlign w:val="center"/>
          </w:tcPr>
          <w:p w14:paraId="7BD0CE3C">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排水管道密度</w:t>
            </w:r>
            <w:r>
              <w:rPr>
                <w:rFonts w:hint="eastAsia" w:ascii="仿宋" w:hAnsi="仿宋"/>
                <w:szCs w:val="28"/>
              </w:rPr>
              <w:t>（公里</w:t>
            </w:r>
            <w:r>
              <w:rPr>
                <w:rFonts w:ascii="仿宋" w:hAnsi="仿宋"/>
                <w:szCs w:val="28"/>
              </w:rPr>
              <w:t>/平方公里</w:t>
            </w:r>
            <w:r>
              <w:rPr>
                <w:rFonts w:hint="eastAsia" w:ascii="仿宋" w:hAnsi="仿宋"/>
                <w:szCs w:val="28"/>
              </w:rPr>
              <w:t>）</w:t>
            </w:r>
          </w:p>
        </w:tc>
        <w:tc>
          <w:tcPr>
            <w:tcW w:w="1134" w:type="dxa"/>
            <w:vAlign w:val="center"/>
          </w:tcPr>
          <w:p w14:paraId="7EA3D82F">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9.94</w:t>
            </w:r>
          </w:p>
        </w:tc>
        <w:tc>
          <w:tcPr>
            <w:tcW w:w="2180" w:type="dxa"/>
            <w:vAlign w:val="center"/>
          </w:tcPr>
          <w:p w14:paraId="6CCF9EE6">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8.69</w:t>
            </w:r>
          </w:p>
        </w:tc>
      </w:tr>
      <w:tr w14:paraId="291F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46" w:type="dxa"/>
            <w:vAlign w:val="center"/>
          </w:tcPr>
          <w:p w14:paraId="6BBEDC5F">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5</w:t>
            </w:r>
          </w:p>
        </w:tc>
        <w:tc>
          <w:tcPr>
            <w:tcW w:w="4678" w:type="dxa"/>
            <w:vAlign w:val="center"/>
          </w:tcPr>
          <w:p w14:paraId="05D9FA43">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供水管网漏损率</w:t>
            </w:r>
            <w:r>
              <w:rPr>
                <w:rFonts w:hint="eastAsia" w:ascii="仿宋" w:hAnsi="仿宋"/>
                <w:szCs w:val="28"/>
              </w:rPr>
              <w:t>（</w:t>
            </w:r>
            <w:r>
              <w:rPr>
                <w:rFonts w:ascii="仿宋" w:hAnsi="仿宋"/>
                <w:szCs w:val="28"/>
              </w:rPr>
              <w:t>%）</w:t>
            </w:r>
          </w:p>
        </w:tc>
        <w:tc>
          <w:tcPr>
            <w:tcW w:w="1134" w:type="dxa"/>
            <w:vAlign w:val="center"/>
          </w:tcPr>
          <w:p w14:paraId="3F238EFA">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w:t>
            </w:r>
          </w:p>
        </w:tc>
        <w:tc>
          <w:tcPr>
            <w:tcW w:w="2180" w:type="dxa"/>
            <w:vAlign w:val="center"/>
          </w:tcPr>
          <w:p w14:paraId="5CF05FEC">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w:t>
            </w:r>
          </w:p>
        </w:tc>
      </w:tr>
      <w:tr w14:paraId="2A99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46" w:type="dxa"/>
            <w:vAlign w:val="center"/>
          </w:tcPr>
          <w:p w14:paraId="099419A6">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6</w:t>
            </w:r>
          </w:p>
        </w:tc>
        <w:tc>
          <w:tcPr>
            <w:tcW w:w="4678" w:type="dxa"/>
            <w:vAlign w:val="center"/>
          </w:tcPr>
          <w:p w14:paraId="4D2909F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人均公园绿地面积</w:t>
            </w:r>
            <w:r>
              <w:rPr>
                <w:rFonts w:hint="eastAsia" w:ascii="仿宋" w:hAnsi="仿宋"/>
                <w:szCs w:val="28"/>
              </w:rPr>
              <w:t>（平方米）</w:t>
            </w:r>
          </w:p>
        </w:tc>
        <w:tc>
          <w:tcPr>
            <w:tcW w:w="1134" w:type="dxa"/>
            <w:vAlign w:val="center"/>
          </w:tcPr>
          <w:p w14:paraId="699115A1">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13.30</w:t>
            </w:r>
          </w:p>
        </w:tc>
        <w:tc>
          <w:tcPr>
            <w:tcW w:w="2180" w:type="dxa"/>
            <w:vAlign w:val="center"/>
          </w:tcPr>
          <w:p w14:paraId="31E12C40">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14.6</w:t>
            </w:r>
          </w:p>
        </w:tc>
      </w:tr>
      <w:tr w14:paraId="10D1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6" w:type="dxa"/>
            <w:vAlign w:val="center"/>
          </w:tcPr>
          <w:p w14:paraId="0C285456">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7</w:t>
            </w:r>
          </w:p>
        </w:tc>
        <w:tc>
          <w:tcPr>
            <w:tcW w:w="4678" w:type="dxa"/>
            <w:vAlign w:val="center"/>
          </w:tcPr>
          <w:p w14:paraId="25336614">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建成区绿化覆盖率</w:t>
            </w:r>
            <w:r>
              <w:rPr>
                <w:rFonts w:hint="eastAsia" w:ascii="仿宋" w:hAnsi="仿宋"/>
                <w:szCs w:val="28"/>
              </w:rPr>
              <w:t>（</w:t>
            </w:r>
            <w:r>
              <w:rPr>
                <w:rFonts w:ascii="仿宋" w:hAnsi="仿宋"/>
                <w:szCs w:val="28"/>
              </w:rPr>
              <w:t>%）</w:t>
            </w:r>
          </w:p>
        </w:tc>
        <w:tc>
          <w:tcPr>
            <w:tcW w:w="1134" w:type="dxa"/>
            <w:vAlign w:val="center"/>
          </w:tcPr>
          <w:p w14:paraId="3910573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43.23</w:t>
            </w:r>
          </w:p>
        </w:tc>
        <w:tc>
          <w:tcPr>
            <w:tcW w:w="2180" w:type="dxa"/>
            <w:vAlign w:val="center"/>
          </w:tcPr>
          <w:p w14:paraId="7968A3DC">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43.24</w:t>
            </w:r>
          </w:p>
        </w:tc>
      </w:tr>
      <w:tr w14:paraId="4544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2A6C3EE">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8</w:t>
            </w:r>
          </w:p>
        </w:tc>
        <w:tc>
          <w:tcPr>
            <w:tcW w:w="4678" w:type="dxa"/>
            <w:vAlign w:val="center"/>
          </w:tcPr>
          <w:p w14:paraId="4E7EB2A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建成区绿地率</w:t>
            </w:r>
            <w:r>
              <w:rPr>
                <w:rFonts w:hint="eastAsia" w:ascii="仿宋" w:hAnsi="仿宋"/>
                <w:szCs w:val="28"/>
              </w:rPr>
              <w:t>（</w:t>
            </w:r>
            <w:r>
              <w:rPr>
                <w:rFonts w:ascii="仿宋" w:hAnsi="仿宋"/>
                <w:szCs w:val="28"/>
              </w:rPr>
              <w:t>%）</w:t>
            </w:r>
          </w:p>
        </w:tc>
        <w:tc>
          <w:tcPr>
            <w:tcW w:w="1134" w:type="dxa"/>
            <w:vAlign w:val="center"/>
          </w:tcPr>
          <w:p w14:paraId="3713357B">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39.83</w:t>
            </w:r>
          </w:p>
        </w:tc>
        <w:tc>
          <w:tcPr>
            <w:tcW w:w="2180" w:type="dxa"/>
            <w:vAlign w:val="center"/>
          </w:tcPr>
          <w:p w14:paraId="5E54F0B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40.33</w:t>
            </w:r>
          </w:p>
        </w:tc>
      </w:tr>
      <w:tr w14:paraId="0620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14:paraId="560CC003">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w:t>
            </w:r>
          </w:p>
        </w:tc>
        <w:tc>
          <w:tcPr>
            <w:tcW w:w="4678" w:type="dxa"/>
            <w:vAlign w:val="center"/>
          </w:tcPr>
          <w:p w14:paraId="539839B4">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生活垃圾焚烧能力占比</w:t>
            </w:r>
            <w:r>
              <w:rPr>
                <w:rFonts w:hint="eastAsia" w:ascii="仿宋" w:hAnsi="仿宋"/>
                <w:szCs w:val="28"/>
              </w:rPr>
              <w:t>（</w:t>
            </w:r>
            <w:r>
              <w:rPr>
                <w:rFonts w:ascii="仿宋" w:hAnsi="仿宋"/>
                <w:szCs w:val="28"/>
              </w:rPr>
              <w:t>%）</w:t>
            </w:r>
          </w:p>
        </w:tc>
        <w:tc>
          <w:tcPr>
            <w:tcW w:w="1134" w:type="dxa"/>
            <w:vAlign w:val="center"/>
          </w:tcPr>
          <w:p w14:paraId="5B4A3568">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w:t>
            </w:r>
          </w:p>
        </w:tc>
        <w:tc>
          <w:tcPr>
            <w:tcW w:w="2180" w:type="dxa"/>
            <w:vAlign w:val="center"/>
          </w:tcPr>
          <w:p w14:paraId="1A89A5DB">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90.2</w:t>
            </w:r>
          </w:p>
        </w:tc>
      </w:tr>
    </w:tbl>
    <w:p w14:paraId="02BD0A7C">
      <w:pPr>
        <w:snapToGrid w:val="0"/>
        <w:spacing w:before="156" w:beforeLines="50" w:line="540" w:lineRule="exact"/>
        <w:ind w:firstLine="643"/>
        <w:outlineLvl w:val="2"/>
        <w:rPr>
          <w:rFonts w:ascii="楷体" w:hAnsi="楷体" w:eastAsia="楷体"/>
          <w:b/>
          <w:bCs/>
          <w:kern w:val="0"/>
          <w:sz w:val="32"/>
          <w:szCs w:val="32"/>
        </w:rPr>
      </w:pPr>
      <w:bookmarkStart w:id="17" w:name="_Toc46"/>
      <w:bookmarkStart w:id="18" w:name="_Toc14097"/>
      <w:bookmarkStart w:id="19" w:name="_Toc6031"/>
      <w:bookmarkStart w:id="20" w:name="_Toc26536"/>
      <w:bookmarkStart w:id="21" w:name="_Toc5156"/>
      <w:r>
        <w:rPr>
          <w:rFonts w:hint="eastAsia" w:ascii="楷体" w:hAnsi="楷体" w:eastAsia="楷体"/>
          <w:b/>
          <w:bCs/>
          <w:kern w:val="0"/>
          <w:sz w:val="32"/>
          <w:szCs w:val="32"/>
        </w:rPr>
        <w:t>（一）坚持环湾向湾同域化，城乡面貌明显改善</w:t>
      </w:r>
      <w:bookmarkEnd w:id="17"/>
      <w:bookmarkEnd w:id="18"/>
      <w:bookmarkEnd w:id="19"/>
      <w:bookmarkEnd w:id="20"/>
      <w:bookmarkEnd w:id="21"/>
    </w:p>
    <w:p w14:paraId="6202CC1C">
      <w:pPr>
        <w:snapToGrid w:val="0"/>
        <w:spacing w:line="540" w:lineRule="exact"/>
        <w:ind w:firstLine="643"/>
        <w:rPr>
          <w:rFonts w:ascii="仿宋" w:hAnsi="仿宋"/>
          <w:kern w:val="0"/>
          <w:sz w:val="32"/>
          <w:szCs w:val="32"/>
        </w:rPr>
      </w:pPr>
      <w:r>
        <w:rPr>
          <w:rFonts w:hint="eastAsia" w:ascii="仿宋" w:hAnsi="仿宋"/>
          <w:b/>
          <w:kern w:val="0"/>
          <w:sz w:val="32"/>
          <w:szCs w:val="32"/>
        </w:rPr>
        <w:t>城镇化进程稳步推进。</w:t>
      </w:r>
      <w:r>
        <w:rPr>
          <w:rFonts w:hint="eastAsia" w:ascii="仿宋" w:hAnsi="仿宋"/>
          <w:kern w:val="0"/>
          <w:sz w:val="32"/>
          <w:szCs w:val="32"/>
        </w:rPr>
        <w:t>开展国家生态修复城市修补试点工作</w:t>
      </w:r>
      <w:r>
        <w:rPr>
          <w:rFonts w:ascii="仿宋" w:hAnsi="仿宋"/>
          <w:kern w:val="0"/>
          <w:sz w:val="32"/>
          <w:szCs w:val="32"/>
        </w:rPr>
        <w:t>,中心城区</w:t>
      </w:r>
      <w:r>
        <w:rPr>
          <w:rStyle w:val="29"/>
          <w:rFonts w:ascii="仿宋" w:hAnsi="仿宋" w:eastAsia="宋体"/>
          <w:sz w:val="32"/>
          <w:szCs w:val="32"/>
        </w:rPr>
        <w:footnoteReference w:id="1"/>
      </w:r>
      <w:r>
        <w:rPr>
          <w:rFonts w:ascii="仿宋" w:hAnsi="仿宋"/>
          <w:kern w:val="0"/>
          <w:sz w:val="32"/>
          <w:szCs w:val="32"/>
        </w:rPr>
        <w:t>建成区面积拓展至235平方公里,城镇化率达68.5%。新城加快集聚,片区更新改造比拼开展,公共文化中心“四朵花瓣”渐次绽放。按“四个必须”标准完成385个老旧小区改造，陆续启动西郊棚户区改造、北峰西华洋片区、白沙片区棚户区改造等，推动泉州市区城市更新，加强环湾向湾集聚。</w:t>
      </w:r>
    </w:p>
    <w:p w14:paraId="3ED8988A">
      <w:pPr>
        <w:snapToGrid w:val="0"/>
        <w:spacing w:line="540" w:lineRule="exact"/>
        <w:ind w:firstLine="643"/>
        <w:rPr>
          <w:rFonts w:ascii="仿宋" w:hAnsi="仿宋" w:cs="仿宋"/>
          <w:sz w:val="32"/>
          <w:szCs w:val="32"/>
        </w:rPr>
      </w:pPr>
      <w:r>
        <w:rPr>
          <w:rFonts w:ascii="仿宋" w:hAnsi="仿宋"/>
          <w:b/>
          <w:kern w:val="0"/>
          <w:sz w:val="32"/>
          <w:szCs w:val="32"/>
        </w:rPr>
        <w:t>园林绿化全面提升</w:t>
      </w:r>
      <w:r>
        <w:rPr>
          <w:rFonts w:hint="eastAsia" w:ascii="仿宋" w:hAnsi="仿宋"/>
          <w:kern w:val="0"/>
          <w:sz w:val="32"/>
          <w:szCs w:val="32"/>
        </w:rPr>
        <w:t>。实施城市绿化提升三年行动，完成以山线、水线为代表的城市绿道网络建设，全国首创生态连绵带，水线公园、山线绿道等一批生态连绵带项目建成投用</w:t>
      </w:r>
      <w:r>
        <w:rPr>
          <w:rFonts w:ascii="仿宋" w:hAnsi="仿宋"/>
          <w:kern w:val="0"/>
          <w:sz w:val="32"/>
          <w:szCs w:val="32"/>
        </w:rPr>
        <w:t>,成为市民常走、客人常到的景观线。结合古城提质，打造多处街头绿地及口袋公园，市区</w:t>
      </w:r>
      <w:r>
        <w:rPr>
          <w:rStyle w:val="29"/>
          <w:rFonts w:ascii="仿宋" w:hAnsi="仿宋"/>
          <w:sz w:val="32"/>
          <w:szCs w:val="32"/>
        </w:rPr>
        <w:footnoteReference w:id="2"/>
      </w:r>
      <w:r>
        <w:rPr>
          <w:rFonts w:hint="eastAsia" w:ascii="仿宋" w:hAnsi="仿宋"/>
          <w:kern w:val="0"/>
          <w:sz w:val="32"/>
          <w:szCs w:val="32"/>
        </w:rPr>
        <w:t>“</w:t>
      </w:r>
      <w:r>
        <w:rPr>
          <w:rFonts w:ascii="仿宋" w:hAnsi="仿宋"/>
          <w:kern w:val="0"/>
          <w:sz w:val="32"/>
          <w:szCs w:val="32"/>
        </w:rPr>
        <w:t>300米见绿、500米见园”覆盖率从不足20%跃升至近70%，</w:t>
      </w:r>
      <w:r>
        <w:rPr>
          <w:rFonts w:ascii="仿宋" w:hAnsi="仿宋" w:cs="仿宋"/>
          <w:kern w:val="0"/>
          <w:sz w:val="32"/>
          <w:szCs w:val="32"/>
        </w:rPr>
        <w:t>6个县</w:t>
      </w:r>
      <w:r>
        <w:rPr>
          <w:rFonts w:hint="eastAsia" w:ascii="仿宋" w:hAnsi="仿宋" w:cs="仿宋"/>
          <w:kern w:val="0"/>
          <w:sz w:val="32"/>
          <w:szCs w:val="32"/>
        </w:rPr>
        <w:t>（</w:t>
      </w:r>
      <w:r>
        <w:rPr>
          <w:rFonts w:ascii="仿宋" w:hAnsi="仿宋" w:cs="仿宋"/>
          <w:kern w:val="0"/>
          <w:sz w:val="32"/>
          <w:szCs w:val="32"/>
        </w:rPr>
        <w:t>市</w:t>
      </w:r>
      <w:r>
        <w:rPr>
          <w:rFonts w:hint="eastAsia" w:ascii="仿宋" w:hAnsi="仿宋" w:cs="仿宋"/>
          <w:kern w:val="0"/>
          <w:sz w:val="32"/>
          <w:szCs w:val="32"/>
        </w:rPr>
        <w:t>）</w:t>
      </w:r>
      <w:r>
        <w:rPr>
          <w:rFonts w:ascii="仿宋" w:hAnsi="仿宋" w:cs="仿宋"/>
          <w:kern w:val="0"/>
          <w:sz w:val="32"/>
          <w:szCs w:val="32"/>
        </w:rPr>
        <w:t>跻身“国家园林城市（县城）”，</w:t>
      </w:r>
      <w:r>
        <w:rPr>
          <w:rFonts w:hint="eastAsia" w:ascii="仿宋" w:hAnsi="仿宋" w:cs="仿宋"/>
          <w:sz w:val="32"/>
          <w:szCs w:val="32"/>
        </w:rPr>
        <w:t>在全省率先实现中心城区及所辖县国家园林城市</w:t>
      </w:r>
      <w:r>
        <w:rPr>
          <w:rFonts w:ascii="仿宋" w:hAnsi="仿宋" w:cs="仿宋"/>
          <w:sz w:val="32"/>
          <w:szCs w:val="32"/>
        </w:rPr>
        <w:t>100%全覆盖。</w:t>
      </w:r>
    </w:p>
    <w:p w14:paraId="4F3BCD62">
      <w:pPr>
        <w:snapToGrid w:val="0"/>
        <w:spacing w:line="540" w:lineRule="exact"/>
        <w:ind w:firstLine="643"/>
        <w:rPr>
          <w:rFonts w:ascii="仿宋" w:hAnsi="仿宋"/>
          <w:kern w:val="0"/>
          <w:sz w:val="32"/>
          <w:szCs w:val="32"/>
        </w:rPr>
      </w:pPr>
      <w:r>
        <w:rPr>
          <w:rFonts w:hint="eastAsia" w:ascii="仿宋" w:hAnsi="仿宋"/>
          <w:b/>
          <w:kern w:val="0"/>
          <w:sz w:val="32"/>
          <w:szCs w:val="32"/>
        </w:rPr>
        <w:t>特色小</w:t>
      </w:r>
      <w:r>
        <w:rPr>
          <w:rFonts w:ascii="仿宋" w:hAnsi="仿宋"/>
          <w:b/>
          <w:kern w:val="0"/>
          <w:sz w:val="32"/>
          <w:szCs w:val="32"/>
        </w:rPr>
        <w:t>镇</w:t>
      </w:r>
      <w:r>
        <w:rPr>
          <w:rFonts w:hint="eastAsia" w:ascii="仿宋" w:hAnsi="仿宋"/>
          <w:b/>
          <w:kern w:val="0"/>
          <w:sz w:val="32"/>
          <w:szCs w:val="32"/>
        </w:rPr>
        <w:t>初具成效。</w:t>
      </w:r>
      <w:r>
        <w:rPr>
          <w:rFonts w:ascii="仿宋" w:hAnsi="仿宋"/>
          <w:kern w:val="0"/>
          <w:sz w:val="32"/>
          <w:szCs w:val="32"/>
        </w:rPr>
        <w:t>从地方特色着手，实行统筹规划、综合设计、分类施策，加快集镇基础设施</w:t>
      </w:r>
      <w:r>
        <w:rPr>
          <w:rFonts w:hint="eastAsia" w:ascii="仿宋" w:hAnsi="仿宋"/>
          <w:kern w:val="0"/>
          <w:sz w:val="32"/>
          <w:szCs w:val="32"/>
        </w:rPr>
        <w:t>建设</w:t>
      </w:r>
      <w:r>
        <w:rPr>
          <w:rFonts w:ascii="仿宋" w:hAnsi="仿宋"/>
          <w:kern w:val="0"/>
          <w:sz w:val="32"/>
          <w:szCs w:val="32"/>
        </w:rPr>
        <w:t>和产业提升，</w:t>
      </w:r>
      <w:r>
        <w:rPr>
          <w:rFonts w:hint="eastAsia" w:ascii="仿宋" w:hAnsi="仿宋"/>
          <w:kern w:val="0"/>
          <w:sz w:val="32"/>
          <w:szCs w:val="32"/>
        </w:rPr>
        <w:t>推动石狮市祥芝镇（渔港风情小镇）、安溪县尚卿乡（藤云小镇）、永春县达埔镇（香都小镇）等</w:t>
      </w:r>
      <w:r>
        <w:rPr>
          <w:rFonts w:ascii="仿宋" w:hAnsi="仿宋"/>
          <w:kern w:val="0"/>
          <w:sz w:val="32"/>
          <w:szCs w:val="32"/>
        </w:rPr>
        <w:t>8个首批市级特色村镇试点建设</w:t>
      </w:r>
      <w:r>
        <w:rPr>
          <w:rFonts w:hint="eastAsia" w:ascii="仿宋" w:hAnsi="仿宋"/>
          <w:kern w:val="0"/>
          <w:sz w:val="32"/>
          <w:szCs w:val="32"/>
        </w:rPr>
        <w:t>，其</w:t>
      </w:r>
      <w:r>
        <w:rPr>
          <w:rFonts w:ascii="仿宋" w:hAnsi="仿宋"/>
          <w:kern w:val="0"/>
          <w:sz w:val="32"/>
          <w:szCs w:val="32"/>
        </w:rPr>
        <w:t>中</w:t>
      </w:r>
      <w:r>
        <w:rPr>
          <w:rFonts w:hint="eastAsia" w:ascii="仿宋" w:hAnsi="仿宋"/>
          <w:kern w:val="0"/>
          <w:sz w:val="32"/>
          <w:szCs w:val="32"/>
        </w:rPr>
        <w:t>有</w:t>
      </w:r>
      <w:r>
        <w:rPr>
          <w:rFonts w:ascii="仿宋" w:hAnsi="仿宋"/>
          <w:kern w:val="0"/>
          <w:sz w:val="32"/>
          <w:szCs w:val="32"/>
        </w:rPr>
        <w:t>6个小镇入选福建省首批特色小镇，入选数量居全省地级市第一位。22个镇列入市级小城市培育试点，形成一批可学习、可借鉴、多样化的示范集镇，以点带面推动</w:t>
      </w:r>
      <w:r>
        <w:rPr>
          <w:rFonts w:hint="eastAsia" w:ascii="仿宋" w:hAnsi="仿宋"/>
          <w:kern w:val="0"/>
          <w:sz w:val="32"/>
          <w:szCs w:val="32"/>
        </w:rPr>
        <w:t>特色小镇建设</w:t>
      </w:r>
      <w:r>
        <w:rPr>
          <w:rFonts w:ascii="仿宋" w:hAnsi="仿宋"/>
          <w:kern w:val="0"/>
          <w:sz w:val="32"/>
          <w:szCs w:val="32"/>
        </w:rPr>
        <w:t>工作可持续发展。</w:t>
      </w:r>
    </w:p>
    <w:p w14:paraId="28A6C37C">
      <w:pPr>
        <w:snapToGrid w:val="0"/>
        <w:spacing w:line="540" w:lineRule="exact"/>
        <w:ind w:firstLine="643"/>
        <w:rPr>
          <w:rFonts w:ascii="仿宋" w:hAnsi="仿宋"/>
          <w:kern w:val="0"/>
          <w:sz w:val="32"/>
          <w:szCs w:val="32"/>
        </w:rPr>
      </w:pPr>
      <w:r>
        <w:rPr>
          <w:rFonts w:ascii="仿宋" w:hAnsi="仿宋"/>
          <w:b/>
          <w:kern w:val="0"/>
          <w:sz w:val="32"/>
          <w:szCs w:val="32"/>
        </w:rPr>
        <w:t>美丽乡村</w:t>
      </w:r>
      <w:r>
        <w:rPr>
          <w:rFonts w:hint="eastAsia" w:ascii="仿宋" w:hAnsi="仿宋"/>
          <w:b/>
          <w:kern w:val="0"/>
          <w:sz w:val="32"/>
          <w:szCs w:val="32"/>
        </w:rPr>
        <w:t>建设成果丰硕</w:t>
      </w:r>
      <w:r>
        <w:rPr>
          <w:rFonts w:hint="eastAsia" w:ascii="仿宋" w:hAnsi="仿宋"/>
          <w:kern w:val="0"/>
          <w:sz w:val="32"/>
          <w:szCs w:val="32"/>
        </w:rPr>
        <w:t>。完成人居环境整治“一革命四行动”任务</w:t>
      </w:r>
      <w:r>
        <w:rPr>
          <w:rFonts w:ascii="仿宋" w:hAnsi="仿宋"/>
          <w:kern w:val="0"/>
          <w:sz w:val="32"/>
          <w:szCs w:val="32"/>
        </w:rPr>
        <w:t>,实现所有乡镇和行政村生活垃圾治理常态化。累计完成1925个行政村生活污水治理，1804个行政村垃圾治理，632个美丽乡村环境整治，打造25个美丽乡村景观带，全市行政村生活污水治理覆盖率由2017年的31.4%上升至68.0%，覆盖率居全省</w:t>
      </w:r>
      <w:r>
        <w:rPr>
          <w:rFonts w:hint="eastAsia" w:ascii="仿宋" w:hAnsi="仿宋"/>
          <w:kern w:val="0"/>
          <w:sz w:val="32"/>
          <w:szCs w:val="32"/>
        </w:rPr>
        <w:t>地级市</w:t>
      </w:r>
      <w:r>
        <w:rPr>
          <w:rFonts w:ascii="仿宋" w:hAnsi="仿宋"/>
          <w:kern w:val="0"/>
          <w:sz w:val="32"/>
          <w:szCs w:val="32"/>
        </w:rPr>
        <w:t>前列</w:t>
      </w:r>
      <w:r>
        <w:rPr>
          <w:rFonts w:hint="eastAsia" w:ascii="仿宋" w:hAnsi="仿宋"/>
          <w:kern w:val="0"/>
          <w:sz w:val="32"/>
          <w:szCs w:val="32"/>
        </w:rPr>
        <w:t>，晋江市以“打造充满活力、和谐有序的善治乡村”作为福建省唯一入选全国第二批</w:t>
      </w:r>
      <w:r>
        <w:rPr>
          <w:rFonts w:ascii="仿宋" w:hAnsi="仿宋"/>
          <w:kern w:val="0"/>
          <w:sz w:val="32"/>
          <w:szCs w:val="32"/>
        </w:rPr>
        <w:t>乡村治理典型案例之一</w:t>
      </w:r>
      <w:r>
        <w:rPr>
          <w:rFonts w:hint="eastAsia" w:ascii="仿宋" w:hAnsi="仿宋"/>
          <w:kern w:val="0"/>
          <w:sz w:val="32"/>
          <w:szCs w:val="32"/>
        </w:rPr>
        <w:t>。</w:t>
      </w:r>
    </w:p>
    <w:p w14:paraId="6A64ECFC">
      <w:pPr>
        <w:snapToGrid w:val="0"/>
        <w:spacing w:line="540" w:lineRule="exact"/>
        <w:ind w:firstLine="643"/>
        <w:outlineLvl w:val="2"/>
        <w:rPr>
          <w:rFonts w:ascii="楷体" w:hAnsi="楷体" w:eastAsia="楷体"/>
          <w:b/>
          <w:bCs/>
          <w:kern w:val="0"/>
          <w:sz w:val="32"/>
          <w:szCs w:val="32"/>
        </w:rPr>
      </w:pPr>
      <w:bookmarkStart w:id="22" w:name="_Toc23013"/>
      <w:bookmarkStart w:id="23" w:name="_Toc2166"/>
      <w:bookmarkStart w:id="24" w:name="_Toc27902"/>
      <w:bookmarkStart w:id="25" w:name="_Toc26917"/>
      <w:bookmarkStart w:id="26" w:name="_Toc28326"/>
      <w:r>
        <w:rPr>
          <w:rFonts w:hint="eastAsia" w:ascii="楷体" w:hAnsi="楷体" w:eastAsia="楷体"/>
          <w:b/>
          <w:bCs/>
          <w:kern w:val="0"/>
          <w:sz w:val="32"/>
          <w:szCs w:val="32"/>
        </w:rPr>
        <w:t>（二）坚持以人为本惠民生，</w:t>
      </w:r>
      <w:r>
        <w:rPr>
          <w:rFonts w:hint="eastAsia" w:eastAsia="楷体_GB2312" w:cs="楷体_GB2312"/>
          <w:b/>
          <w:bCs/>
          <w:sz w:val="32"/>
          <w:szCs w:val="32"/>
        </w:rPr>
        <w:t>承载能力明显增强</w:t>
      </w:r>
      <w:bookmarkEnd w:id="22"/>
      <w:bookmarkEnd w:id="23"/>
      <w:bookmarkEnd w:id="24"/>
      <w:bookmarkEnd w:id="25"/>
      <w:bookmarkEnd w:id="26"/>
    </w:p>
    <w:p w14:paraId="3B080D69">
      <w:pPr>
        <w:snapToGrid w:val="0"/>
        <w:spacing w:line="540" w:lineRule="exact"/>
        <w:ind w:firstLine="643"/>
        <w:rPr>
          <w:rFonts w:ascii="仿宋" w:hAnsi="仿宋"/>
          <w:sz w:val="32"/>
          <w:szCs w:val="32"/>
        </w:rPr>
      </w:pPr>
      <w:r>
        <w:rPr>
          <w:rFonts w:ascii="仿宋" w:hAnsi="仿宋"/>
          <w:b/>
          <w:sz w:val="32"/>
          <w:szCs w:val="32"/>
        </w:rPr>
        <w:t>城乡交通体系不断完善。</w:t>
      </w:r>
      <w:r>
        <w:rPr>
          <w:rFonts w:hint="eastAsia" w:ascii="仿宋" w:hAnsi="仿宋"/>
          <w:sz w:val="32"/>
          <w:szCs w:val="32"/>
        </w:rPr>
        <w:t>实施“聚城畅通”工程，</w:t>
      </w:r>
      <w:r>
        <w:rPr>
          <w:rFonts w:ascii="仿宋" w:hAnsi="仿宋"/>
          <w:sz w:val="32"/>
          <w:szCs w:val="32"/>
        </w:rPr>
        <w:t>城市交通拥堵指数</w:t>
      </w:r>
      <w:r>
        <w:rPr>
          <w:rFonts w:hint="eastAsia" w:ascii="仿宋" w:hAnsi="仿宋"/>
          <w:sz w:val="32"/>
          <w:szCs w:val="32"/>
        </w:rPr>
        <w:t>全国排名</w:t>
      </w:r>
      <w:r>
        <w:rPr>
          <w:rFonts w:ascii="仿宋" w:hAnsi="仿宋"/>
          <w:sz w:val="32"/>
          <w:szCs w:val="32"/>
        </w:rPr>
        <w:t>比2015年</w:t>
      </w:r>
      <w:r>
        <w:rPr>
          <w:rFonts w:hint="eastAsia" w:ascii="仿宋" w:hAnsi="仿宋"/>
          <w:sz w:val="32"/>
          <w:szCs w:val="32"/>
        </w:rPr>
        <w:t>末</w:t>
      </w:r>
      <w:r>
        <w:rPr>
          <w:rFonts w:ascii="仿宋" w:hAnsi="仿宋"/>
          <w:sz w:val="32"/>
          <w:szCs w:val="32"/>
        </w:rPr>
        <w:t>下降20个名次。全市累计新建改造城市道路913公里，市辖区路网密度</w:t>
      </w:r>
      <w:r>
        <w:rPr>
          <w:rFonts w:hint="eastAsia" w:ascii="仿宋" w:hAnsi="仿宋"/>
          <w:sz w:val="32"/>
          <w:szCs w:val="32"/>
        </w:rPr>
        <w:t>从</w:t>
      </w:r>
      <w:r>
        <w:rPr>
          <w:rFonts w:ascii="仿宋" w:hAnsi="仿宋"/>
          <w:sz w:val="32"/>
          <w:szCs w:val="32"/>
        </w:rPr>
        <w:t>6.62公里/平方公里</w:t>
      </w:r>
      <w:r>
        <w:rPr>
          <w:rFonts w:hint="eastAsia" w:ascii="仿宋" w:hAnsi="仿宋"/>
          <w:sz w:val="32"/>
          <w:szCs w:val="32"/>
        </w:rPr>
        <w:t>提高至</w:t>
      </w:r>
      <w:r>
        <w:rPr>
          <w:rFonts w:ascii="仿宋" w:hAnsi="仿宋"/>
          <w:sz w:val="32"/>
          <w:szCs w:val="32"/>
        </w:rPr>
        <w:t>8.25公里/平方公里。中心城区建成区实现“小黄人”公共自行车站点全覆盖，</w:t>
      </w:r>
      <w:r>
        <w:rPr>
          <w:rFonts w:hint="eastAsia" w:ascii="仿宋" w:hAnsi="仿宋"/>
          <w:sz w:val="32"/>
          <w:szCs w:val="32"/>
        </w:rPr>
        <w:t>内环路以内的干道网</w:t>
      </w:r>
      <w:r>
        <w:rPr>
          <w:rFonts w:ascii="仿宋" w:hAnsi="仿宋"/>
          <w:sz w:val="32"/>
          <w:szCs w:val="32"/>
        </w:rPr>
        <w:t>非机动车路权保障达到70%以上，绿色出行环境得到显著改善。</w:t>
      </w:r>
      <w:r>
        <w:rPr>
          <w:rFonts w:hint="eastAsia" w:ascii="仿宋" w:hAnsi="仿宋"/>
          <w:sz w:val="32"/>
          <w:szCs w:val="32"/>
        </w:rPr>
        <w:t>全市完成农村公路建设投资</w:t>
      </w:r>
      <w:r>
        <w:rPr>
          <w:rFonts w:ascii="仿宋" w:hAnsi="仿宋"/>
          <w:sz w:val="32"/>
          <w:szCs w:val="32"/>
        </w:rPr>
        <w:t>36.37</w:t>
      </w:r>
      <w:r>
        <w:rPr>
          <w:rFonts w:hint="eastAsia" w:ascii="仿宋" w:hAnsi="仿宋"/>
          <w:sz w:val="32"/>
          <w:szCs w:val="32"/>
        </w:rPr>
        <w:t>亿元，达“十二五”期间总投资</w:t>
      </w:r>
      <w:r>
        <w:rPr>
          <w:rFonts w:ascii="仿宋" w:hAnsi="仿宋"/>
          <w:sz w:val="32"/>
          <w:szCs w:val="32"/>
        </w:rPr>
        <w:t>3</w:t>
      </w:r>
      <w:r>
        <w:rPr>
          <w:rFonts w:hint="eastAsia" w:ascii="仿宋" w:hAnsi="仿宋"/>
          <w:sz w:val="32"/>
          <w:szCs w:val="32"/>
        </w:rPr>
        <w:t>倍，累计总里程达到</w:t>
      </w:r>
      <w:r>
        <w:rPr>
          <w:rFonts w:ascii="仿宋" w:hAnsi="仿宋"/>
          <w:sz w:val="32"/>
          <w:szCs w:val="32"/>
        </w:rPr>
        <w:t>16096</w:t>
      </w:r>
      <w:r>
        <w:rPr>
          <w:rFonts w:hint="eastAsia" w:ascii="仿宋" w:hAnsi="仿宋"/>
          <w:sz w:val="32"/>
          <w:szCs w:val="32"/>
        </w:rPr>
        <w:t>公里，位居全省第一，</w:t>
      </w:r>
      <w:r>
        <w:rPr>
          <w:rFonts w:ascii="仿宋" w:hAnsi="仿宋"/>
          <w:sz w:val="32"/>
          <w:szCs w:val="32"/>
        </w:rPr>
        <w:t>100%沿海建制村、85%山区建制村通达双车道及以上公路，晋江、安溪、永春、德化荣获“四好农村路”示范县，石狮被交通运输部定为市级深化农村公路管理养护体制改革试点。</w:t>
      </w:r>
    </w:p>
    <w:p w14:paraId="273FD745">
      <w:pPr>
        <w:snapToGrid w:val="0"/>
        <w:spacing w:line="540" w:lineRule="exact"/>
        <w:ind w:firstLine="643"/>
        <w:rPr>
          <w:rFonts w:ascii="仿宋" w:hAnsi="仿宋"/>
          <w:kern w:val="0"/>
          <w:sz w:val="32"/>
          <w:szCs w:val="32"/>
        </w:rPr>
      </w:pPr>
      <w:r>
        <w:rPr>
          <w:rFonts w:hint="eastAsia" w:ascii="仿宋" w:hAnsi="仿宋"/>
          <w:b/>
          <w:bCs/>
          <w:sz w:val="32"/>
          <w:szCs w:val="32"/>
        </w:rPr>
        <w:t>供水保障能力明显增强。</w:t>
      </w:r>
      <w:r>
        <w:rPr>
          <w:rFonts w:hint="eastAsia" w:ascii="仿宋" w:hAnsi="仿宋"/>
          <w:sz w:val="32"/>
          <w:szCs w:val="32"/>
        </w:rPr>
        <w:t>实施七库联通工程，缓解了晋江下游供水区中远期缺水问题，有力提升泉州水资源支撑保障能力。实施金门供水工程，“两岸一家亲，共饮一江水”愿景成为现实。全市自来水普及率达</w:t>
      </w:r>
      <w:r>
        <w:rPr>
          <w:rFonts w:ascii="仿宋" w:hAnsi="仿宋"/>
          <w:sz w:val="32"/>
          <w:szCs w:val="32"/>
        </w:rPr>
        <w:t>98%，供水管网漏损率降低至9%以内。市区和泉港区、石狮市、惠安县等9个城区供水厂的消毒系统完成升级改造，积极推行二次供水设施“建管合一”，推动城乡供水一体化</w:t>
      </w:r>
      <w:r>
        <w:rPr>
          <w:rFonts w:hint="eastAsia" w:ascii="仿宋" w:hAnsi="仿宋"/>
          <w:sz w:val="32"/>
          <w:szCs w:val="32"/>
        </w:rPr>
        <w:t>，</w:t>
      </w:r>
      <w:r>
        <w:rPr>
          <w:rFonts w:ascii="仿宋" w:hAnsi="仿宋"/>
          <w:sz w:val="32"/>
          <w:szCs w:val="32"/>
        </w:rPr>
        <w:t>农村饮用水安全问题得到解决。节水工作成效显著，成为全省第2个“国家节水型城市”。</w:t>
      </w:r>
    </w:p>
    <w:p w14:paraId="729A6C6E">
      <w:pPr>
        <w:spacing w:line="540" w:lineRule="exact"/>
        <w:ind w:firstLine="643"/>
        <w:rPr>
          <w:rFonts w:ascii="仿宋" w:hAnsi="仿宋"/>
          <w:sz w:val="32"/>
          <w:szCs w:val="32"/>
        </w:rPr>
      </w:pPr>
      <w:r>
        <w:rPr>
          <w:rFonts w:hint="eastAsia" w:ascii="仿宋" w:hAnsi="仿宋"/>
          <w:b/>
          <w:sz w:val="32"/>
          <w:szCs w:val="32"/>
        </w:rPr>
        <w:t>燃气设施</w:t>
      </w:r>
      <w:r>
        <w:rPr>
          <w:rFonts w:ascii="仿宋" w:hAnsi="仿宋"/>
          <w:b/>
          <w:sz w:val="32"/>
          <w:szCs w:val="32"/>
        </w:rPr>
        <w:t>建设进展顺利</w:t>
      </w:r>
      <w:r>
        <w:rPr>
          <w:rFonts w:hint="eastAsia" w:ascii="仿宋" w:hAnsi="仿宋"/>
          <w:sz w:val="32"/>
          <w:szCs w:val="32"/>
        </w:rPr>
        <w:t>。</w:t>
      </w:r>
      <w:r>
        <w:rPr>
          <w:rFonts w:ascii="仿宋" w:hAnsi="仿宋"/>
          <w:sz w:val="32"/>
          <w:szCs w:val="32"/>
        </w:rPr>
        <w:t>新建城镇燃气管道450公里以上，初步建成“覆盖全市、南北贯通、东西相连、多气源互补”的清洁能源大动脉，城市管道燃气“两气一网”格局基本形成，成为福建首个用上西三线气源的城市，全面推进内陆县</w:t>
      </w:r>
      <w:r>
        <w:rPr>
          <w:rFonts w:hint="eastAsia" w:ascii="仿宋" w:hAnsi="仿宋"/>
          <w:sz w:val="32"/>
          <w:szCs w:val="32"/>
        </w:rPr>
        <w:t>（</w:t>
      </w:r>
      <w:r>
        <w:rPr>
          <w:rFonts w:ascii="仿宋" w:hAnsi="仿宋"/>
          <w:sz w:val="32"/>
          <w:szCs w:val="32"/>
        </w:rPr>
        <w:t>市</w:t>
      </w:r>
      <w:r>
        <w:rPr>
          <w:rFonts w:hint="eastAsia" w:ascii="仿宋" w:hAnsi="仿宋"/>
          <w:sz w:val="32"/>
          <w:szCs w:val="32"/>
        </w:rPr>
        <w:t>）</w:t>
      </w:r>
      <w:r>
        <w:rPr>
          <w:rFonts w:ascii="仿宋" w:hAnsi="仿宋"/>
          <w:sz w:val="32"/>
          <w:szCs w:val="32"/>
        </w:rPr>
        <w:t>天然气推广普及。推进瓶装液化石油气销售“实名制”，累计完成瓶装液化石油气实名销售建档36.8万户；开展“打非治违”专项行动，有效保障安全供气。</w:t>
      </w:r>
      <w:r>
        <w:rPr>
          <w:rFonts w:hint="eastAsia" w:ascii="仿宋" w:hAnsi="仿宋"/>
          <w:sz w:val="32"/>
          <w:szCs w:val="32"/>
        </w:rPr>
        <w:t>在</w:t>
      </w:r>
      <w:r>
        <w:rPr>
          <w:rFonts w:ascii="仿宋" w:hAnsi="仿宋"/>
          <w:sz w:val="32"/>
          <w:szCs w:val="32"/>
        </w:rPr>
        <w:t>全省率先完成液化气储配站远程视频监控系统接入工作，基本实现全覆盖。</w:t>
      </w:r>
    </w:p>
    <w:p w14:paraId="48861408">
      <w:pPr>
        <w:snapToGrid w:val="0"/>
        <w:spacing w:line="540" w:lineRule="exact"/>
        <w:ind w:firstLine="643"/>
        <w:rPr>
          <w:rFonts w:ascii="仿宋" w:hAnsi="仿宋"/>
          <w:sz w:val="32"/>
          <w:szCs w:val="32"/>
        </w:rPr>
      </w:pPr>
      <w:r>
        <w:rPr>
          <w:rFonts w:ascii="仿宋" w:hAnsi="仿宋"/>
          <w:b/>
          <w:sz w:val="32"/>
          <w:szCs w:val="32"/>
        </w:rPr>
        <w:t>污水治理</w:t>
      </w:r>
      <w:r>
        <w:rPr>
          <w:rFonts w:hint="eastAsia" w:ascii="仿宋" w:hAnsi="仿宋"/>
          <w:b/>
          <w:sz w:val="32"/>
          <w:szCs w:val="32"/>
        </w:rPr>
        <w:t>水平显著提升</w:t>
      </w:r>
      <w:r>
        <w:rPr>
          <w:rFonts w:ascii="仿宋" w:hAnsi="仿宋"/>
          <w:b/>
          <w:sz w:val="32"/>
          <w:szCs w:val="32"/>
        </w:rPr>
        <w:t>。</w:t>
      </w:r>
      <w:r>
        <w:rPr>
          <w:rFonts w:hint="eastAsia" w:ascii="仿宋" w:hAnsi="仿宋"/>
          <w:sz w:val="32"/>
          <w:szCs w:val="32"/>
        </w:rPr>
        <w:t>建成区</w:t>
      </w:r>
      <w:r>
        <w:rPr>
          <w:rFonts w:ascii="仿宋" w:hAnsi="仿宋"/>
          <w:sz w:val="32"/>
          <w:szCs w:val="32"/>
        </w:rPr>
        <w:t>黑臭水体基本消除。新建改造城乡污水管网1221公里，建成区污水管网</w:t>
      </w:r>
      <w:r>
        <w:rPr>
          <w:rFonts w:hint="eastAsia" w:ascii="仿宋" w:hAnsi="仿宋"/>
          <w:sz w:val="32"/>
          <w:szCs w:val="32"/>
        </w:rPr>
        <w:t>实现</w:t>
      </w:r>
      <w:r>
        <w:rPr>
          <w:rFonts w:ascii="仿宋" w:hAnsi="仿宋"/>
          <w:sz w:val="32"/>
          <w:szCs w:val="32"/>
        </w:rPr>
        <w:t>基本</w:t>
      </w:r>
      <w:r>
        <w:rPr>
          <w:rFonts w:hint="eastAsia" w:ascii="仿宋" w:hAnsi="仿宋"/>
          <w:sz w:val="32"/>
          <w:szCs w:val="32"/>
        </w:rPr>
        <w:t>全</w:t>
      </w:r>
      <w:r>
        <w:rPr>
          <w:rFonts w:ascii="仿宋" w:hAnsi="仿宋"/>
          <w:sz w:val="32"/>
          <w:szCs w:val="32"/>
        </w:rPr>
        <w:t>覆盖。城市生活污水处理能力逐年提高，新增污水处理能力16万吨/天，</w:t>
      </w:r>
      <w:r>
        <w:rPr>
          <w:rFonts w:hint="eastAsia" w:ascii="仿宋" w:hAnsi="仿宋"/>
          <w:sz w:val="32"/>
          <w:szCs w:val="32"/>
        </w:rPr>
        <w:t>城市</w:t>
      </w:r>
      <w:r>
        <w:rPr>
          <w:rFonts w:ascii="仿宋" w:hAnsi="仿宋"/>
          <w:sz w:val="32"/>
          <w:szCs w:val="32"/>
        </w:rPr>
        <w:t>生活污水处理率达到93.99%，污水泵站完好率保持95%以上。全面启动农村生活污水治理</w:t>
      </w:r>
      <w:r>
        <w:rPr>
          <w:rFonts w:hint="eastAsia" w:ascii="仿宋" w:hAnsi="仿宋"/>
          <w:sz w:val="32"/>
          <w:szCs w:val="32"/>
        </w:rPr>
        <w:t>，</w:t>
      </w:r>
      <w:r>
        <w:rPr>
          <w:rFonts w:ascii="仿宋" w:hAnsi="仿宋"/>
          <w:sz w:val="32"/>
          <w:szCs w:val="32"/>
        </w:rPr>
        <w:t>各县（市、区）因地制宜、灵活组合“纳管、集中、分散”三种技术路线开展农村生活污水治理</w:t>
      </w:r>
      <w:r>
        <w:rPr>
          <w:rFonts w:hint="eastAsia" w:ascii="仿宋" w:hAnsi="仿宋"/>
          <w:sz w:val="32"/>
          <w:szCs w:val="32"/>
        </w:rPr>
        <w:t>，全市完成农村污水整治村庄</w:t>
      </w:r>
      <w:r>
        <w:rPr>
          <w:rFonts w:ascii="仿宋" w:hAnsi="仿宋"/>
          <w:sz w:val="32"/>
          <w:szCs w:val="32"/>
        </w:rPr>
        <w:t>1334个，</w:t>
      </w:r>
      <w:r>
        <w:rPr>
          <w:rFonts w:hint="eastAsia" w:ascii="仿宋" w:hAnsi="仿宋"/>
          <w:sz w:val="32"/>
          <w:szCs w:val="32"/>
        </w:rPr>
        <w:t>受</w:t>
      </w:r>
      <w:r>
        <w:rPr>
          <w:rFonts w:ascii="仿宋" w:hAnsi="仿宋"/>
          <w:sz w:val="32"/>
          <w:szCs w:val="32"/>
        </w:rPr>
        <w:t>益农户占比达88.44%。</w:t>
      </w:r>
    </w:p>
    <w:p w14:paraId="3508C33B">
      <w:pPr>
        <w:snapToGrid w:val="0"/>
        <w:spacing w:line="540" w:lineRule="exact"/>
        <w:ind w:firstLine="643"/>
        <w:rPr>
          <w:rFonts w:ascii="仿宋" w:hAnsi="仿宋"/>
          <w:sz w:val="32"/>
          <w:szCs w:val="32"/>
        </w:rPr>
      </w:pPr>
      <w:r>
        <w:rPr>
          <w:rFonts w:hint="eastAsia" w:ascii="仿宋" w:hAnsi="仿宋"/>
          <w:b/>
          <w:sz w:val="32"/>
          <w:szCs w:val="32"/>
        </w:rPr>
        <w:t>环境卫生水平大幅提高。</w:t>
      </w:r>
      <w:r>
        <w:rPr>
          <w:rFonts w:ascii="仿宋" w:hAnsi="仿宋"/>
          <w:sz w:val="32"/>
          <w:szCs w:val="32"/>
        </w:rPr>
        <w:t>城市生活垃圾无害化处理率达到100%，垃圾主要品种回收率达到75%以上，85%以上社区及乡村实现回收功能全覆盖，85%以上的再生资源进行规范化的交易和集中处理，基本完成</w:t>
      </w:r>
      <w:r>
        <w:rPr>
          <w:rFonts w:hint="eastAsia" w:ascii="仿宋" w:hAnsi="仿宋"/>
          <w:sz w:val="32"/>
          <w:szCs w:val="32"/>
        </w:rPr>
        <w:t>全市</w:t>
      </w:r>
      <w:r>
        <w:rPr>
          <w:rFonts w:ascii="仿宋" w:hAnsi="仿宋"/>
          <w:sz w:val="32"/>
          <w:szCs w:val="32"/>
        </w:rPr>
        <w:t>存量垃圾治理。</w:t>
      </w:r>
      <w:r>
        <w:rPr>
          <w:rFonts w:hint="eastAsia" w:ascii="仿宋" w:hAnsi="仿宋"/>
          <w:sz w:val="32"/>
          <w:szCs w:val="32"/>
        </w:rPr>
        <w:t>推行生活垃圾分类工作，全市公共机构实现全覆盖，丰泽区、泉州开发区全域推进。</w:t>
      </w:r>
      <w:r>
        <w:rPr>
          <w:rFonts w:ascii="仿宋" w:hAnsi="仿宋"/>
          <w:sz w:val="32"/>
          <w:szCs w:val="32"/>
        </w:rPr>
        <w:t>全市133个乡镇生活垃圾转运系统和2060个行政村生活垃圾治理常态机制实现全覆盖，乡镇（集镇区）生活垃圾基本达到日产日清，顺利通过省级农村生活垃圾治理验收。全市基本实现“城区每万人有3</w:t>
      </w:r>
      <w:r>
        <w:rPr>
          <w:rFonts w:hint="eastAsia" w:ascii="Times New Roman" w:hAnsi="Times New Roman"/>
          <w:sz w:val="32"/>
          <w:szCs w:val="32"/>
        </w:rPr>
        <w:t>~</w:t>
      </w:r>
      <w:r>
        <w:rPr>
          <w:rFonts w:ascii="仿宋" w:hAnsi="仿宋"/>
          <w:sz w:val="32"/>
          <w:szCs w:val="32"/>
        </w:rPr>
        <w:t>4座，步行15分钟左右有1座公厕、乡镇所在地公厕全覆盖，镇区每万人3</w:t>
      </w:r>
      <w:r>
        <w:rPr>
          <w:rFonts w:hint="eastAsia" w:ascii="Times New Roman" w:hAnsi="Times New Roman"/>
          <w:sz w:val="32"/>
          <w:szCs w:val="32"/>
        </w:rPr>
        <w:t>~</w:t>
      </w:r>
      <w:r>
        <w:rPr>
          <w:rFonts w:ascii="仿宋" w:hAnsi="仿宋"/>
          <w:sz w:val="32"/>
          <w:szCs w:val="32"/>
        </w:rPr>
        <w:t>4座水冲式公厕、行政村村村都有</w:t>
      </w:r>
      <w:r>
        <w:rPr>
          <w:rFonts w:hint="eastAsia" w:ascii="仿宋" w:hAnsi="仿宋"/>
          <w:sz w:val="32"/>
          <w:szCs w:val="32"/>
        </w:rPr>
        <w:t>1</w:t>
      </w:r>
      <w:r>
        <w:rPr>
          <w:rFonts w:ascii="仿宋" w:hAnsi="仿宋"/>
          <w:sz w:val="32"/>
          <w:szCs w:val="32"/>
        </w:rPr>
        <w:t>个水冲式公厕”的标准</w:t>
      </w:r>
      <w:r>
        <w:rPr>
          <w:rFonts w:hint="eastAsia" w:ascii="仿宋" w:hAnsi="仿宋"/>
          <w:sz w:val="32"/>
          <w:szCs w:val="32"/>
        </w:rPr>
        <w:t>，</w:t>
      </w:r>
      <w:r>
        <w:rPr>
          <w:rFonts w:ascii="仿宋" w:hAnsi="仿宋"/>
          <w:sz w:val="32"/>
          <w:szCs w:val="32"/>
        </w:rPr>
        <w:t>市民如厕满意度得到显著提升。</w:t>
      </w:r>
    </w:p>
    <w:p w14:paraId="5A7DA6F9">
      <w:pPr>
        <w:snapToGrid w:val="0"/>
        <w:spacing w:line="540" w:lineRule="exact"/>
        <w:ind w:firstLine="643"/>
        <w:rPr>
          <w:rFonts w:ascii="仿宋" w:hAnsi="仿宋"/>
          <w:kern w:val="0"/>
          <w:sz w:val="32"/>
          <w:szCs w:val="32"/>
        </w:rPr>
      </w:pPr>
      <w:r>
        <w:rPr>
          <w:rFonts w:ascii="仿宋" w:hAnsi="仿宋"/>
          <w:b/>
          <w:kern w:val="0"/>
          <w:sz w:val="32"/>
          <w:szCs w:val="32"/>
        </w:rPr>
        <w:t>城市排水防涝能力有效提升</w:t>
      </w:r>
      <w:r>
        <w:rPr>
          <w:rFonts w:hint="eastAsia" w:ascii="仿宋" w:hAnsi="仿宋"/>
          <w:kern w:val="0"/>
          <w:sz w:val="32"/>
          <w:szCs w:val="32"/>
        </w:rPr>
        <w:t>。</w:t>
      </w:r>
      <w:r>
        <w:rPr>
          <w:rFonts w:ascii="仿宋" w:hAnsi="仿宋"/>
          <w:kern w:val="0"/>
          <w:sz w:val="32"/>
          <w:szCs w:val="32"/>
        </w:rPr>
        <w:t>实施泉州市排水防涝改善提升三年行动计划，</w:t>
      </w:r>
      <w:r>
        <w:rPr>
          <w:rFonts w:hint="eastAsia" w:ascii="仿宋" w:hAnsi="仿宋"/>
          <w:kern w:val="0"/>
          <w:sz w:val="32"/>
          <w:szCs w:val="32"/>
        </w:rPr>
        <w:t>完成</w:t>
      </w:r>
      <w:r>
        <w:rPr>
          <w:rFonts w:ascii="仿宋" w:hAnsi="仿宋"/>
          <w:kern w:val="0"/>
          <w:sz w:val="32"/>
          <w:szCs w:val="32"/>
        </w:rPr>
        <w:t>浦西滞洪区二期</w:t>
      </w:r>
      <w:r>
        <w:rPr>
          <w:rFonts w:hint="eastAsia" w:ascii="仿宋" w:hAnsi="仿宋"/>
          <w:kern w:val="0"/>
          <w:sz w:val="32"/>
          <w:szCs w:val="32"/>
        </w:rPr>
        <w:t>、</w:t>
      </w:r>
      <w:r>
        <w:rPr>
          <w:rFonts w:ascii="仿宋" w:hAnsi="仿宋"/>
          <w:kern w:val="0"/>
          <w:sz w:val="32"/>
          <w:szCs w:val="32"/>
        </w:rPr>
        <w:t>丰州排涝泵站、霞美村排洪渠等一批滞洪排涝设施</w:t>
      </w:r>
      <w:r>
        <w:rPr>
          <w:rFonts w:hint="eastAsia" w:ascii="仿宋" w:hAnsi="仿宋"/>
          <w:kern w:val="0"/>
          <w:sz w:val="32"/>
          <w:szCs w:val="32"/>
        </w:rPr>
        <w:t>建设</w:t>
      </w:r>
      <w:r>
        <w:rPr>
          <w:rFonts w:ascii="仿宋" w:hAnsi="仿宋"/>
          <w:kern w:val="0"/>
          <w:sz w:val="32"/>
          <w:szCs w:val="32"/>
        </w:rPr>
        <w:t>，进一步完善了市区以城市内沟河、滞洪区及电排泵站为主的城市蓄排系统（城市防涝体系）。</w:t>
      </w:r>
      <w:r>
        <w:rPr>
          <w:rFonts w:hint="eastAsia" w:ascii="仿宋" w:hAnsi="仿宋"/>
          <w:kern w:val="0"/>
          <w:sz w:val="32"/>
          <w:szCs w:val="32"/>
        </w:rPr>
        <w:t>“十三五”期间累计</w:t>
      </w:r>
      <w:r>
        <w:rPr>
          <w:rFonts w:ascii="仿宋" w:hAnsi="仿宋"/>
          <w:kern w:val="0"/>
          <w:sz w:val="32"/>
          <w:szCs w:val="32"/>
        </w:rPr>
        <w:t>完成内涝整治项目41个，消除历史积水点159个，内涝防治水平明显提高。</w:t>
      </w:r>
    </w:p>
    <w:p w14:paraId="17CD9815">
      <w:pPr>
        <w:snapToGrid w:val="0"/>
        <w:spacing w:line="540" w:lineRule="exact"/>
        <w:ind w:firstLine="643"/>
        <w:outlineLvl w:val="2"/>
        <w:rPr>
          <w:rFonts w:ascii="楷体" w:hAnsi="楷体" w:eastAsia="楷体"/>
          <w:b/>
          <w:bCs/>
          <w:kern w:val="0"/>
          <w:sz w:val="32"/>
          <w:szCs w:val="32"/>
        </w:rPr>
      </w:pPr>
      <w:bookmarkStart w:id="27" w:name="_Toc25218"/>
      <w:bookmarkStart w:id="28" w:name="_Toc11819"/>
      <w:bookmarkStart w:id="29" w:name="_Toc31685"/>
      <w:bookmarkStart w:id="30" w:name="_Toc8459"/>
      <w:bookmarkStart w:id="31" w:name="_Toc11338"/>
      <w:r>
        <w:rPr>
          <w:rFonts w:hint="eastAsia" w:ascii="楷体" w:hAnsi="楷体" w:eastAsia="楷体"/>
          <w:b/>
          <w:bCs/>
          <w:kern w:val="0"/>
          <w:sz w:val="32"/>
          <w:szCs w:val="32"/>
        </w:rPr>
        <w:t>（三）坚持古城提质活态化，品牌效应明显提升</w:t>
      </w:r>
      <w:bookmarkEnd w:id="27"/>
      <w:bookmarkEnd w:id="28"/>
      <w:bookmarkEnd w:id="29"/>
      <w:bookmarkEnd w:id="30"/>
      <w:bookmarkEnd w:id="31"/>
    </w:p>
    <w:p w14:paraId="6AA7025B">
      <w:pPr>
        <w:snapToGrid w:val="0"/>
        <w:spacing w:line="540" w:lineRule="exact"/>
        <w:ind w:firstLine="643"/>
        <w:rPr>
          <w:rFonts w:ascii="仿宋" w:hAnsi="仿宋"/>
          <w:kern w:val="0"/>
          <w:sz w:val="32"/>
          <w:szCs w:val="32"/>
        </w:rPr>
      </w:pPr>
      <w:r>
        <w:rPr>
          <w:rFonts w:hint="eastAsia" w:ascii="仿宋" w:hAnsi="仿宋"/>
          <w:b/>
          <w:bCs/>
          <w:kern w:val="0"/>
          <w:sz w:val="32"/>
          <w:szCs w:val="32"/>
        </w:rPr>
        <w:t>古城焕发生机</w:t>
      </w:r>
      <w:r>
        <w:rPr>
          <w:rFonts w:ascii="仿宋" w:hAnsi="仿宋"/>
          <w:b/>
          <w:bCs/>
          <w:kern w:val="0"/>
          <w:sz w:val="32"/>
          <w:szCs w:val="32"/>
        </w:rPr>
        <w:t>。</w:t>
      </w:r>
      <w:r>
        <w:rPr>
          <w:rFonts w:hint="eastAsia" w:ascii="仿宋" w:hAnsi="仿宋"/>
          <w:kern w:val="0"/>
          <w:sz w:val="32"/>
          <w:szCs w:val="32"/>
        </w:rPr>
        <w:t>古街巷、古大厝原真保护，留存市井烟火气，金鱼巷、中山路等街巷微改造成为保护的生动实践，将</w:t>
      </w:r>
      <w:r>
        <w:rPr>
          <w:rFonts w:ascii="仿宋" w:hAnsi="仿宋"/>
          <w:kern w:val="0"/>
          <w:sz w:val="32"/>
          <w:szCs w:val="32"/>
        </w:rPr>
        <w:t>6.41平方公里的泉州古城打造成为见人见物见生活的“活样本”。围绕“古城活化、古街复原、古村提升、古厝保护”，对全市2个历史文化街区、2个历史文化名镇、20个历史文化名村传统村落常态化开展保护，守护泉州文脉。</w:t>
      </w:r>
    </w:p>
    <w:p w14:paraId="2491F014">
      <w:pPr>
        <w:snapToGrid w:val="0"/>
        <w:spacing w:line="540" w:lineRule="exact"/>
        <w:ind w:firstLine="643"/>
        <w:rPr>
          <w:rFonts w:ascii="仿宋" w:hAnsi="仿宋"/>
          <w:kern w:val="0"/>
          <w:sz w:val="32"/>
          <w:szCs w:val="32"/>
        </w:rPr>
      </w:pPr>
      <w:r>
        <w:rPr>
          <w:rFonts w:ascii="仿宋" w:hAnsi="仿宋"/>
          <w:b/>
          <w:bCs/>
          <w:kern w:val="0"/>
          <w:sz w:val="32"/>
          <w:szCs w:val="32"/>
        </w:rPr>
        <w:t>申遗工作取得新突破。</w:t>
      </w:r>
      <w:r>
        <w:rPr>
          <w:rFonts w:hint="eastAsia" w:ascii="仿宋" w:hAnsi="仿宋"/>
          <w:kern w:val="0"/>
          <w:sz w:val="32"/>
          <w:szCs w:val="32"/>
        </w:rPr>
        <w:t>做好22个遗产点保护修缮，世界遗产周边环境整治有序进行</w:t>
      </w:r>
      <w:r>
        <w:rPr>
          <w:rFonts w:ascii="仿宋" w:hAnsi="仿宋"/>
          <w:kern w:val="0"/>
          <w:sz w:val="32"/>
          <w:szCs w:val="32"/>
        </w:rPr>
        <w:t>，遗产点周边环境风貌得到有效提升。</w:t>
      </w:r>
      <w:r>
        <w:rPr>
          <w:rFonts w:ascii="仿宋" w:hAnsi="仿宋"/>
          <w:bCs/>
          <w:kern w:val="0"/>
          <w:sz w:val="32"/>
          <w:szCs w:val="32"/>
        </w:rPr>
        <w:t>“</w:t>
      </w:r>
      <w:r>
        <w:rPr>
          <w:rFonts w:ascii="仿宋" w:hAnsi="仿宋"/>
          <w:kern w:val="0"/>
          <w:sz w:val="32"/>
          <w:szCs w:val="32"/>
        </w:rPr>
        <w:t>泉州：宋元中国的世界海洋商贸中心”被列入我国2020年申遗项目，泉州旅游品牌知名度得到了极大</w:t>
      </w:r>
      <w:r>
        <w:rPr>
          <w:rFonts w:hint="eastAsia" w:ascii="仿宋" w:hAnsi="仿宋"/>
          <w:kern w:val="0"/>
          <w:sz w:val="32"/>
          <w:szCs w:val="32"/>
        </w:rPr>
        <w:t>提升，全市旅游接待总人次、</w:t>
      </w:r>
      <w:r>
        <w:rPr>
          <w:rFonts w:ascii="仿宋" w:hAnsi="仿宋"/>
          <w:kern w:val="0"/>
          <w:sz w:val="32"/>
          <w:szCs w:val="32"/>
        </w:rPr>
        <w:t>旅游总收入</w:t>
      </w:r>
      <w:r>
        <w:rPr>
          <w:rFonts w:hint="eastAsia" w:ascii="仿宋" w:hAnsi="仿宋"/>
          <w:kern w:val="0"/>
          <w:sz w:val="32"/>
          <w:szCs w:val="32"/>
        </w:rPr>
        <w:t>分别从</w:t>
      </w:r>
      <w:r>
        <w:rPr>
          <w:rFonts w:ascii="仿宋" w:hAnsi="仿宋"/>
          <w:kern w:val="0"/>
          <w:sz w:val="32"/>
          <w:szCs w:val="32"/>
        </w:rPr>
        <w:t>2015年</w:t>
      </w:r>
      <w:r>
        <w:rPr>
          <w:rFonts w:hint="eastAsia" w:ascii="仿宋" w:hAnsi="仿宋"/>
          <w:kern w:val="0"/>
          <w:sz w:val="32"/>
          <w:szCs w:val="32"/>
        </w:rPr>
        <w:t>的</w:t>
      </w:r>
      <w:r>
        <w:rPr>
          <w:rFonts w:ascii="仿宋" w:hAnsi="仿宋"/>
          <w:kern w:val="0"/>
          <w:sz w:val="32"/>
          <w:szCs w:val="32"/>
        </w:rPr>
        <w:t>5125.31万人次</w:t>
      </w:r>
      <w:r>
        <w:rPr>
          <w:rFonts w:hint="eastAsia" w:ascii="仿宋" w:hAnsi="仿宋"/>
          <w:kern w:val="0"/>
          <w:sz w:val="32"/>
          <w:szCs w:val="32"/>
        </w:rPr>
        <w:t>、</w:t>
      </w:r>
      <w:r>
        <w:rPr>
          <w:rFonts w:ascii="仿宋" w:hAnsi="仿宋"/>
          <w:kern w:val="0"/>
          <w:sz w:val="32"/>
          <w:szCs w:val="32"/>
        </w:rPr>
        <w:t>617.89亿元提升至2019年的7801.16万人次</w:t>
      </w:r>
      <w:r>
        <w:rPr>
          <w:rFonts w:hint="eastAsia" w:ascii="仿宋" w:hAnsi="仿宋"/>
          <w:kern w:val="0"/>
          <w:sz w:val="32"/>
          <w:szCs w:val="32"/>
        </w:rPr>
        <w:t>、</w:t>
      </w:r>
      <w:r>
        <w:rPr>
          <w:rFonts w:ascii="仿宋" w:hAnsi="仿宋"/>
          <w:kern w:val="0"/>
          <w:sz w:val="32"/>
          <w:szCs w:val="32"/>
        </w:rPr>
        <w:t>1312.68亿元。</w:t>
      </w:r>
    </w:p>
    <w:p w14:paraId="4D2FAF10">
      <w:pPr>
        <w:snapToGrid w:val="0"/>
        <w:spacing w:before="156" w:beforeLines="50" w:line="540" w:lineRule="exact"/>
        <w:ind w:firstLine="643"/>
        <w:outlineLvl w:val="2"/>
        <w:rPr>
          <w:rFonts w:ascii="楷体" w:hAnsi="楷体" w:eastAsia="楷体"/>
          <w:b/>
          <w:bCs/>
          <w:kern w:val="0"/>
          <w:sz w:val="32"/>
          <w:szCs w:val="32"/>
        </w:rPr>
      </w:pPr>
      <w:bookmarkStart w:id="32" w:name="_Toc29619"/>
      <w:bookmarkStart w:id="33" w:name="_Toc1637"/>
      <w:bookmarkStart w:id="34" w:name="_Toc29029"/>
      <w:bookmarkStart w:id="35" w:name="_Toc17056"/>
      <w:bookmarkStart w:id="36" w:name="_Toc27179"/>
      <w:r>
        <w:rPr>
          <w:rFonts w:hint="eastAsia" w:ascii="楷体" w:hAnsi="楷体" w:eastAsia="楷体"/>
          <w:b/>
          <w:bCs/>
          <w:kern w:val="0"/>
          <w:sz w:val="32"/>
          <w:szCs w:val="32"/>
        </w:rPr>
        <w:t>（四）坚持改革创新不停步，管理效能显著</w:t>
      </w:r>
      <w:bookmarkEnd w:id="32"/>
      <w:bookmarkEnd w:id="33"/>
      <w:bookmarkEnd w:id="34"/>
      <w:bookmarkEnd w:id="35"/>
      <w:r>
        <w:rPr>
          <w:rFonts w:hint="eastAsia" w:ascii="楷体" w:hAnsi="楷体" w:eastAsia="楷体"/>
          <w:b/>
          <w:bCs/>
          <w:kern w:val="0"/>
          <w:sz w:val="32"/>
          <w:szCs w:val="32"/>
        </w:rPr>
        <w:t>提升</w:t>
      </w:r>
      <w:bookmarkEnd w:id="36"/>
    </w:p>
    <w:p w14:paraId="6AC7AF03">
      <w:pPr>
        <w:snapToGrid w:val="0"/>
        <w:spacing w:line="540" w:lineRule="exact"/>
        <w:ind w:firstLine="643"/>
        <w:rPr>
          <w:rFonts w:ascii="仿宋" w:hAnsi="仿宋"/>
          <w:sz w:val="32"/>
          <w:szCs w:val="32"/>
        </w:rPr>
      </w:pPr>
      <w:r>
        <w:rPr>
          <w:rFonts w:ascii="仿宋" w:hAnsi="仿宋"/>
          <w:b/>
          <w:sz w:val="32"/>
          <w:szCs w:val="32"/>
        </w:rPr>
        <w:t>公共管理服务信息化初见成效。</w:t>
      </w:r>
      <w:r>
        <w:rPr>
          <w:rFonts w:ascii="仿宋" w:hAnsi="仿宋"/>
          <w:sz w:val="32"/>
          <w:szCs w:val="32"/>
        </w:rPr>
        <w:t>政务服务创新升级，全省首创“区块链+电子证照”技术；建成全程式网上审批平台、行政执法信息平台和综合电子监察系统；“中国泉州”政府门户网站初具规模，实现全市大部分政府网上资源的整合；城市运行与管理成效显著，数字城管、交通管理、环境监控、水资源管理、森林防火等信息平台建设不断推进；城市公共应急与安全深入推进，建立了基于GIS平台搭建的城市应急指挥系统；数字化城市管理平台已与国家平台联网。</w:t>
      </w:r>
    </w:p>
    <w:p w14:paraId="6E31ADD2">
      <w:pPr>
        <w:snapToGrid w:val="0"/>
        <w:spacing w:line="540" w:lineRule="exact"/>
        <w:ind w:firstLine="643"/>
        <w:rPr>
          <w:rFonts w:ascii="仿宋" w:hAnsi="仿宋"/>
          <w:sz w:val="32"/>
          <w:szCs w:val="32"/>
        </w:rPr>
      </w:pPr>
      <w:r>
        <w:rPr>
          <w:rFonts w:ascii="仿宋" w:hAnsi="仿宋"/>
          <w:b/>
          <w:sz w:val="32"/>
          <w:szCs w:val="32"/>
        </w:rPr>
        <w:t>城市管理</w:t>
      </w:r>
      <w:r>
        <w:rPr>
          <w:rFonts w:hint="eastAsia" w:ascii="仿宋" w:hAnsi="仿宋"/>
          <w:b/>
          <w:sz w:val="32"/>
          <w:szCs w:val="32"/>
        </w:rPr>
        <w:t>法规体系</w:t>
      </w:r>
      <w:r>
        <w:rPr>
          <w:rFonts w:ascii="仿宋" w:hAnsi="仿宋"/>
          <w:b/>
          <w:sz w:val="32"/>
          <w:szCs w:val="32"/>
        </w:rPr>
        <w:t>日趋完善。</w:t>
      </w:r>
      <w:r>
        <w:rPr>
          <w:rFonts w:hint="eastAsia" w:ascii="仿宋" w:hAnsi="仿宋"/>
          <w:sz w:val="32"/>
          <w:szCs w:val="32"/>
        </w:rPr>
        <w:t>“</w:t>
      </w:r>
      <w:r>
        <w:rPr>
          <w:rFonts w:ascii="仿宋" w:hAnsi="仿宋"/>
          <w:sz w:val="32"/>
          <w:szCs w:val="32"/>
        </w:rPr>
        <w:t>十三五”期间，出台《泉州市市区内沟河保护管理条例》《泉州市城市户外广告设施设置管理规定》《泉州市城市户外广告精细化管理实施细则》等法规，并编制《泉州市城市管理精细化标准》《泉州市园林植物推荐名录》等技术标准，精准施策监管，推进城市品质提升。</w:t>
      </w:r>
    </w:p>
    <w:p w14:paraId="72D74B8F">
      <w:pPr>
        <w:pStyle w:val="3"/>
        <w:spacing w:before="156" w:beforeLines="50" w:after="156" w:afterLines="50" w:line="540" w:lineRule="exact"/>
        <w:ind w:firstLine="643" w:firstLineChars="200"/>
        <w:rPr>
          <w:rFonts w:ascii="黑体" w:hAnsi="黑体" w:eastAsia="黑体"/>
          <w:sz w:val="32"/>
        </w:rPr>
      </w:pPr>
      <w:bookmarkStart w:id="37" w:name="_Toc16429"/>
      <w:bookmarkStart w:id="38" w:name="_Toc9366"/>
      <w:bookmarkStart w:id="39" w:name="_Toc24450"/>
      <w:bookmarkStart w:id="40" w:name="_Toc9984"/>
      <w:bookmarkStart w:id="41" w:name="_Toc8375"/>
      <w:r>
        <w:rPr>
          <w:rFonts w:hint="eastAsia" w:ascii="黑体" w:hAnsi="黑体" w:eastAsia="黑体"/>
          <w:sz w:val="32"/>
        </w:rPr>
        <w:t>二、存在的主要问题</w:t>
      </w:r>
      <w:bookmarkEnd w:id="37"/>
      <w:bookmarkEnd w:id="38"/>
      <w:bookmarkEnd w:id="39"/>
      <w:bookmarkEnd w:id="40"/>
      <w:bookmarkEnd w:id="41"/>
    </w:p>
    <w:p w14:paraId="642428BD">
      <w:pPr>
        <w:snapToGrid w:val="0"/>
        <w:spacing w:line="540" w:lineRule="exact"/>
        <w:ind w:firstLine="640"/>
        <w:rPr>
          <w:rFonts w:ascii="仿宋" w:hAnsi="仿宋"/>
          <w:kern w:val="0"/>
          <w:sz w:val="32"/>
          <w:szCs w:val="32"/>
        </w:rPr>
      </w:pPr>
      <w:r>
        <w:rPr>
          <w:rFonts w:ascii="仿宋" w:hAnsi="仿宋"/>
          <w:kern w:val="0"/>
          <w:sz w:val="32"/>
          <w:szCs w:val="32"/>
        </w:rPr>
        <w:t>“</w:t>
      </w:r>
      <w:r>
        <w:rPr>
          <w:rFonts w:hint="eastAsia" w:ascii="仿宋" w:hAnsi="仿宋"/>
          <w:kern w:val="0"/>
          <w:sz w:val="32"/>
          <w:szCs w:val="32"/>
        </w:rPr>
        <w:t>十三五”期间，泉州市城乡基础设施建设与管理取得了长足发展，但对标全方位推进高质量发展超越的目标要求及发达地区城市发展水平仍有差距</w:t>
      </w:r>
      <w:r>
        <w:rPr>
          <w:rFonts w:ascii="仿宋" w:hAnsi="仿宋"/>
          <w:kern w:val="0"/>
          <w:sz w:val="32"/>
          <w:szCs w:val="32"/>
        </w:rPr>
        <w:t>。泉州连续22年GDP</w:t>
      </w:r>
      <w:r>
        <w:rPr>
          <w:rFonts w:hint="eastAsia" w:ascii="仿宋" w:hAnsi="仿宋"/>
          <w:kern w:val="0"/>
          <w:sz w:val="32"/>
          <w:szCs w:val="32"/>
        </w:rPr>
        <w:t>排名</w:t>
      </w:r>
      <w:r>
        <w:rPr>
          <w:rFonts w:ascii="仿宋" w:hAnsi="仿宋"/>
          <w:kern w:val="0"/>
          <w:sz w:val="32"/>
          <w:szCs w:val="32"/>
        </w:rPr>
        <w:t>全省第一</w:t>
      </w:r>
      <w:r>
        <w:rPr>
          <w:rStyle w:val="29"/>
          <w:rFonts w:ascii="仿宋" w:hAnsi="仿宋"/>
          <w:kern w:val="0"/>
          <w:sz w:val="32"/>
          <w:szCs w:val="32"/>
        </w:rPr>
        <w:footnoteReference w:id="3"/>
      </w:r>
      <w:r>
        <w:rPr>
          <w:rFonts w:ascii="仿宋" w:hAnsi="仿宋"/>
          <w:kern w:val="0"/>
          <w:sz w:val="32"/>
          <w:szCs w:val="32"/>
        </w:rPr>
        <w:t>，但城乡基础设施建设管理水平与其经济水平不相匹配</w:t>
      </w:r>
      <w:r>
        <w:rPr>
          <w:rFonts w:hint="eastAsia" w:ascii="仿宋" w:hAnsi="仿宋"/>
          <w:kern w:val="0"/>
          <w:sz w:val="32"/>
          <w:szCs w:val="32"/>
        </w:rPr>
        <w:t>，</w:t>
      </w:r>
      <w:r>
        <w:rPr>
          <w:rFonts w:ascii="仿宋" w:hAnsi="仿宋"/>
          <w:kern w:val="0"/>
          <w:sz w:val="32"/>
          <w:szCs w:val="32"/>
        </w:rPr>
        <w:t>中心城市能级</w:t>
      </w:r>
      <w:r>
        <w:rPr>
          <w:rFonts w:hint="eastAsia" w:ascii="仿宋" w:hAnsi="仿宋"/>
          <w:kern w:val="0"/>
          <w:sz w:val="32"/>
          <w:szCs w:val="32"/>
        </w:rPr>
        <w:t>较</w:t>
      </w:r>
      <w:r>
        <w:rPr>
          <w:rFonts w:ascii="仿宋" w:hAnsi="仿宋"/>
          <w:kern w:val="0"/>
          <w:sz w:val="32"/>
          <w:szCs w:val="32"/>
        </w:rPr>
        <w:t>低</w:t>
      </w:r>
      <w:r>
        <w:rPr>
          <w:rFonts w:hint="eastAsia" w:ascii="仿宋" w:hAnsi="仿宋"/>
          <w:kern w:val="0"/>
          <w:sz w:val="32"/>
          <w:szCs w:val="32"/>
        </w:rPr>
        <w:t>，</w:t>
      </w:r>
      <w:r>
        <w:rPr>
          <w:rFonts w:ascii="仿宋" w:hAnsi="仿宋"/>
          <w:kern w:val="0"/>
          <w:sz w:val="32"/>
          <w:szCs w:val="32"/>
        </w:rPr>
        <w:t>海丝先行区建设尚未拉开局面</w:t>
      </w:r>
      <w:r>
        <w:rPr>
          <w:rFonts w:hint="eastAsia" w:ascii="仿宋" w:hAnsi="仿宋"/>
          <w:kern w:val="0"/>
          <w:sz w:val="32"/>
          <w:szCs w:val="32"/>
        </w:rPr>
        <w:t>，人居环境、</w:t>
      </w:r>
      <w:r>
        <w:rPr>
          <w:rFonts w:ascii="仿宋" w:hAnsi="仿宋"/>
          <w:kern w:val="0"/>
          <w:sz w:val="32"/>
          <w:szCs w:val="32"/>
        </w:rPr>
        <w:t>社会治理与人民群众的期盼还有差距。</w:t>
      </w:r>
    </w:p>
    <w:p w14:paraId="7EEE1911">
      <w:pPr>
        <w:snapToGrid w:val="0"/>
        <w:spacing w:line="540" w:lineRule="exact"/>
        <w:ind w:firstLine="643"/>
        <w:outlineLvl w:val="2"/>
        <w:rPr>
          <w:rFonts w:ascii="楷体" w:hAnsi="楷体" w:eastAsia="楷体"/>
          <w:b/>
          <w:bCs/>
          <w:kern w:val="0"/>
          <w:sz w:val="32"/>
          <w:szCs w:val="32"/>
        </w:rPr>
      </w:pPr>
      <w:bookmarkStart w:id="42" w:name="_Toc14418"/>
      <w:bookmarkStart w:id="43" w:name="_Toc88670204"/>
      <w:bookmarkStart w:id="44" w:name="_Toc1078"/>
      <w:bookmarkStart w:id="45" w:name="_Toc15457"/>
      <w:bookmarkStart w:id="46" w:name="_Toc3237"/>
      <w:bookmarkStart w:id="47" w:name="_Toc18026"/>
      <w:r>
        <w:rPr>
          <w:rFonts w:hint="eastAsia" w:ascii="楷体" w:hAnsi="楷体" w:eastAsia="楷体"/>
          <w:b/>
          <w:bCs/>
          <w:kern w:val="0"/>
          <w:sz w:val="32"/>
          <w:szCs w:val="32"/>
        </w:rPr>
        <w:t>（一）城</w:t>
      </w:r>
      <w:bookmarkEnd w:id="42"/>
      <w:bookmarkEnd w:id="43"/>
      <w:bookmarkEnd w:id="44"/>
      <w:bookmarkEnd w:id="45"/>
      <w:bookmarkEnd w:id="46"/>
      <w:r>
        <w:rPr>
          <w:rFonts w:hint="eastAsia" w:ascii="楷体" w:hAnsi="楷体" w:eastAsia="楷体"/>
          <w:b/>
          <w:bCs/>
          <w:kern w:val="0"/>
          <w:sz w:val="32"/>
          <w:szCs w:val="32"/>
        </w:rPr>
        <w:t>乡基础设施供需矛盾较为突出</w:t>
      </w:r>
      <w:bookmarkEnd w:id="47"/>
    </w:p>
    <w:p w14:paraId="731A2A0D">
      <w:pPr>
        <w:snapToGrid w:val="0"/>
        <w:spacing w:line="540" w:lineRule="exact"/>
        <w:ind w:firstLine="640"/>
        <w:rPr>
          <w:rFonts w:ascii="仿宋" w:hAnsi="仿宋"/>
          <w:sz w:val="32"/>
          <w:szCs w:val="32"/>
        </w:rPr>
      </w:pPr>
      <w:r>
        <w:rPr>
          <w:rFonts w:hint="eastAsia" w:ascii="仿宋" w:hAnsi="仿宋"/>
          <w:sz w:val="32"/>
          <w:szCs w:val="32"/>
        </w:rPr>
        <w:t>市域大中运量公共交通建设尚未启动，组团间交通通道体系尚未完全形成，城市路网级配不合理，片区内部微循环部分未打通，“行路难、停车难”依然突出。水资源时空分布不均，水资源供给制约城市、产业发展，部分县（市）双水源或应急水源建设滞后，供水安全保障程度低。市区污水处理能力存在缺口，老城区管网混接错接、破损、雨污合流等依然存在，市区内河水系综合治理项目推进滞后。城市防洪排涝能力不足，大型滞洪区建设有待进一步推进，内沟河排涝能力不达标，海绵城市建设相对滞后，城市积水内涝问题依然存在。生活垃圾分类收集、转运、处理设施体系还不完善，存在一定混收混运现象。</w:t>
      </w:r>
    </w:p>
    <w:p w14:paraId="469029E6">
      <w:pPr>
        <w:snapToGrid w:val="0"/>
        <w:spacing w:line="540" w:lineRule="exact"/>
        <w:ind w:firstLine="643"/>
        <w:outlineLvl w:val="2"/>
        <w:rPr>
          <w:rFonts w:ascii="楷体" w:hAnsi="楷体" w:eastAsia="楷体"/>
          <w:b/>
          <w:bCs/>
          <w:kern w:val="0"/>
          <w:sz w:val="32"/>
          <w:szCs w:val="32"/>
        </w:rPr>
      </w:pPr>
      <w:bookmarkStart w:id="48" w:name="_Toc9429"/>
      <w:bookmarkStart w:id="49" w:name="_Toc11268"/>
      <w:bookmarkStart w:id="50" w:name="_Toc23679"/>
      <w:bookmarkStart w:id="51" w:name="_Toc7674"/>
      <w:bookmarkStart w:id="52" w:name="_Toc88670205"/>
      <w:bookmarkStart w:id="53" w:name="_Toc13654"/>
      <w:r>
        <w:rPr>
          <w:rFonts w:hint="eastAsia" w:ascii="楷体" w:hAnsi="楷体" w:eastAsia="楷体"/>
          <w:b/>
          <w:bCs/>
          <w:kern w:val="0"/>
          <w:sz w:val="32"/>
          <w:szCs w:val="32"/>
        </w:rPr>
        <w:t>（二）城乡</w:t>
      </w:r>
      <w:bookmarkEnd w:id="48"/>
      <w:bookmarkEnd w:id="49"/>
      <w:bookmarkEnd w:id="50"/>
      <w:bookmarkEnd w:id="51"/>
      <w:bookmarkEnd w:id="52"/>
      <w:r>
        <w:rPr>
          <w:rFonts w:hint="eastAsia" w:ascii="楷体" w:hAnsi="楷体" w:eastAsia="楷体"/>
          <w:b/>
          <w:bCs/>
          <w:kern w:val="0"/>
          <w:sz w:val="32"/>
          <w:szCs w:val="32"/>
        </w:rPr>
        <w:t>基础设施功能品质有待提升</w:t>
      </w:r>
      <w:bookmarkEnd w:id="53"/>
    </w:p>
    <w:p w14:paraId="2ED26212">
      <w:pPr>
        <w:pStyle w:val="31"/>
        <w:spacing w:line="540" w:lineRule="exact"/>
        <w:ind w:firstLine="640"/>
        <w:rPr>
          <w:rFonts w:ascii="仿宋" w:hAnsi="仿宋"/>
          <w:sz w:val="32"/>
          <w:szCs w:val="32"/>
        </w:rPr>
      </w:pPr>
      <w:r>
        <w:rPr>
          <w:rFonts w:hint="eastAsia" w:ascii="仿宋" w:hAnsi="仿宋"/>
          <w:sz w:val="32"/>
          <w:szCs w:val="32"/>
        </w:rPr>
        <w:t>面向智造强市、品质泉州、全国民营经济示范城市的建设目标，城乡基础设施在整体性、系统性、宜居性和包容性等方面仍待进一步发展。城市高快速路体系尚未形成，重大交通枢纽节点集散乱象仍存在，绿色节能基础设施未普及，城市无障碍设施系统性有待加强。以城市内河水系、公园绿地、文化遗产等为载体打造的高品质公共空间不足，与市民对高品质生活需求不相匹配。同时</w:t>
      </w:r>
      <w:r>
        <w:rPr>
          <w:rFonts w:ascii="仿宋" w:hAnsi="仿宋"/>
          <w:sz w:val="32"/>
          <w:szCs w:val="32"/>
        </w:rPr>
        <w:t>，</w:t>
      </w:r>
      <w:r>
        <w:rPr>
          <w:rFonts w:hint="eastAsia" w:ascii="仿宋" w:hAnsi="仿宋"/>
          <w:sz w:val="32"/>
          <w:szCs w:val="32"/>
        </w:rPr>
        <w:t>通过城市体检评估发现并解决城建短板问题的机制尚未形成。</w:t>
      </w:r>
    </w:p>
    <w:p w14:paraId="79B7B640">
      <w:pPr>
        <w:snapToGrid w:val="0"/>
        <w:spacing w:line="540" w:lineRule="exact"/>
        <w:ind w:firstLine="643"/>
        <w:outlineLvl w:val="2"/>
        <w:rPr>
          <w:rFonts w:ascii="楷体" w:hAnsi="楷体" w:eastAsia="楷体"/>
          <w:b/>
          <w:bCs/>
          <w:kern w:val="0"/>
          <w:sz w:val="32"/>
          <w:szCs w:val="32"/>
        </w:rPr>
      </w:pPr>
      <w:bookmarkStart w:id="54" w:name="_Toc1817"/>
      <w:bookmarkStart w:id="55" w:name="_Toc10481"/>
      <w:bookmarkStart w:id="56" w:name="_Toc21589"/>
      <w:bookmarkStart w:id="57" w:name="_Toc88670206"/>
      <w:bookmarkStart w:id="58" w:name="_Toc22372"/>
      <w:bookmarkStart w:id="59" w:name="_Toc5907"/>
      <w:r>
        <w:rPr>
          <w:rFonts w:hint="eastAsia" w:ascii="楷体" w:hAnsi="楷体" w:eastAsia="楷体"/>
          <w:b/>
          <w:bCs/>
          <w:kern w:val="0"/>
          <w:sz w:val="32"/>
          <w:szCs w:val="32"/>
        </w:rPr>
        <w:t>（三）城乡建设管理体制机制有待完善</w:t>
      </w:r>
      <w:bookmarkEnd w:id="54"/>
      <w:bookmarkEnd w:id="55"/>
      <w:bookmarkEnd w:id="56"/>
      <w:bookmarkEnd w:id="57"/>
      <w:bookmarkEnd w:id="58"/>
      <w:bookmarkEnd w:id="59"/>
    </w:p>
    <w:p w14:paraId="256B17CA">
      <w:pPr>
        <w:pStyle w:val="30"/>
        <w:snapToGrid w:val="0"/>
        <w:spacing w:line="540" w:lineRule="exact"/>
        <w:ind w:firstLine="640"/>
        <w:rPr>
          <w:rFonts w:ascii="仿宋" w:hAnsi="仿宋" w:eastAsia="仿宋"/>
          <w:sz w:val="32"/>
          <w:szCs w:val="32"/>
        </w:rPr>
      </w:pPr>
      <w:r>
        <w:rPr>
          <w:rFonts w:ascii="仿宋" w:hAnsi="仿宋" w:eastAsia="仿宋"/>
          <w:kern w:val="0"/>
          <w:sz w:val="32"/>
          <w:szCs w:val="32"/>
        </w:rPr>
        <w:t>2020年末</w:t>
      </w:r>
      <w:r>
        <w:rPr>
          <w:rFonts w:hint="eastAsia" w:ascii="仿宋" w:hAnsi="仿宋" w:eastAsia="仿宋"/>
          <w:kern w:val="0"/>
          <w:sz w:val="32"/>
          <w:szCs w:val="32"/>
        </w:rPr>
        <w:t>泉州</w:t>
      </w:r>
      <w:r>
        <w:rPr>
          <w:rFonts w:ascii="仿宋" w:hAnsi="仿宋" w:eastAsia="仿宋"/>
          <w:kern w:val="0"/>
          <w:sz w:val="32"/>
          <w:szCs w:val="32"/>
        </w:rPr>
        <w:t>市常住人口达到878万人（不含金门县），城镇化率达68.5%，</w:t>
      </w:r>
      <w:r>
        <w:rPr>
          <w:rFonts w:hint="eastAsia" w:ascii="仿宋" w:hAnsi="仿宋" w:eastAsia="仿宋"/>
          <w:kern w:val="0"/>
          <w:sz w:val="32"/>
          <w:szCs w:val="32"/>
        </w:rPr>
        <w:t>随着城乡人口增长、规模扩张、基础设施体量不断增长，亟待完善高质量发展的城乡建设管理体制机制、政策体系和管理方式。市区一体化的统筹建设管理体制机制未建成，环卫与园林的一体化运维尚处于起步阶段，跨系统、跨部门的业务协同机制有待完善。</w:t>
      </w:r>
      <w:r>
        <w:rPr>
          <w:rFonts w:ascii="仿宋" w:hAnsi="仿宋" w:eastAsia="仿宋"/>
          <w:sz w:val="32"/>
          <w:szCs w:val="32"/>
        </w:rPr>
        <w:t>城乡基础设施建管涉及部门众多，跨系统、跨部门的大数据资源应用和业务协同处理</w:t>
      </w:r>
      <w:r>
        <w:rPr>
          <w:rFonts w:hint="eastAsia" w:ascii="仿宋" w:hAnsi="仿宋" w:eastAsia="仿宋"/>
          <w:sz w:val="32"/>
          <w:szCs w:val="32"/>
        </w:rPr>
        <w:t>尚未</w:t>
      </w:r>
      <w:r>
        <w:rPr>
          <w:rFonts w:ascii="仿宋" w:hAnsi="仿宋" w:eastAsia="仿宋"/>
          <w:sz w:val="32"/>
          <w:szCs w:val="32"/>
        </w:rPr>
        <w:t>形成，不少部门、行业的数据仍处于“信息孤岛”状态，无法实现</w:t>
      </w:r>
      <w:r>
        <w:rPr>
          <w:rFonts w:hint="eastAsia" w:ascii="仿宋" w:hAnsi="仿宋" w:eastAsia="仿宋"/>
          <w:sz w:val="32"/>
          <w:szCs w:val="32"/>
        </w:rPr>
        <w:t>信息数据共享</w:t>
      </w:r>
      <w:r>
        <w:rPr>
          <w:rFonts w:ascii="仿宋" w:hAnsi="仿宋" w:eastAsia="仿宋"/>
          <w:sz w:val="32"/>
          <w:szCs w:val="32"/>
        </w:rPr>
        <w:t>。</w:t>
      </w:r>
      <w:r>
        <w:rPr>
          <w:rFonts w:hint="eastAsia" w:ascii="仿宋" w:hAnsi="仿宋" w:eastAsia="仿宋"/>
          <w:kern w:val="0"/>
          <w:sz w:val="32"/>
          <w:szCs w:val="32"/>
        </w:rPr>
        <w:t>城乡基础设施运行和维护管理存在重建轻管倾向，城市停车场诱导系统、建设项目信息化管理等基础设施信息化发展相对滞后，智慧化运营管理有待加强。</w:t>
      </w:r>
    </w:p>
    <w:p w14:paraId="5DA54412">
      <w:pPr>
        <w:pStyle w:val="3"/>
        <w:spacing w:before="156" w:beforeLines="50" w:after="156" w:afterLines="50" w:line="540" w:lineRule="exact"/>
        <w:ind w:firstLine="643" w:firstLineChars="200"/>
        <w:rPr>
          <w:rFonts w:ascii="黑体" w:hAnsi="黑体" w:eastAsia="黑体"/>
          <w:sz w:val="32"/>
        </w:rPr>
      </w:pPr>
      <w:bookmarkStart w:id="60" w:name="_Toc24300"/>
      <w:bookmarkStart w:id="61" w:name="_Toc15355"/>
      <w:bookmarkStart w:id="62" w:name="_Toc158"/>
      <w:bookmarkStart w:id="63" w:name="_Toc8706"/>
      <w:bookmarkStart w:id="64" w:name="_Toc9083"/>
      <w:r>
        <w:rPr>
          <w:rFonts w:hint="eastAsia" w:ascii="黑体" w:hAnsi="黑体" w:eastAsia="黑体"/>
          <w:sz w:val="32"/>
        </w:rPr>
        <w:t>三、面临的挑战与机遇</w:t>
      </w:r>
      <w:bookmarkEnd w:id="60"/>
      <w:bookmarkEnd w:id="61"/>
      <w:bookmarkEnd w:id="62"/>
      <w:bookmarkEnd w:id="63"/>
      <w:bookmarkEnd w:id="64"/>
    </w:p>
    <w:p w14:paraId="0C8D2D39">
      <w:pPr>
        <w:snapToGrid w:val="0"/>
        <w:spacing w:line="540" w:lineRule="exact"/>
        <w:ind w:firstLine="643"/>
        <w:outlineLvl w:val="2"/>
        <w:rPr>
          <w:rFonts w:ascii="楷体" w:hAnsi="楷体" w:eastAsia="楷体"/>
          <w:b/>
          <w:bCs/>
          <w:kern w:val="0"/>
          <w:sz w:val="32"/>
          <w:szCs w:val="32"/>
        </w:rPr>
      </w:pPr>
      <w:bookmarkStart w:id="65" w:name="_Toc1710"/>
      <w:bookmarkStart w:id="66" w:name="_Toc30346"/>
      <w:bookmarkStart w:id="67" w:name="_Toc12082"/>
      <w:bookmarkStart w:id="68" w:name="_Toc10001"/>
      <w:bookmarkStart w:id="69" w:name="_Toc88670208"/>
      <w:bookmarkStart w:id="70" w:name="_Toc21655"/>
      <w:r>
        <w:rPr>
          <w:rFonts w:hint="eastAsia" w:ascii="楷体" w:hAnsi="楷体" w:eastAsia="楷体"/>
          <w:b/>
          <w:bCs/>
          <w:kern w:val="0"/>
          <w:sz w:val="32"/>
          <w:szCs w:val="32"/>
        </w:rPr>
        <w:t>（一）全方位推进高质量发展超越，要求更加</w:t>
      </w:r>
      <w:r>
        <w:rPr>
          <w:rFonts w:ascii="楷体" w:hAnsi="楷体" w:eastAsia="楷体"/>
          <w:b/>
          <w:bCs/>
          <w:kern w:val="0"/>
          <w:sz w:val="32"/>
          <w:szCs w:val="32"/>
        </w:rPr>
        <w:t>量增</w:t>
      </w:r>
      <w:r>
        <w:rPr>
          <w:rFonts w:hint="eastAsia" w:ascii="楷体" w:hAnsi="楷体" w:eastAsia="楷体"/>
          <w:b/>
          <w:bCs/>
          <w:kern w:val="0"/>
          <w:sz w:val="32"/>
          <w:szCs w:val="32"/>
        </w:rPr>
        <w:t>质</w:t>
      </w:r>
      <w:r>
        <w:rPr>
          <w:rFonts w:ascii="楷体" w:hAnsi="楷体" w:eastAsia="楷体"/>
          <w:b/>
          <w:bCs/>
          <w:kern w:val="0"/>
          <w:sz w:val="32"/>
          <w:szCs w:val="32"/>
        </w:rPr>
        <w:t>提</w:t>
      </w:r>
      <w:bookmarkEnd w:id="65"/>
      <w:bookmarkEnd w:id="66"/>
      <w:bookmarkEnd w:id="67"/>
      <w:bookmarkEnd w:id="68"/>
      <w:bookmarkEnd w:id="69"/>
      <w:bookmarkEnd w:id="70"/>
    </w:p>
    <w:p w14:paraId="2FC7DDFD">
      <w:pPr>
        <w:spacing w:line="540" w:lineRule="exact"/>
        <w:ind w:firstLine="640"/>
        <w:rPr>
          <w:sz w:val="32"/>
          <w:szCs w:val="32"/>
        </w:rPr>
      </w:pPr>
      <w:r>
        <w:rPr>
          <w:sz w:val="32"/>
          <w:szCs w:val="32"/>
        </w:rPr>
        <w:t>目前，我国经济社会发展正由高速增长阶段转向高质量发展阶段，人民对美好生活的向往，对基础设施也提出了更高的要求，要</w:t>
      </w:r>
      <w:r>
        <w:rPr>
          <w:rFonts w:hint="eastAsia"/>
          <w:sz w:val="32"/>
          <w:szCs w:val="32"/>
        </w:rPr>
        <w:t>坚持以人民为中心</w:t>
      </w:r>
      <w:r>
        <w:rPr>
          <w:sz w:val="32"/>
          <w:szCs w:val="32"/>
        </w:rPr>
        <w:t>，推动城乡基础设施由大规模增量建设向</w:t>
      </w:r>
      <w:r>
        <w:rPr>
          <w:rFonts w:hint="eastAsia"/>
          <w:sz w:val="32"/>
          <w:szCs w:val="32"/>
        </w:rPr>
        <w:t>量增质提</w:t>
      </w:r>
      <w:r>
        <w:rPr>
          <w:sz w:val="32"/>
          <w:szCs w:val="32"/>
        </w:rPr>
        <w:t>转变。</w:t>
      </w:r>
      <w:r>
        <w:rPr>
          <w:rFonts w:hint="eastAsia"/>
          <w:sz w:val="32"/>
          <w:szCs w:val="32"/>
        </w:rPr>
        <w:t>“</w:t>
      </w:r>
      <w:r>
        <w:rPr>
          <w:sz w:val="32"/>
          <w:szCs w:val="32"/>
        </w:rPr>
        <w:t>十四五</w:t>
      </w:r>
      <w:r>
        <w:rPr>
          <w:rFonts w:hint="eastAsia"/>
          <w:sz w:val="32"/>
          <w:szCs w:val="32"/>
        </w:rPr>
        <w:t>”</w:t>
      </w:r>
      <w:r>
        <w:rPr>
          <w:sz w:val="32"/>
          <w:szCs w:val="32"/>
        </w:rPr>
        <w:t>期间，城乡基础设施建设</w:t>
      </w:r>
      <w:r>
        <w:rPr>
          <w:rFonts w:hint="eastAsia"/>
          <w:sz w:val="32"/>
          <w:szCs w:val="32"/>
        </w:rPr>
        <w:t>既要全面</w:t>
      </w:r>
      <w:r>
        <w:rPr>
          <w:sz w:val="32"/>
          <w:szCs w:val="32"/>
        </w:rPr>
        <w:t>开展片区更新，</w:t>
      </w:r>
      <w:r>
        <w:rPr>
          <w:rFonts w:hint="eastAsia"/>
          <w:sz w:val="32"/>
          <w:szCs w:val="32"/>
        </w:rPr>
        <w:t>提高土地效益，补足基础设施短板，</w:t>
      </w:r>
      <w:r>
        <w:rPr>
          <w:sz w:val="32"/>
          <w:szCs w:val="32"/>
        </w:rPr>
        <w:t>促进老旧设施更新、低效设施改造及传统设施升级，</w:t>
      </w:r>
      <w:r>
        <w:rPr>
          <w:rFonts w:hint="eastAsia"/>
          <w:sz w:val="32"/>
          <w:szCs w:val="32"/>
        </w:rPr>
        <w:t>更重要的是</w:t>
      </w:r>
      <w:r>
        <w:rPr>
          <w:sz w:val="32"/>
          <w:szCs w:val="32"/>
        </w:rPr>
        <w:t>不断提升基础设施的精准供给、精细管理和精诚服务能力，由表及里、由量向质、由</w:t>
      </w:r>
      <w:r>
        <w:rPr>
          <w:rFonts w:hint="eastAsia"/>
          <w:sz w:val="32"/>
          <w:szCs w:val="32"/>
        </w:rPr>
        <w:t>“</w:t>
      </w:r>
      <w:r>
        <w:rPr>
          <w:sz w:val="32"/>
          <w:szCs w:val="32"/>
        </w:rPr>
        <w:t>大而全</w:t>
      </w:r>
      <w:r>
        <w:rPr>
          <w:rFonts w:hint="eastAsia"/>
          <w:sz w:val="32"/>
          <w:szCs w:val="32"/>
        </w:rPr>
        <w:t>”</w:t>
      </w:r>
      <w:r>
        <w:rPr>
          <w:sz w:val="32"/>
          <w:szCs w:val="32"/>
        </w:rPr>
        <w:t>向</w:t>
      </w:r>
      <w:r>
        <w:rPr>
          <w:rFonts w:hint="eastAsia"/>
          <w:sz w:val="32"/>
          <w:szCs w:val="32"/>
        </w:rPr>
        <w:t>“</w:t>
      </w:r>
      <w:r>
        <w:rPr>
          <w:sz w:val="32"/>
          <w:szCs w:val="32"/>
        </w:rPr>
        <w:t>精而专</w:t>
      </w:r>
      <w:r>
        <w:rPr>
          <w:rFonts w:hint="eastAsia"/>
          <w:sz w:val="32"/>
          <w:szCs w:val="32"/>
        </w:rPr>
        <w:t>”</w:t>
      </w:r>
      <w:r>
        <w:rPr>
          <w:sz w:val="32"/>
          <w:szCs w:val="32"/>
        </w:rPr>
        <w:t>转变</w:t>
      </w:r>
      <w:r>
        <w:rPr>
          <w:rFonts w:hint="eastAsia"/>
          <w:sz w:val="32"/>
          <w:szCs w:val="32"/>
        </w:rPr>
        <w:t>。要</w:t>
      </w:r>
      <w:r>
        <w:rPr>
          <w:sz w:val="32"/>
          <w:szCs w:val="32"/>
        </w:rPr>
        <w:t>抓住基础设施全生命周期各环节的关键问题精准发力，同时聚焦基础设施短板领域、薄弱环节和细微之处，加强细节管理和规范化、标准化建设</w:t>
      </w:r>
      <w:r>
        <w:rPr>
          <w:rFonts w:hint="eastAsia"/>
          <w:sz w:val="32"/>
          <w:szCs w:val="32"/>
        </w:rPr>
        <w:t>。要以推进新型城市基础设施建设为契机，建设海绵城市、韧性城市，建设“品质</w:t>
      </w:r>
      <w:r>
        <w:rPr>
          <w:sz w:val="32"/>
          <w:szCs w:val="32"/>
        </w:rPr>
        <w:t>泉州</w:t>
      </w:r>
      <w:r>
        <w:rPr>
          <w:rFonts w:hint="eastAsia"/>
          <w:sz w:val="32"/>
          <w:szCs w:val="32"/>
        </w:rPr>
        <w:t>”</w:t>
      </w:r>
      <w:r>
        <w:rPr>
          <w:sz w:val="32"/>
          <w:szCs w:val="32"/>
        </w:rPr>
        <w:t>，提升设施人性化服务水平</w:t>
      </w:r>
      <w:r>
        <w:rPr>
          <w:rFonts w:hint="eastAsia"/>
          <w:sz w:val="32"/>
          <w:szCs w:val="32"/>
        </w:rPr>
        <w:t>，切实增加民生福祉</w:t>
      </w:r>
      <w:r>
        <w:rPr>
          <w:sz w:val="32"/>
          <w:szCs w:val="32"/>
        </w:rPr>
        <w:t>。</w:t>
      </w:r>
    </w:p>
    <w:p w14:paraId="62093509">
      <w:pPr>
        <w:snapToGrid w:val="0"/>
        <w:spacing w:line="540" w:lineRule="exact"/>
        <w:ind w:firstLine="643"/>
        <w:outlineLvl w:val="2"/>
        <w:rPr>
          <w:rFonts w:ascii="楷体" w:hAnsi="楷体" w:eastAsia="楷体"/>
          <w:b/>
          <w:bCs/>
          <w:kern w:val="0"/>
          <w:sz w:val="32"/>
          <w:szCs w:val="32"/>
        </w:rPr>
      </w:pPr>
      <w:bookmarkStart w:id="71" w:name="_Toc20091"/>
      <w:bookmarkStart w:id="72" w:name="_Toc25079"/>
      <w:bookmarkStart w:id="73" w:name="_Toc617"/>
      <w:bookmarkStart w:id="74" w:name="_Toc1080"/>
      <w:bookmarkStart w:id="75" w:name="_Toc88670209"/>
      <w:bookmarkStart w:id="76" w:name="_Toc2054"/>
      <w:r>
        <w:rPr>
          <w:rFonts w:hint="eastAsia" w:ascii="楷体" w:hAnsi="楷体" w:eastAsia="楷体"/>
          <w:b/>
          <w:bCs/>
          <w:kern w:val="0"/>
          <w:sz w:val="32"/>
          <w:szCs w:val="32"/>
        </w:rPr>
        <w:t>（二）推进乡村振兴与城乡融合，要求更加均衡发展</w:t>
      </w:r>
      <w:bookmarkEnd w:id="71"/>
      <w:bookmarkEnd w:id="72"/>
      <w:bookmarkEnd w:id="73"/>
      <w:bookmarkEnd w:id="74"/>
      <w:bookmarkEnd w:id="75"/>
      <w:bookmarkEnd w:id="76"/>
    </w:p>
    <w:p w14:paraId="3CF97D0C">
      <w:pPr>
        <w:snapToGrid w:val="0"/>
        <w:spacing w:line="540" w:lineRule="exact"/>
        <w:ind w:firstLine="640"/>
        <w:rPr>
          <w:b/>
          <w:bCs/>
          <w:kern w:val="0"/>
          <w:sz w:val="32"/>
          <w:szCs w:val="32"/>
        </w:rPr>
      </w:pPr>
      <w:r>
        <w:rPr>
          <w:bCs/>
          <w:kern w:val="0"/>
          <w:sz w:val="32"/>
          <w:szCs w:val="32"/>
        </w:rPr>
        <w:t>城乡融合发展是顺应时代发展的必然要求，全面实施乡村振兴战略，对城乡基础设施提出诸多新命题，要求统</w:t>
      </w:r>
      <w:r>
        <w:rPr>
          <w:sz w:val="32"/>
          <w:szCs w:val="32"/>
        </w:rPr>
        <w:t>筹城乡基础设施建设，</w:t>
      </w:r>
      <w:r>
        <w:rPr>
          <w:rFonts w:hint="eastAsia"/>
          <w:bCs/>
          <w:kern w:val="0"/>
          <w:sz w:val="32"/>
          <w:szCs w:val="32"/>
        </w:rPr>
        <w:t>推动乡村基础设施提档升级，</w:t>
      </w:r>
      <w:r>
        <w:rPr>
          <w:sz w:val="32"/>
          <w:szCs w:val="32"/>
        </w:rPr>
        <w:t>系统布局道路、供水、供电以及垃圾污水处理等设施</w:t>
      </w:r>
      <w:r>
        <w:rPr>
          <w:rFonts w:hint="eastAsia"/>
          <w:bCs/>
          <w:kern w:val="0"/>
          <w:sz w:val="32"/>
          <w:szCs w:val="32"/>
        </w:rPr>
        <w:t>，着力推进往村覆盖、往户延伸。</w:t>
      </w:r>
      <w:r>
        <w:rPr>
          <w:rFonts w:hint="eastAsia"/>
          <w:sz w:val="32"/>
          <w:szCs w:val="32"/>
        </w:rPr>
        <w:t>强化公路与城市道路融合衔接，推动城区公路市政化</w:t>
      </w:r>
      <w:r>
        <w:rPr>
          <w:sz w:val="32"/>
          <w:szCs w:val="32"/>
        </w:rPr>
        <w:t>，加快实现县乡村（户）道路联通、城乡道路客运一体化，完善道路安全防范措施。</w:t>
      </w:r>
      <w:r>
        <w:rPr>
          <w:rFonts w:hint="eastAsia"/>
          <w:sz w:val="32"/>
          <w:szCs w:val="32"/>
        </w:rPr>
        <w:t>推进燃气下乡，</w:t>
      </w:r>
      <w:r>
        <w:rPr>
          <w:sz w:val="32"/>
          <w:szCs w:val="32"/>
        </w:rPr>
        <w:t>支持建设安全可靠的乡村储气罐站和微管网供气系统。</w:t>
      </w:r>
      <w:r>
        <w:rPr>
          <w:rFonts w:hint="eastAsia"/>
          <w:sz w:val="32"/>
          <w:szCs w:val="32"/>
        </w:rPr>
        <w:t>实施农村供水保障工程，</w:t>
      </w:r>
      <w:r>
        <w:rPr>
          <w:sz w:val="32"/>
          <w:szCs w:val="32"/>
        </w:rPr>
        <w:t>推进城乡供水一体化</w:t>
      </w:r>
      <w:r>
        <w:rPr>
          <w:rFonts w:hint="eastAsia"/>
          <w:sz w:val="32"/>
          <w:szCs w:val="32"/>
        </w:rPr>
        <w:t>。推行乡镇生活污水处理以县域捆绑打包全覆盖</w:t>
      </w:r>
      <w:r>
        <w:rPr>
          <w:sz w:val="32"/>
          <w:szCs w:val="32"/>
        </w:rPr>
        <w:t>，严防城市污染上山下乡，因地制宜统筹处理城乡垃圾污水</w:t>
      </w:r>
      <w:r>
        <w:rPr>
          <w:rFonts w:hint="eastAsia"/>
          <w:sz w:val="32"/>
          <w:szCs w:val="32"/>
        </w:rPr>
        <w:t>。提升农村风貌和人居环境品质，</w:t>
      </w:r>
      <w:r>
        <w:rPr>
          <w:bCs/>
          <w:kern w:val="0"/>
          <w:sz w:val="32"/>
          <w:szCs w:val="32"/>
        </w:rPr>
        <w:t>强化乡村产业发展的硬环境支撑，让乡村留住乡愁的同时也留住人。</w:t>
      </w:r>
    </w:p>
    <w:p w14:paraId="6FE5DA4F">
      <w:pPr>
        <w:snapToGrid w:val="0"/>
        <w:spacing w:line="540" w:lineRule="exact"/>
        <w:ind w:firstLine="643"/>
        <w:outlineLvl w:val="2"/>
        <w:rPr>
          <w:rFonts w:ascii="楷体" w:hAnsi="楷体" w:eastAsia="楷体"/>
          <w:b/>
          <w:bCs/>
          <w:kern w:val="0"/>
          <w:sz w:val="32"/>
          <w:szCs w:val="32"/>
        </w:rPr>
      </w:pPr>
      <w:bookmarkStart w:id="77" w:name="_Toc16418"/>
      <w:bookmarkStart w:id="78" w:name="_Toc28577"/>
      <w:bookmarkStart w:id="79" w:name="_Toc88670210"/>
      <w:bookmarkStart w:id="80" w:name="_Toc25980"/>
      <w:bookmarkStart w:id="81" w:name="_Toc7860"/>
      <w:bookmarkStart w:id="82" w:name="_Toc24225"/>
      <w:r>
        <w:rPr>
          <w:rFonts w:hint="eastAsia" w:ascii="楷体" w:hAnsi="楷体" w:eastAsia="楷体"/>
          <w:b/>
          <w:bCs/>
          <w:kern w:val="0"/>
          <w:sz w:val="32"/>
          <w:szCs w:val="32"/>
        </w:rPr>
        <w:t>（三）碳达峰碳中和目标，要求更加绿色</w:t>
      </w:r>
      <w:r>
        <w:rPr>
          <w:rFonts w:ascii="楷体" w:hAnsi="楷体" w:eastAsia="楷体"/>
          <w:b/>
          <w:bCs/>
          <w:kern w:val="0"/>
          <w:sz w:val="32"/>
          <w:szCs w:val="32"/>
        </w:rPr>
        <w:t>低碳</w:t>
      </w:r>
      <w:bookmarkEnd w:id="77"/>
      <w:bookmarkEnd w:id="78"/>
      <w:bookmarkEnd w:id="79"/>
      <w:bookmarkEnd w:id="80"/>
      <w:bookmarkEnd w:id="81"/>
      <w:bookmarkEnd w:id="82"/>
    </w:p>
    <w:p w14:paraId="33010195">
      <w:pPr>
        <w:snapToGrid w:val="0"/>
        <w:spacing w:line="540" w:lineRule="exact"/>
        <w:ind w:firstLine="640"/>
        <w:rPr>
          <w:rFonts w:ascii="仿宋" w:hAnsi="仿宋"/>
          <w:kern w:val="0"/>
          <w:sz w:val="32"/>
          <w:szCs w:val="32"/>
        </w:rPr>
      </w:pPr>
      <w:r>
        <w:rPr>
          <w:rFonts w:ascii="仿宋" w:hAnsi="仿宋"/>
          <w:kern w:val="0"/>
          <w:sz w:val="32"/>
          <w:szCs w:val="32"/>
        </w:rPr>
        <w:t>我国已经明确力争于2030年前二氧化碳排放达到峰值，省委十届十一次全会提出我省要率先</w:t>
      </w:r>
      <w:r>
        <w:rPr>
          <w:rFonts w:hint="eastAsia" w:ascii="仿宋" w:hAnsi="仿宋"/>
          <w:kern w:val="0"/>
          <w:sz w:val="32"/>
          <w:szCs w:val="32"/>
        </w:rPr>
        <w:t>碳</w:t>
      </w:r>
      <w:r>
        <w:rPr>
          <w:rFonts w:ascii="仿宋" w:hAnsi="仿宋"/>
          <w:kern w:val="0"/>
          <w:sz w:val="32"/>
          <w:szCs w:val="32"/>
        </w:rPr>
        <w:t>达峰，给</w:t>
      </w:r>
      <w:r>
        <w:rPr>
          <w:rFonts w:hint="eastAsia" w:ascii="仿宋" w:hAnsi="仿宋"/>
          <w:kern w:val="0"/>
          <w:sz w:val="32"/>
          <w:szCs w:val="32"/>
        </w:rPr>
        <w:t>泉州</w:t>
      </w:r>
      <w:r>
        <w:rPr>
          <w:rFonts w:ascii="仿宋" w:hAnsi="仿宋"/>
          <w:kern w:val="0"/>
          <w:sz w:val="32"/>
          <w:szCs w:val="32"/>
        </w:rPr>
        <w:t>城乡基础设施建设提出绿色循环低碳发展的新要求。“十四五”期间，城市更新、老城区改造和新基建，需要纳入碳约束，严防碳锁定，从根本上</w:t>
      </w:r>
      <w:r>
        <w:rPr>
          <w:rFonts w:hint="eastAsia" w:ascii="仿宋" w:hAnsi="仿宋"/>
          <w:kern w:val="0"/>
          <w:sz w:val="32"/>
          <w:szCs w:val="32"/>
        </w:rPr>
        <w:t>降低</w:t>
      </w:r>
      <w:r>
        <w:rPr>
          <w:rFonts w:ascii="仿宋" w:hAnsi="仿宋"/>
          <w:kern w:val="0"/>
          <w:sz w:val="32"/>
          <w:szCs w:val="32"/>
        </w:rPr>
        <w:t>碳需求。</w:t>
      </w:r>
      <w:r>
        <w:rPr>
          <w:rFonts w:hint="eastAsia" w:ascii="仿宋" w:hAnsi="仿宋"/>
          <w:kern w:val="0"/>
          <w:sz w:val="32"/>
          <w:szCs w:val="32"/>
        </w:rPr>
        <w:t>提升公共休闲空间品质，完善慢行系统，打造</w:t>
      </w:r>
      <w:r>
        <w:rPr>
          <w:rFonts w:ascii="仿宋" w:hAnsi="仿宋"/>
          <w:kern w:val="0"/>
          <w:sz w:val="32"/>
          <w:szCs w:val="32"/>
        </w:rPr>
        <w:t>15</w:t>
      </w:r>
      <w:r>
        <w:rPr>
          <w:rFonts w:hint="eastAsia" w:ascii="仿宋" w:hAnsi="仿宋"/>
          <w:kern w:val="0"/>
          <w:sz w:val="32"/>
          <w:szCs w:val="32"/>
        </w:rPr>
        <w:t>分钟生活圈；探索污泥、污水、城市生活垃圾等的资源化利用，巩固节水成果;发展“互联网</w:t>
      </w:r>
      <w:r>
        <w:rPr>
          <w:rFonts w:ascii="仿宋" w:hAnsi="仿宋"/>
          <w:kern w:val="0"/>
          <w:sz w:val="32"/>
          <w:szCs w:val="32"/>
        </w:rPr>
        <w:t>+天然气</w:t>
      </w:r>
      <w:r>
        <w:rPr>
          <w:rFonts w:hint="eastAsia" w:ascii="仿宋" w:hAnsi="仿宋"/>
          <w:kern w:val="0"/>
          <w:sz w:val="32"/>
          <w:szCs w:val="32"/>
        </w:rPr>
        <w:t>”</w:t>
      </w:r>
      <w:r>
        <w:rPr>
          <w:rFonts w:ascii="仿宋" w:hAnsi="仿宋"/>
          <w:kern w:val="0"/>
          <w:sz w:val="32"/>
          <w:szCs w:val="32"/>
        </w:rPr>
        <w:t>，推动LNG冷能利用，实现天然气利用高效。城市的新建、扩建或改建，也需以碳中和为取向。</w:t>
      </w:r>
      <w:r>
        <w:rPr>
          <w:rFonts w:hint="eastAsia" w:ascii="仿宋" w:hAnsi="仿宋"/>
          <w:kern w:val="0"/>
          <w:sz w:val="32"/>
          <w:szCs w:val="32"/>
        </w:rPr>
        <w:t>推行新能源材料、绿色建筑等低碳技术应用，建设绿色基础设施</w:t>
      </w:r>
      <w:r>
        <w:rPr>
          <w:rFonts w:ascii="仿宋" w:hAnsi="仿宋"/>
          <w:kern w:val="0"/>
          <w:sz w:val="32"/>
          <w:szCs w:val="32"/>
        </w:rPr>
        <w:t>。</w:t>
      </w:r>
    </w:p>
    <w:p w14:paraId="2D54542F">
      <w:pPr>
        <w:snapToGrid w:val="0"/>
        <w:spacing w:line="540" w:lineRule="exact"/>
        <w:ind w:firstLine="643"/>
        <w:outlineLvl w:val="2"/>
        <w:rPr>
          <w:rFonts w:ascii="仿宋" w:hAnsi="仿宋"/>
          <w:b/>
          <w:bCs/>
          <w:kern w:val="0"/>
          <w:sz w:val="32"/>
          <w:szCs w:val="32"/>
        </w:rPr>
      </w:pPr>
      <w:bookmarkStart w:id="83" w:name="_Toc3590"/>
      <w:bookmarkStart w:id="84" w:name="_Toc28741"/>
      <w:bookmarkStart w:id="85" w:name="_Toc10703"/>
      <w:bookmarkStart w:id="86" w:name="_Toc88670211"/>
      <w:bookmarkStart w:id="87" w:name="_Toc19823"/>
      <w:bookmarkStart w:id="88" w:name="_Toc347"/>
      <w:r>
        <w:rPr>
          <w:rFonts w:hint="eastAsia" w:ascii="楷体" w:hAnsi="楷体" w:eastAsia="楷体"/>
          <w:b/>
          <w:bCs/>
          <w:kern w:val="0"/>
          <w:sz w:val="32"/>
          <w:szCs w:val="32"/>
        </w:rPr>
        <w:t>（四）经济新发展格局，要求更加有力支撑经济转型</w:t>
      </w:r>
      <w:bookmarkEnd w:id="83"/>
      <w:bookmarkEnd w:id="84"/>
      <w:bookmarkEnd w:id="85"/>
      <w:bookmarkEnd w:id="86"/>
      <w:bookmarkEnd w:id="87"/>
      <w:bookmarkEnd w:id="88"/>
    </w:p>
    <w:p w14:paraId="5626BBC4">
      <w:pPr>
        <w:snapToGrid w:val="0"/>
        <w:spacing w:line="540" w:lineRule="exact"/>
        <w:ind w:firstLine="640"/>
        <w:rPr>
          <w:rFonts w:ascii="仿宋" w:hAnsi="仿宋"/>
          <w:kern w:val="0"/>
          <w:sz w:val="32"/>
          <w:szCs w:val="32"/>
        </w:rPr>
      </w:pPr>
      <w:r>
        <w:rPr>
          <w:rFonts w:ascii="仿宋" w:hAnsi="仿宋"/>
          <w:kern w:val="0"/>
          <w:sz w:val="32"/>
          <w:szCs w:val="32"/>
        </w:rPr>
        <w:t>加快构建以国内大循环为主体、国内国际双循环相互促进的新发展格局，是对“十四五”和未来更长时期我国经济发展战略、路径作出的重大调整完善与战略部署。在错综复杂的经济环境条件与国家经济发展战略变革情况下，城市基础设施需求的日益扩大，</w:t>
      </w:r>
      <w:r>
        <w:rPr>
          <w:rFonts w:hint="eastAsia" w:ascii="仿宋" w:hAnsi="仿宋"/>
          <w:kern w:val="0"/>
          <w:sz w:val="32"/>
          <w:szCs w:val="32"/>
        </w:rPr>
        <w:t>导致现行的</w:t>
      </w:r>
      <w:r>
        <w:rPr>
          <w:rFonts w:ascii="仿宋" w:hAnsi="仿宋"/>
          <w:kern w:val="0"/>
          <w:sz w:val="32"/>
          <w:szCs w:val="32"/>
        </w:rPr>
        <w:t>以政府财力直接投入为主导</w:t>
      </w:r>
      <w:r>
        <w:rPr>
          <w:rFonts w:hint="eastAsia" w:ascii="仿宋" w:hAnsi="仿宋"/>
          <w:kern w:val="0"/>
          <w:sz w:val="32"/>
          <w:szCs w:val="32"/>
        </w:rPr>
        <w:t>、</w:t>
      </w:r>
      <w:r>
        <w:rPr>
          <w:rFonts w:ascii="仿宋" w:hAnsi="仿宋"/>
          <w:kern w:val="0"/>
          <w:sz w:val="32"/>
          <w:szCs w:val="32"/>
        </w:rPr>
        <w:t>行政配置资源为主体的城市建设投融资体制已无法适应城市化进程的需求</w:t>
      </w:r>
      <w:r>
        <w:rPr>
          <w:rFonts w:hint="eastAsia" w:ascii="仿宋" w:hAnsi="仿宋"/>
          <w:kern w:val="0"/>
          <w:sz w:val="32"/>
          <w:szCs w:val="32"/>
        </w:rPr>
        <w:t>。“十四</w:t>
      </w:r>
      <w:r>
        <w:rPr>
          <w:rFonts w:ascii="仿宋" w:hAnsi="仿宋"/>
          <w:kern w:val="0"/>
          <w:sz w:val="32"/>
          <w:szCs w:val="32"/>
        </w:rPr>
        <w:t>五</w:t>
      </w:r>
      <w:r>
        <w:rPr>
          <w:rFonts w:hint="eastAsia" w:ascii="仿宋" w:hAnsi="仿宋"/>
          <w:kern w:val="0"/>
          <w:sz w:val="32"/>
          <w:szCs w:val="32"/>
        </w:rPr>
        <w:t>”</w:t>
      </w:r>
      <w:r>
        <w:rPr>
          <w:rFonts w:ascii="仿宋" w:hAnsi="仿宋"/>
          <w:kern w:val="0"/>
          <w:sz w:val="32"/>
          <w:szCs w:val="32"/>
        </w:rPr>
        <w:t>期间</w:t>
      </w:r>
      <w:r>
        <w:rPr>
          <w:rFonts w:hint="eastAsia" w:ascii="仿宋" w:hAnsi="仿宋"/>
          <w:kern w:val="0"/>
          <w:sz w:val="32"/>
          <w:szCs w:val="32"/>
        </w:rPr>
        <w:t>，鼓励市属国有投资公司参与城市基础设施项目的建设和运营，依托国有企业，推行事业化行政管理转向企业化市场管理模式</w:t>
      </w:r>
      <w:r>
        <w:rPr>
          <w:rFonts w:ascii="仿宋" w:hAnsi="仿宋"/>
          <w:kern w:val="0"/>
          <w:sz w:val="32"/>
          <w:szCs w:val="32"/>
        </w:rPr>
        <w:t>，</w:t>
      </w:r>
      <w:r>
        <w:rPr>
          <w:rFonts w:hint="eastAsia" w:ascii="仿宋" w:hAnsi="仿宋"/>
          <w:kern w:val="0"/>
          <w:sz w:val="32"/>
          <w:szCs w:val="32"/>
        </w:rPr>
        <w:t>构建</w:t>
      </w:r>
      <w:r>
        <w:rPr>
          <w:rFonts w:ascii="仿宋" w:hAnsi="仿宋"/>
          <w:kern w:val="0"/>
          <w:sz w:val="32"/>
          <w:szCs w:val="32"/>
        </w:rPr>
        <w:t>政府融资平台化、投资主体多元化、企业投资主体化、运营主体企业化、融资渠道市场化的新型投融资体制。</w:t>
      </w:r>
    </w:p>
    <w:p w14:paraId="326A1DEA">
      <w:pPr>
        <w:snapToGrid w:val="0"/>
        <w:spacing w:line="540" w:lineRule="exact"/>
        <w:ind w:firstLine="643"/>
        <w:outlineLvl w:val="2"/>
        <w:rPr>
          <w:rFonts w:ascii="楷体" w:hAnsi="楷体" w:eastAsia="楷体"/>
          <w:b/>
          <w:bCs/>
          <w:kern w:val="0"/>
          <w:sz w:val="32"/>
          <w:szCs w:val="32"/>
        </w:rPr>
      </w:pPr>
      <w:bookmarkStart w:id="89" w:name="_Toc5221"/>
      <w:bookmarkStart w:id="90" w:name="_Toc88670212"/>
      <w:bookmarkStart w:id="91" w:name="_Toc12901"/>
      <w:bookmarkStart w:id="92" w:name="_Toc26993"/>
      <w:bookmarkStart w:id="93" w:name="_Toc11073"/>
      <w:bookmarkStart w:id="94" w:name="_Toc6368"/>
      <w:r>
        <w:rPr>
          <w:rFonts w:hint="eastAsia" w:ascii="楷体" w:hAnsi="楷体" w:eastAsia="楷体"/>
          <w:b/>
          <w:bCs/>
          <w:kern w:val="0"/>
          <w:sz w:val="32"/>
          <w:szCs w:val="32"/>
        </w:rPr>
        <w:t>（五）建设海丝名城，要求更加多元开放包容</w:t>
      </w:r>
      <w:bookmarkEnd w:id="89"/>
      <w:bookmarkEnd w:id="90"/>
      <w:bookmarkEnd w:id="91"/>
      <w:bookmarkEnd w:id="92"/>
      <w:bookmarkEnd w:id="93"/>
      <w:bookmarkEnd w:id="94"/>
    </w:p>
    <w:p w14:paraId="68196CFE">
      <w:pPr>
        <w:snapToGrid w:val="0"/>
        <w:spacing w:line="540" w:lineRule="exact"/>
        <w:ind w:firstLine="640"/>
        <w:rPr>
          <w:rFonts w:ascii="黑体" w:hAnsi="黑体" w:eastAsia="黑体"/>
          <w:b/>
          <w:bCs/>
          <w:kern w:val="44"/>
          <w:sz w:val="40"/>
          <w:szCs w:val="56"/>
        </w:rPr>
      </w:pPr>
      <w:r>
        <w:rPr>
          <w:rFonts w:ascii="仿宋" w:hAnsi="仿宋"/>
          <w:kern w:val="0"/>
          <w:sz w:val="32"/>
          <w:szCs w:val="32"/>
        </w:rPr>
        <w:t>泉州市作为联合国唯一认定的海上丝绸之路起点，宋元时期曾为“东方第一大港”，具备六大优势来实现国家“一带一路”</w:t>
      </w:r>
      <w:r>
        <w:rPr>
          <w:rFonts w:hint="eastAsia" w:ascii="仿宋" w:hAnsi="仿宋"/>
          <w:kern w:val="0"/>
          <w:sz w:val="32"/>
          <w:szCs w:val="32"/>
          <w:lang w:val="en-US" w:eastAsia="zh-CN"/>
        </w:rPr>
        <w:t>倡议</w:t>
      </w:r>
      <w:r>
        <w:rPr>
          <w:rFonts w:ascii="仿宋" w:hAnsi="仿宋"/>
          <w:kern w:val="0"/>
          <w:sz w:val="32"/>
          <w:szCs w:val="32"/>
        </w:rPr>
        <w:t>，包括贸易基础、人脉资源、文化认同、港口优势、产业优势、企业家队伍。在“十四五”重要战略机遇期，</w:t>
      </w:r>
      <w:r>
        <w:rPr>
          <w:rFonts w:hint="eastAsia" w:ascii="仿宋" w:hAnsi="仿宋"/>
          <w:kern w:val="0"/>
          <w:sz w:val="32"/>
          <w:szCs w:val="32"/>
        </w:rPr>
        <w:t>强化泉州在海丝核心区建设中的担当</w:t>
      </w:r>
      <w:r>
        <w:rPr>
          <w:rFonts w:ascii="仿宋" w:hAnsi="仿宋"/>
          <w:kern w:val="0"/>
          <w:sz w:val="32"/>
          <w:szCs w:val="32"/>
        </w:rPr>
        <w:t>,</w:t>
      </w:r>
      <w:r>
        <w:rPr>
          <w:rFonts w:hint="eastAsia" w:ascii="仿宋" w:hAnsi="仿宋"/>
          <w:kern w:val="0"/>
          <w:sz w:val="32"/>
          <w:szCs w:val="32"/>
        </w:rPr>
        <w:t>践行</w:t>
      </w:r>
      <w:r>
        <w:rPr>
          <w:rFonts w:ascii="仿宋" w:hAnsi="仿宋"/>
          <w:kern w:val="0"/>
          <w:sz w:val="32"/>
          <w:szCs w:val="32"/>
        </w:rPr>
        <w:t>海丝先行区和战略支点城市定位,</w:t>
      </w:r>
      <w:r>
        <w:rPr>
          <w:rFonts w:hint="eastAsia" w:ascii="仿宋" w:hAnsi="仿宋"/>
          <w:kern w:val="0"/>
          <w:sz w:val="32"/>
          <w:szCs w:val="32"/>
        </w:rPr>
        <w:t>打造世界遗产保护利用的典范城市</w:t>
      </w:r>
      <w:r>
        <w:rPr>
          <w:rFonts w:ascii="仿宋" w:hAnsi="仿宋"/>
          <w:kern w:val="0"/>
          <w:sz w:val="32"/>
          <w:szCs w:val="32"/>
        </w:rPr>
        <w:t>,要求</w:t>
      </w:r>
      <w:r>
        <w:rPr>
          <w:rFonts w:hint="eastAsia" w:ascii="仿宋" w:hAnsi="仿宋"/>
          <w:kern w:val="0"/>
          <w:sz w:val="32"/>
          <w:szCs w:val="32"/>
        </w:rPr>
        <w:t>加快推进古城提质，打造“世界的古城、活着的古城”</w:t>
      </w:r>
      <w:r>
        <w:rPr>
          <w:rFonts w:ascii="仿宋" w:hAnsi="仿宋"/>
          <w:kern w:val="0"/>
          <w:sz w:val="32"/>
          <w:szCs w:val="32"/>
        </w:rPr>
        <w:t>；搭建“海丝”沟通协作平台，建设更加多元开放包容的城乡基础设施</w:t>
      </w:r>
      <w:r>
        <w:rPr>
          <w:rFonts w:hint="eastAsia" w:ascii="仿宋" w:hAnsi="仿宋"/>
          <w:kern w:val="0"/>
          <w:sz w:val="32"/>
          <w:szCs w:val="32"/>
        </w:rPr>
        <w:t>，着力建设海丝综合交通</w:t>
      </w:r>
      <w:r>
        <w:rPr>
          <w:rFonts w:hint="eastAsia" w:ascii="仿宋" w:hAnsi="仿宋"/>
          <w:sz w:val="32"/>
          <w:szCs w:val="32"/>
        </w:rPr>
        <w:t>，全面提升换乘接驳速度与服务品质；借力厦门对接国家运输大通道，发展港铁联运新模式，增强对外连接能力；</w:t>
      </w:r>
      <w:r>
        <w:rPr>
          <w:rFonts w:ascii="仿宋" w:hAnsi="仿宋"/>
          <w:sz w:val="32"/>
          <w:szCs w:val="32"/>
        </w:rPr>
        <w:t>建设连接海上丝绸之路港口的轨道交通和快速路网络，打通省域经济大动脉，加强闽西南主要县</w:t>
      </w:r>
      <w:r>
        <w:rPr>
          <w:rFonts w:hint="eastAsia" w:ascii="仿宋" w:hAnsi="仿宋"/>
          <w:sz w:val="32"/>
          <w:szCs w:val="32"/>
        </w:rPr>
        <w:t>（</w:t>
      </w:r>
      <w:r>
        <w:rPr>
          <w:rFonts w:ascii="仿宋" w:hAnsi="仿宋"/>
          <w:sz w:val="32"/>
          <w:szCs w:val="32"/>
        </w:rPr>
        <w:t>市</w:t>
      </w:r>
      <w:r>
        <w:rPr>
          <w:rFonts w:hint="eastAsia" w:ascii="仿宋" w:hAnsi="仿宋"/>
          <w:sz w:val="32"/>
          <w:szCs w:val="32"/>
        </w:rPr>
        <w:t>、</w:t>
      </w:r>
      <w:r>
        <w:rPr>
          <w:rFonts w:ascii="仿宋" w:hAnsi="仿宋"/>
          <w:sz w:val="32"/>
          <w:szCs w:val="32"/>
        </w:rPr>
        <w:t>区</w:t>
      </w:r>
      <w:r>
        <w:rPr>
          <w:rFonts w:hint="eastAsia" w:ascii="仿宋" w:hAnsi="仿宋"/>
          <w:sz w:val="32"/>
          <w:szCs w:val="32"/>
        </w:rPr>
        <w:t>）</w:t>
      </w:r>
      <w:r>
        <w:rPr>
          <w:rFonts w:ascii="仿宋" w:hAnsi="仿宋"/>
          <w:sz w:val="32"/>
          <w:szCs w:val="32"/>
        </w:rPr>
        <w:t>和经济重镇互联互通交通体系建设</w:t>
      </w:r>
      <w:r>
        <w:rPr>
          <w:rFonts w:hint="eastAsia" w:ascii="仿宋" w:hAnsi="仿宋"/>
          <w:sz w:val="32"/>
          <w:szCs w:val="32"/>
        </w:rPr>
        <w:t>；加快城市内部“环湾环城、多向放射”快速路系统建设，构建“城市轨道</w:t>
      </w:r>
      <w:r>
        <w:rPr>
          <w:rFonts w:ascii="仿宋" w:hAnsi="仿宋"/>
          <w:sz w:val="32"/>
          <w:szCs w:val="32"/>
        </w:rPr>
        <w:t>+中运量公交”快速公共交通系统，实现环湾交通一体化发展。</w:t>
      </w:r>
    </w:p>
    <w:p w14:paraId="15A62C62">
      <w:pPr>
        <w:widowControl/>
        <w:spacing w:line="240" w:lineRule="auto"/>
        <w:ind w:firstLine="0" w:firstLineChars="0"/>
        <w:jc w:val="left"/>
        <w:rPr>
          <w:rFonts w:ascii="黑体" w:hAnsi="黑体" w:eastAsia="黑体"/>
          <w:b/>
          <w:bCs/>
          <w:kern w:val="44"/>
          <w:sz w:val="40"/>
          <w:szCs w:val="56"/>
        </w:rPr>
      </w:pPr>
      <w:r>
        <w:rPr>
          <w:rFonts w:ascii="黑体" w:hAnsi="黑体"/>
          <w:sz w:val="40"/>
          <w:szCs w:val="56"/>
        </w:rPr>
        <w:br w:type="page"/>
      </w:r>
    </w:p>
    <w:p w14:paraId="548D54D8">
      <w:pPr>
        <w:pStyle w:val="2"/>
        <w:spacing w:after="312" w:afterLines="100"/>
        <w:rPr>
          <w:rFonts w:ascii="黑体" w:hAnsi="黑体"/>
          <w:sz w:val="40"/>
          <w:szCs w:val="56"/>
        </w:rPr>
      </w:pPr>
      <w:bookmarkStart w:id="95" w:name="_Toc17662"/>
      <w:bookmarkStart w:id="96" w:name="_Toc31977"/>
      <w:bookmarkStart w:id="97" w:name="_Toc890"/>
      <w:bookmarkStart w:id="98" w:name="_Toc30458"/>
      <w:bookmarkStart w:id="99" w:name="_Toc22750"/>
      <w:r>
        <w:rPr>
          <w:rFonts w:hint="eastAsia" w:ascii="黑体" w:hAnsi="黑体"/>
          <w:sz w:val="40"/>
          <w:szCs w:val="56"/>
        </w:rPr>
        <w:t>第二章</w:t>
      </w:r>
      <w:r>
        <w:rPr>
          <w:rFonts w:ascii="黑体" w:hAnsi="黑体"/>
          <w:sz w:val="40"/>
          <w:szCs w:val="56"/>
        </w:rPr>
        <w:t xml:space="preserve">  </w:t>
      </w:r>
      <w:r>
        <w:rPr>
          <w:rFonts w:hint="eastAsia" w:ascii="黑体" w:hAnsi="黑体"/>
          <w:sz w:val="40"/>
          <w:szCs w:val="56"/>
        </w:rPr>
        <w:t>总体要求</w:t>
      </w:r>
      <w:bookmarkEnd w:id="95"/>
      <w:bookmarkEnd w:id="96"/>
      <w:bookmarkEnd w:id="97"/>
      <w:bookmarkEnd w:id="98"/>
      <w:bookmarkEnd w:id="99"/>
    </w:p>
    <w:p w14:paraId="681776D8">
      <w:pPr>
        <w:pStyle w:val="3"/>
        <w:spacing w:before="156" w:beforeLines="50" w:after="156" w:afterLines="50" w:line="540" w:lineRule="exact"/>
        <w:ind w:firstLine="643" w:firstLineChars="200"/>
        <w:rPr>
          <w:rFonts w:ascii="黑体" w:hAnsi="黑体" w:eastAsia="黑体"/>
          <w:sz w:val="32"/>
        </w:rPr>
      </w:pPr>
      <w:bookmarkStart w:id="100" w:name="_Toc29099"/>
      <w:bookmarkStart w:id="101" w:name="_Toc32671"/>
      <w:bookmarkStart w:id="102" w:name="_Toc14092"/>
      <w:bookmarkStart w:id="103" w:name="_Toc7160"/>
      <w:bookmarkStart w:id="104" w:name="_Toc19207"/>
      <w:r>
        <w:rPr>
          <w:rFonts w:hint="eastAsia" w:ascii="黑体" w:hAnsi="黑体" w:eastAsia="黑体"/>
          <w:sz w:val="32"/>
        </w:rPr>
        <w:t>一、指导思想</w:t>
      </w:r>
      <w:bookmarkEnd w:id="100"/>
      <w:bookmarkEnd w:id="101"/>
      <w:bookmarkEnd w:id="102"/>
      <w:bookmarkEnd w:id="103"/>
      <w:bookmarkEnd w:id="104"/>
    </w:p>
    <w:p w14:paraId="2ECE64B4">
      <w:pPr>
        <w:snapToGrid w:val="0"/>
        <w:spacing w:line="540" w:lineRule="exact"/>
        <w:ind w:firstLine="620"/>
        <w:rPr>
          <w:rFonts w:ascii="仿宋" w:hAnsi="仿宋" w:cs="仿宋"/>
          <w:w w:val="97"/>
          <w:sz w:val="32"/>
          <w:szCs w:val="32"/>
        </w:rPr>
      </w:pPr>
      <w:r>
        <w:rPr>
          <w:rFonts w:hint="eastAsia" w:ascii="仿宋" w:hAnsi="仿宋" w:cs="仿宋"/>
          <w:w w:val="97"/>
          <w:sz w:val="32"/>
          <w:szCs w:val="32"/>
        </w:rPr>
        <w:t>以习近平新时代中国特色社会主义思想为指导，深入贯彻党的十九大和十九届历次全会精神和习近平总书记来闽考察重要讲话精神，落实省委十届十一次全会要求，立足新发展阶段，贯彻新发展理念，积极服务并深度融入新发展格局，坚持以人民为中心和系统观念，勇当福建全方位推进高质量发展超越主力军,以解决人民群众最关心、最直接、最现实的问题为立足点，秉承“精心规划、精致建设、精细管理、精美呈现、精明增长”的规划理念，实施跨江发展、跨域融合、市域统筹、县域联动、城乡一体，推动城乡基础设施品质提升，构建系统完备、高效实用、智能绿色、安全可靠的现代化城乡基础设施体系，为建设海丝名城、智造强市、品质泉州提供坚实基础，支撑实现居者自豪、来者依恋、闻者向往的圆梦之城、幸福之城，为奋力谱写全面建设社会主义现代化国家的泉州篇章奠定坚实基础。</w:t>
      </w:r>
    </w:p>
    <w:p w14:paraId="3F8013DA">
      <w:pPr>
        <w:pStyle w:val="3"/>
        <w:spacing w:before="156" w:beforeLines="50" w:after="156" w:afterLines="50" w:line="540" w:lineRule="exact"/>
        <w:ind w:firstLine="643" w:firstLineChars="200"/>
        <w:rPr>
          <w:rFonts w:ascii="黑体" w:hAnsi="黑体" w:eastAsia="黑体"/>
          <w:sz w:val="32"/>
        </w:rPr>
      </w:pPr>
      <w:bookmarkStart w:id="105" w:name="_Toc16139"/>
      <w:bookmarkStart w:id="106" w:name="_Toc21521"/>
      <w:bookmarkStart w:id="107" w:name="_Toc14824"/>
      <w:bookmarkStart w:id="108" w:name="_Toc16790"/>
      <w:bookmarkStart w:id="109" w:name="_Toc18526"/>
      <w:r>
        <w:rPr>
          <w:rFonts w:hint="eastAsia" w:ascii="黑体" w:hAnsi="黑体" w:eastAsia="黑体"/>
          <w:sz w:val="32"/>
        </w:rPr>
        <w:t>二、基本原则</w:t>
      </w:r>
      <w:bookmarkEnd w:id="105"/>
      <w:bookmarkEnd w:id="106"/>
      <w:bookmarkEnd w:id="107"/>
      <w:bookmarkEnd w:id="108"/>
      <w:bookmarkEnd w:id="109"/>
    </w:p>
    <w:p w14:paraId="584709F2">
      <w:pPr>
        <w:snapToGrid w:val="0"/>
        <w:spacing w:line="540" w:lineRule="exact"/>
        <w:ind w:firstLine="643"/>
        <w:rPr>
          <w:rFonts w:ascii="仿宋" w:hAnsi="仿宋"/>
          <w:sz w:val="32"/>
          <w:szCs w:val="32"/>
        </w:rPr>
      </w:pPr>
      <w:r>
        <w:rPr>
          <w:rFonts w:ascii="仿宋" w:hAnsi="仿宋"/>
          <w:b/>
          <w:sz w:val="32"/>
          <w:szCs w:val="32"/>
        </w:rPr>
        <w:t>坚持</w:t>
      </w:r>
      <w:r>
        <w:rPr>
          <w:rFonts w:hint="eastAsia" w:ascii="仿宋" w:hAnsi="仿宋"/>
          <w:b/>
          <w:sz w:val="32"/>
          <w:szCs w:val="32"/>
        </w:rPr>
        <w:t>以人为本</w:t>
      </w:r>
      <w:r>
        <w:rPr>
          <w:rFonts w:ascii="仿宋" w:hAnsi="仿宋"/>
          <w:b/>
          <w:sz w:val="32"/>
          <w:szCs w:val="32"/>
        </w:rPr>
        <w:t>，增进民生福祉。</w:t>
      </w:r>
      <w:r>
        <w:rPr>
          <w:rFonts w:ascii="仿宋" w:hAnsi="仿宋"/>
          <w:sz w:val="32"/>
          <w:szCs w:val="32"/>
        </w:rPr>
        <w:t>突出人民主体地位，以改善人居环境为宗旨，</w:t>
      </w:r>
      <w:r>
        <w:rPr>
          <w:rFonts w:hint="eastAsia"/>
          <w:sz w:val="32"/>
          <w:szCs w:val="32"/>
        </w:rPr>
        <w:t>结合</w:t>
      </w:r>
      <w:r>
        <w:rPr>
          <w:rFonts w:hint="eastAsia" w:eastAsia="仿宋_GB2312"/>
          <w:sz w:val="32"/>
          <w:szCs w:val="32"/>
        </w:rPr>
        <w:t>城市体检</w:t>
      </w:r>
      <w:r>
        <w:rPr>
          <w:rFonts w:hint="eastAsia"/>
          <w:sz w:val="32"/>
          <w:szCs w:val="32"/>
        </w:rPr>
        <w:t>评估，</w:t>
      </w:r>
      <w:r>
        <w:rPr>
          <w:rFonts w:ascii="仿宋" w:hAnsi="仿宋"/>
          <w:sz w:val="32"/>
          <w:szCs w:val="32"/>
        </w:rPr>
        <w:t>以完善基础设施功能为重点，着力解决</w:t>
      </w:r>
      <w:r>
        <w:rPr>
          <w:rFonts w:hint="eastAsia" w:ascii="仿宋" w:hAnsi="仿宋"/>
          <w:sz w:val="32"/>
          <w:szCs w:val="32"/>
        </w:rPr>
        <w:t>群众</w:t>
      </w:r>
      <w:r>
        <w:rPr>
          <w:rFonts w:ascii="仿宋" w:hAnsi="仿宋"/>
          <w:sz w:val="32"/>
          <w:szCs w:val="32"/>
        </w:rPr>
        <w:t>关注的建设与管理热点、难点问题，更加关注群众发展需求，更加关注生活品质提升，共享发展成果，</w:t>
      </w:r>
      <w:r>
        <w:rPr>
          <w:rFonts w:hint="eastAsia" w:ascii="仿宋" w:hAnsi="仿宋"/>
          <w:sz w:val="32"/>
          <w:szCs w:val="32"/>
        </w:rPr>
        <w:t>让</w:t>
      </w:r>
      <w:r>
        <w:rPr>
          <w:rFonts w:ascii="仿宋" w:hAnsi="仿宋"/>
          <w:sz w:val="32"/>
          <w:szCs w:val="32"/>
        </w:rPr>
        <w:t>群众拥有</w:t>
      </w:r>
      <w:r>
        <w:rPr>
          <w:rFonts w:hint="eastAsia" w:ascii="仿宋" w:hAnsi="仿宋"/>
          <w:sz w:val="32"/>
          <w:szCs w:val="32"/>
        </w:rPr>
        <w:t>更大</w:t>
      </w:r>
      <w:r>
        <w:rPr>
          <w:rFonts w:ascii="仿宋" w:hAnsi="仿宋"/>
          <w:sz w:val="32"/>
          <w:szCs w:val="32"/>
        </w:rPr>
        <w:t>获得感。</w:t>
      </w:r>
    </w:p>
    <w:p w14:paraId="1F7DD782">
      <w:pPr>
        <w:spacing w:line="540" w:lineRule="exact"/>
        <w:ind w:firstLine="643"/>
        <w:rPr>
          <w:rFonts w:ascii="仿宋" w:hAnsi="仿宋"/>
          <w:sz w:val="32"/>
          <w:szCs w:val="32"/>
        </w:rPr>
      </w:pPr>
      <w:r>
        <w:rPr>
          <w:rFonts w:ascii="仿宋" w:hAnsi="仿宋"/>
          <w:b/>
          <w:sz w:val="32"/>
          <w:szCs w:val="32"/>
        </w:rPr>
        <w:t>推进城乡统筹，聚力环湾融合。</w:t>
      </w:r>
      <w:r>
        <w:rPr>
          <w:rFonts w:ascii="仿宋" w:hAnsi="仿宋"/>
          <w:sz w:val="32"/>
          <w:szCs w:val="32"/>
        </w:rPr>
        <w:t>按照推进市政公共服务均等化的要求，全面推进城乡公共服务设施合理布局，补足</w:t>
      </w:r>
      <w:r>
        <w:rPr>
          <w:rFonts w:hint="eastAsia" w:ascii="仿宋" w:hAnsi="仿宋"/>
          <w:sz w:val="32"/>
          <w:szCs w:val="32"/>
        </w:rPr>
        <w:t>城乡</w:t>
      </w:r>
      <w:r>
        <w:rPr>
          <w:rFonts w:ascii="仿宋" w:hAnsi="仿宋"/>
          <w:sz w:val="32"/>
          <w:szCs w:val="32"/>
        </w:rPr>
        <w:t>基础设施短板</w:t>
      </w:r>
      <w:r>
        <w:rPr>
          <w:rFonts w:hint="eastAsia" w:ascii="仿宋" w:hAnsi="仿宋"/>
          <w:sz w:val="32"/>
          <w:szCs w:val="32"/>
        </w:rPr>
        <w:t>，</w:t>
      </w:r>
      <w:r>
        <w:rPr>
          <w:rFonts w:ascii="仿宋" w:hAnsi="仿宋"/>
          <w:sz w:val="32"/>
          <w:szCs w:val="32"/>
        </w:rPr>
        <w:t>推进以人为核心的新型城镇化；聚力环湾融合发展，坚定不移实施城市更新行动</w:t>
      </w:r>
      <w:r>
        <w:rPr>
          <w:rFonts w:hint="eastAsia" w:ascii="仿宋" w:hAnsi="仿宋"/>
          <w:sz w:val="32"/>
          <w:szCs w:val="32"/>
        </w:rPr>
        <w:t>和乡村建设行动</w:t>
      </w:r>
      <w:r>
        <w:rPr>
          <w:rFonts w:ascii="仿宋" w:hAnsi="仿宋"/>
          <w:sz w:val="32"/>
          <w:szCs w:val="32"/>
        </w:rPr>
        <w:t>，推动环湾高质量发展，努力把环湾</w:t>
      </w:r>
      <w:r>
        <w:rPr>
          <w:rFonts w:hint="eastAsia" w:ascii="仿宋" w:hAnsi="仿宋"/>
          <w:sz w:val="32"/>
          <w:szCs w:val="32"/>
        </w:rPr>
        <w:t>地区</w:t>
      </w:r>
      <w:r>
        <w:rPr>
          <w:rFonts w:ascii="仿宋" w:hAnsi="仿宋"/>
          <w:sz w:val="32"/>
          <w:szCs w:val="32"/>
        </w:rPr>
        <w:t>建成人与人、人与自然和谐共处的美丽家园。</w:t>
      </w:r>
    </w:p>
    <w:p w14:paraId="68B4B881">
      <w:pPr>
        <w:spacing w:line="540" w:lineRule="exact"/>
        <w:ind w:firstLine="643"/>
        <w:rPr>
          <w:rFonts w:ascii="仿宋" w:hAnsi="仿宋"/>
          <w:sz w:val="32"/>
          <w:szCs w:val="32"/>
        </w:rPr>
      </w:pPr>
      <w:r>
        <w:rPr>
          <w:rFonts w:ascii="仿宋" w:hAnsi="仿宋"/>
          <w:b/>
          <w:sz w:val="32"/>
          <w:szCs w:val="32"/>
        </w:rPr>
        <w:t>突出绿色低碳，打造生态文明。</w:t>
      </w:r>
      <w:r>
        <w:rPr>
          <w:rFonts w:ascii="仿宋" w:hAnsi="仿宋"/>
          <w:sz w:val="32"/>
          <w:szCs w:val="32"/>
        </w:rPr>
        <w:t>坚持生态为本，突出绿色发展，加快城乡基础设施发展绿色低碳转型，全面推进海绵城市、生态园林城市</w:t>
      </w:r>
      <w:r>
        <w:rPr>
          <w:rFonts w:hint="eastAsia" w:ascii="仿宋" w:hAnsi="仿宋"/>
          <w:sz w:val="32"/>
          <w:szCs w:val="32"/>
        </w:rPr>
        <w:t>建设，优化调整能源结构，深入推进低碳交通发展，践行绿色生活方式，</w:t>
      </w:r>
      <w:r>
        <w:rPr>
          <w:rFonts w:ascii="仿宋" w:hAnsi="仿宋"/>
          <w:sz w:val="32"/>
          <w:szCs w:val="32"/>
        </w:rPr>
        <w:t>加快推进碳达峰</w:t>
      </w:r>
      <w:r>
        <w:rPr>
          <w:rFonts w:hint="eastAsia" w:ascii="仿宋" w:hAnsi="仿宋"/>
          <w:sz w:val="32"/>
          <w:szCs w:val="32"/>
        </w:rPr>
        <w:t>、</w:t>
      </w:r>
      <w:r>
        <w:rPr>
          <w:rFonts w:ascii="仿宋" w:hAnsi="仿宋"/>
          <w:sz w:val="32"/>
          <w:szCs w:val="32"/>
        </w:rPr>
        <w:t>碳中和</w:t>
      </w:r>
      <w:r>
        <w:rPr>
          <w:rFonts w:hint="eastAsia" w:ascii="仿宋" w:hAnsi="仿宋"/>
          <w:sz w:val="32"/>
          <w:szCs w:val="32"/>
        </w:rPr>
        <w:t>，</w:t>
      </w:r>
      <w:r>
        <w:rPr>
          <w:rFonts w:ascii="仿宋" w:hAnsi="仿宋"/>
          <w:sz w:val="32"/>
          <w:szCs w:val="32"/>
        </w:rPr>
        <w:t>实现生态环境持续改善，城乡人居环境明显改善。</w:t>
      </w:r>
    </w:p>
    <w:p w14:paraId="43066DC3">
      <w:pPr>
        <w:spacing w:line="540" w:lineRule="exact"/>
        <w:ind w:firstLine="643"/>
        <w:rPr>
          <w:rFonts w:ascii="仿宋" w:hAnsi="仿宋"/>
          <w:sz w:val="32"/>
          <w:szCs w:val="32"/>
        </w:rPr>
      </w:pPr>
      <w:r>
        <w:rPr>
          <w:rFonts w:ascii="仿宋" w:hAnsi="仿宋"/>
          <w:b/>
          <w:sz w:val="32"/>
          <w:szCs w:val="32"/>
        </w:rPr>
        <w:t>坚持智慧创新,提升建管效能。</w:t>
      </w:r>
      <w:r>
        <w:rPr>
          <w:rFonts w:ascii="仿宋" w:hAnsi="仿宋"/>
          <w:sz w:val="32"/>
          <w:szCs w:val="32"/>
        </w:rPr>
        <w:t>以“新城建”对接“新基建”，建设城市信息模型（CIM）,加快完善城市规划建设管理体制机制，全面提高城乡基础设施建设与管理效能，融入和助力“五个泉州”建设，让公众共享城市发展成果。</w:t>
      </w:r>
    </w:p>
    <w:p w14:paraId="0F030C09">
      <w:pPr>
        <w:spacing w:line="540" w:lineRule="exact"/>
        <w:ind w:firstLine="643"/>
        <w:rPr>
          <w:rFonts w:ascii="仿宋" w:hAnsi="仿宋"/>
          <w:sz w:val="32"/>
          <w:szCs w:val="32"/>
        </w:rPr>
      </w:pPr>
      <w:r>
        <w:rPr>
          <w:rFonts w:ascii="仿宋" w:hAnsi="仿宋"/>
          <w:b/>
          <w:sz w:val="32"/>
          <w:szCs w:val="32"/>
        </w:rPr>
        <w:t>拓展晋江经验,倡导共享共建。</w:t>
      </w:r>
      <w:r>
        <w:rPr>
          <w:rFonts w:ascii="仿宋" w:hAnsi="仿宋"/>
          <w:sz w:val="32"/>
          <w:szCs w:val="32"/>
        </w:rPr>
        <w:t>强化政府公共责任</w:t>
      </w:r>
      <w:r>
        <w:rPr>
          <w:rFonts w:hint="eastAsia" w:ascii="仿宋" w:hAnsi="仿宋"/>
          <w:sz w:val="32"/>
          <w:szCs w:val="32"/>
        </w:rPr>
        <w:t>，</w:t>
      </w:r>
      <w:r>
        <w:rPr>
          <w:rFonts w:ascii="仿宋" w:hAnsi="仿宋"/>
          <w:sz w:val="32"/>
          <w:szCs w:val="32"/>
        </w:rPr>
        <w:t>倡导公众参与,逐步开放基础设施建设市场,弘扬“晋江经验”，</w:t>
      </w:r>
      <w:r>
        <w:rPr>
          <w:rFonts w:hint="eastAsia" w:ascii="仿宋" w:hAnsi="仿宋"/>
          <w:sz w:val="32"/>
          <w:szCs w:val="32"/>
        </w:rPr>
        <w:t>争创共同富裕先行城市</w:t>
      </w:r>
      <w:r>
        <w:rPr>
          <w:rFonts w:ascii="仿宋" w:hAnsi="仿宋"/>
          <w:sz w:val="32"/>
          <w:szCs w:val="32"/>
        </w:rPr>
        <w:t>,积极推进基础设施</w:t>
      </w:r>
      <w:r>
        <w:rPr>
          <w:rFonts w:hint="eastAsia" w:ascii="仿宋" w:hAnsi="仿宋"/>
          <w:sz w:val="32"/>
          <w:szCs w:val="32"/>
        </w:rPr>
        <w:t>建设运行</w:t>
      </w:r>
      <w:r>
        <w:rPr>
          <w:rFonts w:ascii="仿宋" w:hAnsi="仿宋"/>
          <w:sz w:val="32"/>
          <w:szCs w:val="32"/>
        </w:rPr>
        <w:t>市场化</w:t>
      </w:r>
      <w:r>
        <w:rPr>
          <w:rFonts w:hint="eastAsia" w:ascii="仿宋" w:hAnsi="仿宋"/>
          <w:sz w:val="32"/>
          <w:szCs w:val="32"/>
        </w:rPr>
        <w:t>进程</w:t>
      </w:r>
      <w:r>
        <w:rPr>
          <w:rFonts w:ascii="仿宋" w:hAnsi="仿宋"/>
          <w:sz w:val="32"/>
          <w:szCs w:val="32"/>
        </w:rPr>
        <w:t>、投融资渠道多元化发展,构建各方参与、多元共建的城乡基础设施建设格局</w:t>
      </w:r>
      <w:r>
        <w:rPr>
          <w:rFonts w:hint="eastAsia" w:ascii="仿宋" w:hAnsi="仿宋"/>
          <w:sz w:val="32"/>
          <w:szCs w:val="32"/>
        </w:rPr>
        <w:t>。</w:t>
      </w:r>
    </w:p>
    <w:p w14:paraId="6FCA2FC2">
      <w:pPr>
        <w:pStyle w:val="3"/>
        <w:spacing w:before="156" w:beforeLines="50" w:after="156" w:afterLines="50" w:line="540" w:lineRule="exact"/>
        <w:ind w:firstLine="643" w:firstLineChars="200"/>
        <w:rPr>
          <w:rFonts w:ascii="黑体" w:hAnsi="黑体" w:eastAsia="黑体"/>
          <w:sz w:val="32"/>
        </w:rPr>
      </w:pPr>
      <w:bookmarkStart w:id="110" w:name="_Toc21547"/>
      <w:bookmarkStart w:id="111" w:name="_Toc6296"/>
      <w:bookmarkStart w:id="112" w:name="_Toc17033"/>
      <w:bookmarkStart w:id="113" w:name="_Toc18942"/>
      <w:bookmarkStart w:id="114" w:name="_Toc23687"/>
      <w:r>
        <w:rPr>
          <w:rFonts w:hint="eastAsia" w:ascii="黑体" w:hAnsi="黑体" w:eastAsia="黑体"/>
          <w:sz w:val="32"/>
        </w:rPr>
        <w:t>三、发展思路</w:t>
      </w:r>
      <w:bookmarkEnd w:id="110"/>
      <w:bookmarkEnd w:id="111"/>
      <w:bookmarkEnd w:id="112"/>
      <w:bookmarkEnd w:id="113"/>
      <w:bookmarkEnd w:id="114"/>
    </w:p>
    <w:p w14:paraId="7506DFE0">
      <w:pPr>
        <w:spacing w:line="540" w:lineRule="exact"/>
        <w:ind w:firstLine="640"/>
        <w:rPr>
          <w:rFonts w:ascii="仿宋" w:hAnsi="仿宋" w:cs="仿宋"/>
          <w:sz w:val="32"/>
          <w:szCs w:val="32"/>
        </w:rPr>
      </w:pPr>
      <w:r>
        <w:rPr>
          <w:rFonts w:hint="eastAsia" w:ascii="仿宋" w:hAnsi="仿宋" w:cs="仿宋"/>
          <w:sz w:val="32"/>
          <w:szCs w:val="32"/>
        </w:rPr>
        <w:t>“十四五”时期，围绕建设“海丝名城、智造强市、品质泉州”和实现“五个双提升”、基础设施优先、生态环境优化，对标“五大工程”，立足做大做强中心城区、做实做优次中心组团、做精做美小城镇和新农村，泉州市城乡基础设施以城市体检评估为手段，以提质增效为主线，以新区集聚和古城提质为重点，构建支撑跨江发展、跨域融合、区划重构、聚城畅通、聚湾强心的现代化城乡基础设施体系，实现环湾聚核成型，城市综合承载力、辐射力显著增强，加快城乡融合发展。</w:t>
      </w:r>
    </w:p>
    <w:p w14:paraId="6F27A97E">
      <w:pPr>
        <w:spacing w:line="540" w:lineRule="exact"/>
        <w:ind w:firstLine="643"/>
        <w:rPr>
          <w:sz w:val="32"/>
          <w:szCs w:val="32"/>
        </w:rPr>
      </w:pPr>
      <w:r>
        <w:rPr>
          <w:rFonts w:hint="eastAsia"/>
          <w:b/>
          <w:bCs/>
          <w:sz w:val="32"/>
          <w:szCs w:val="32"/>
        </w:rPr>
        <w:t>推进新区集聚提质，加快中心城区建设。</w:t>
      </w:r>
      <w:r>
        <w:rPr>
          <w:rFonts w:hint="eastAsia" w:ascii="仿宋" w:hAnsi="仿宋" w:cs="仿宋"/>
          <w:sz w:val="32"/>
          <w:szCs w:val="32"/>
        </w:rPr>
        <w:t>以东海行政中心为中轴，按时序、有节奏、成片式统筹推进“后埔-蟳埔、后渚莲垵-观音山公园”建设，做强东海核心区；以晋江晋东、泉州台商投资区秀涂为两翼，联动实施海尾仙石、晋江二体、海江秀涂片区，联动两江两岸，实质性推进新区新城建设。重点实施“聚城畅通”工程，开展中心城区“高快一体”建设，贯通环湾快速路网，提升对外辐射带动能力。</w:t>
      </w:r>
    </w:p>
    <w:p w14:paraId="5BD04805">
      <w:pPr>
        <w:spacing w:line="540" w:lineRule="exact"/>
        <w:ind w:firstLine="643"/>
        <w:rPr>
          <w:sz w:val="32"/>
          <w:szCs w:val="32"/>
        </w:rPr>
      </w:pPr>
      <w:r>
        <w:rPr>
          <w:rFonts w:hint="eastAsia"/>
          <w:b/>
          <w:bCs/>
          <w:sz w:val="32"/>
          <w:szCs w:val="32"/>
        </w:rPr>
        <w:t>推进古城保护提质，做强“海丝名城”品牌。</w:t>
      </w:r>
      <w:r>
        <w:rPr>
          <w:rFonts w:hint="eastAsia"/>
          <w:sz w:val="32"/>
          <w:szCs w:val="32"/>
        </w:rPr>
        <w:t>按照“一轴三片”（中山路历史文化街区，西街、后城、城南三个片区）发展格局，分期分片实施古城街巷整治，</w:t>
      </w:r>
      <w:r>
        <w:rPr>
          <w:rFonts w:hint="eastAsia" w:ascii="仿宋" w:hAnsi="仿宋"/>
          <w:kern w:val="0"/>
          <w:sz w:val="32"/>
          <w:szCs w:val="32"/>
        </w:rPr>
        <w:t>实施市政道路综合管线整治、骑楼建筑结构加固、风貌建筑立面修缮，启动古城夜景亮化工程，提升古城水环境质量</w:t>
      </w:r>
      <w:r>
        <w:rPr>
          <w:rFonts w:hint="eastAsia"/>
          <w:sz w:val="32"/>
          <w:szCs w:val="32"/>
        </w:rPr>
        <w:t>，加强古城与江南片区等的交通联系，助力非古城功能疏解，打造“世界的古城、活着的古城”。</w:t>
      </w:r>
    </w:p>
    <w:p w14:paraId="1A25FF26">
      <w:pPr>
        <w:spacing w:line="540" w:lineRule="exact"/>
        <w:ind w:firstLine="643"/>
        <w:rPr>
          <w:rFonts w:ascii="仿宋" w:hAnsi="仿宋"/>
          <w:sz w:val="32"/>
          <w:szCs w:val="32"/>
        </w:rPr>
      </w:pPr>
      <w:r>
        <w:rPr>
          <w:rFonts w:hint="eastAsia" w:asciiTheme="minorEastAsia" w:hAnsiTheme="minorEastAsia"/>
          <w:b/>
          <w:sz w:val="32"/>
          <w:szCs w:val="32"/>
        </w:rPr>
        <w:t>推进区域同城化发展，勇当区域协调发展主力军。</w:t>
      </w:r>
      <w:r>
        <w:rPr>
          <w:rFonts w:hint="eastAsia"/>
          <w:sz w:val="32"/>
          <w:szCs w:val="32"/>
        </w:rPr>
        <w:t>立足与毗邻市域的协同发展，稳</w:t>
      </w:r>
      <w:r>
        <w:rPr>
          <w:sz w:val="32"/>
          <w:szCs w:val="32"/>
        </w:rPr>
        <w:t>步推进南翼、北翼、西部区域建设。</w:t>
      </w:r>
      <w:r>
        <w:rPr>
          <w:rFonts w:hint="eastAsia"/>
          <w:sz w:val="32"/>
          <w:szCs w:val="32"/>
        </w:rPr>
        <w:t>南翼区域重点完善区域交通路网，强化泉厦快速交通通道建设，补齐供水、供气等市政设施短板，支撑打造工业城、科技城、未来城，推动与金门率先融合发展。北翼区域重点聚焦港产城联动发展基础设施建设，构建市区至北翼新城放射线及北翼新城环路系统，共建闽中出海大通道。西部区域推动区域水资源协同发展，打造贯通山海、联接中西部的客货运大通道，谋划加密泉州至三明、龙岩等闽西南协同发展通道，打造厦泉三发展轴的门户通道。</w:t>
      </w:r>
    </w:p>
    <w:p w14:paraId="053F80CA">
      <w:pPr>
        <w:pStyle w:val="3"/>
        <w:spacing w:before="156" w:beforeLines="50" w:after="156" w:afterLines="50" w:line="540" w:lineRule="exact"/>
        <w:ind w:firstLine="643" w:firstLineChars="200"/>
        <w:rPr>
          <w:rFonts w:ascii="黑体" w:hAnsi="黑体" w:eastAsia="黑体"/>
          <w:sz w:val="32"/>
        </w:rPr>
      </w:pPr>
      <w:bookmarkStart w:id="115" w:name="_Toc18650"/>
      <w:bookmarkStart w:id="116" w:name="_Toc9658"/>
      <w:bookmarkStart w:id="117" w:name="_Toc14167"/>
      <w:bookmarkStart w:id="118" w:name="_Toc14611"/>
      <w:bookmarkStart w:id="119" w:name="_Toc20982"/>
      <w:r>
        <w:rPr>
          <w:rFonts w:hint="eastAsia" w:ascii="黑体" w:hAnsi="黑体" w:eastAsia="黑体"/>
          <w:sz w:val="32"/>
        </w:rPr>
        <w:t>四、发展目标</w:t>
      </w:r>
      <w:bookmarkEnd w:id="115"/>
      <w:bookmarkEnd w:id="116"/>
      <w:bookmarkEnd w:id="117"/>
      <w:bookmarkEnd w:id="118"/>
      <w:bookmarkEnd w:id="119"/>
    </w:p>
    <w:p w14:paraId="1011DFF4">
      <w:pPr>
        <w:snapToGrid w:val="0"/>
        <w:spacing w:line="540" w:lineRule="exact"/>
        <w:ind w:firstLine="640"/>
        <w:rPr>
          <w:rFonts w:ascii="仿宋" w:hAnsi="仿宋"/>
          <w:sz w:val="32"/>
          <w:szCs w:val="32"/>
        </w:rPr>
      </w:pPr>
      <w:r>
        <w:rPr>
          <w:rFonts w:hint="eastAsia" w:ascii="仿宋" w:hAnsi="仿宋"/>
          <w:sz w:val="32"/>
          <w:szCs w:val="32"/>
        </w:rPr>
        <w:t>到</w:t>
      </w:r>
      <w:r>
        <w:rPr>
          <w:rFonts w:ascii="仿宋" w:hAnsi="仿宋"/>
          <w:sz w:val="32"/>
          <w:szCs w:val="32"/>
        </w:rPr>
        <w:t>2025年，</w:t>
      </w:r>
      <w:r>
        <w:rPr>
          <w:rFonts w:hint="eastAsia" w:ascii="仿宋" w:hAnsi="仿宋"/>
          <w:sz w:val="32"/>
          <w:szCs w:val="32"/>
        </w:rPr>
        <w:t>初步建成“系统完备、高效实用、智能绿色、安全可靠”的现代化城乡基础设施体系，城乡建设绿色转型成效明显，环湾核心区城市形象基本形成，基础设施整体质量、运行效率和服务水平明显提升，</w:t>
      </w:r>
      <w:r>
        <w:rPr>
          <w:rFonts w:hint="eastAsia"/>
          <w:sz w:val="32"/>
          <w:szCs w:val="32"/>
        </w:rPr>
        <w:t>人居环境明显改善，</w:t>
      </w:r>
      <w:r>
        <w:rPr>
          <w:rFonts w:hint="eastAsia" w:ascii="仿宋" w:hAnsi="仿宋"/>
          <w:sz w:val="32"/>
          <w:szCs w:val="32"/>
        </w:rPr>
        <w:t>实现统管区城市基础设施基本完备、统筹区城乡基础设施功能品质提升、市域</w:t>
      </w:r>
      <w:r>
        <w:rPr>
          <w:rFonts w:hint="eastAsia"/>
          <w:sz w:val="32"/>
          <w:szCs w:val="32"/>
        </w:rPr>
        <w:t>城乡基础设施</w:t>
      </w:r>
      <w:r>
        <w:rPr>
          <w:rFonts w:hint="eastAsia" w:ascii="仿宋" w:hAnsi="仿宋"/>
          <w:sz w:val="32"/>
          <w:szCs w:val="32"/>
        </w:rPr>
        <w:t>协调发展</w:t>
      </w:r>
      <w:r>
        <w:rPr>
          <w:rFonts w:hint="eastAsia"/>
          <w:sz w:val="32"/>
          <w:szCs w:val="32"/>
        </w:rPr>
        <w:t>统盘推进</w:t>
      </w:r>
      <w:r>
        <w:rPr>
          <w:rFonts w:hint="eastAsia" w:ascii="仿宋" w:hAnsi="仿宋"/>
          <w:sz w:val="32"/>
          <w:szCs w:val="32"/>
        </w:rPr>
        <w:t>，有力支撑</w:t>
      </w:r>
      <w:r>
        <w:rPr>
          <w:rFonts w:hint="eastAsia"/>
          <w:sz w:val="32"/>
          <w:szCs w:val="32"/>
        </w:rPr>
        <w:t>“品质泉州”建设与</w:t>
      </w:r>
      <w:r>
        <w:rPr>
          <w:rFonts w:hint="eastAsia" w:ascii="仿宋" w:hAnsi="仿宋"/>
          <w:sz w:val="32"/>
          <w:szCs w:val="32"/>
        </w:rPr>
        <w:t>经济社会发展需求。</w:t>
      </w:r>
    </w:p>
    <w:p w14:paraId="529A4125">
      <w:pPr>
        <w:snapToGrid w:val="0"/>
        <w:spacing w:line="540" w:lineRule="exact"/>
        <w:ind w:firstLine="640"/>
        <w:rPr>
          <w:rFonts w:ascii="仿宋" w:hAnsi="仿宋"/>
          <w:sz w:val="32"/>
          <w:szCs w:val="32"/>
        </w:rPr>
      </w:pPr>
      <w:r>
        <w:rPr>
          <w:rFonts w:hint="eastAsia" w:ascii="仿宋" w:hAnsi="仿宋"/>
          <w:sz w:val="32"/>
          <w:szCs w:val="32"/>
        </w:rPr>
        <w:t>到</w:t>
      </w:r>
      <w:r>
        <w:rPr>
          <w:rFonts w:ascii="仿宋" w:hAnsi="仿宋"/>
          <w:sz w:val="32"/>
          <w:szCs w:val="32"/>
        </w:rPr>
        <w:t>2035年，</w:t>
      </w:r>
      <w:r>
        <w:rPr>
          <w:rFonts w:hint="eastAsia" w:ascii="仿宋" w:hAnsi="仿宋"/>
          <w:sz w:val="32"/>
          <w:szCs w:val="32"/>
        </w:rPr>
        <w:t>全面建成“系统完备、高效实用、智能绿色、安全可靠”的现代化城乡基础设施体系，城乡建设基本</w:t>
      </w:r>
      <w:r>
        <w:rPr>
          <w:rFonts w:ascii="仿宋" w:hAnsi="仿宋"/>
          <w:sz w:val="32"/>
          <w:szCs w:val="32"/>
        </w:rPr>
        <w:t>实现绿色转型，设施质量、服务能力、运行水平达到国内先进水平</w:t>
      </w:r>
      <w:r>
        <w:rPr>
          <w:rFonts w:hint="eastAsia" w:ascii="仿宋" w:hAnsi="仿宋"/>
          <w:sz w:val="32"/>
          <w:szCs w:val="32"/>
        </w:rPr>
        <w:t>，基本建成与居者自豪、来者依恋、闻者向往的圆梦之城、幸福之城相匹配的城乡基础设施。</w:t>
      </w:r>
    </w:p>
    <w:p w14:paraId="2E9F368C">
      <w:pPr>
        <w:snapToGrid w:val="0"/>
        <w:spacing w:line="540" w:lineRule="exact"/>
        <w:ind w:firstLine="643"/>
        <w:rPr>
          <w:rFonts w:ascii="仿宋" w:hAnsi="仿宋"/>
          <w:sz w:val="32"/>
          <w:szCs w:val="32"/>
        </w:rPr>
      </w:pPr>
      <w:r>
        <w:rPr>
          <w:rFonts w:hint="eastAsia" w:asciiTheme="minorEastAsia" w:hAnsiTheme="minorEastAsia"/>
          <w:b/>
          <w:sz w:val="32"/>
          <w:szCs w:val="32"/>
        </w:rPr>
        <w:t>——交通设施畅通便捷：</w:t>
      </w:r>
      <w:r>
        <w:rPr>
          <w:rFonts w:ascii="仿宋" w:hAnsi="仿宋"/>
          <w:sz w:val="32"/>
          <w:szCs w:val="32"/>
        </w:rPr>
        <w:t>市区基本实现15分钟上高速</w:t>
      </w:r>
      <w:r>
        <w:rPr>
          <w:rFonts w:hint="eastAsia" w:ascii="仿宋" w:hAnsi="仿宋"/>
          <w:sz w:val="32"/>
          <w:szCs w:val="32"/>
        </w:rPr>
        <w:t>，</w:t>
      </w:r>
      <w:r>
        <w:rPr>
          <w:rFonts w:ascii="仿宋" w:hAnsi="仿宋"/>
          <w:sz w:val="32"/>
          <w:szCs w:val="32"/>
        </w:rPr>
        <w:t>重大交通枢纽高快</w:t>
      </w:r>
      <w:r>
        <w:rPr>
          <w:rFonts w:hint="eastAsia" w:ascii="仿宋" w:hAnsi="仿宋"/>
          <w:sz w:val="32"/>
          <w:szCs w:val="32"/>
        </w:rPr>
        <w:t>交通体系</w:t>
      </w:r>
      <w:r>
        <w:rPr>
          <w:rFonts w:ascii="仿宋" w:hAnsi="仿宋"/>
          <w:sz w:val="32"/>
          <w:szCs w:val="32"/>
        </w:rPr>
        <w:t>全覆盖</w:t>
      </w:r>
      <w:r>
        <w:rPr>
          <w:rFonts w:hint="eastAsia" w:ascii="仿宋" w:hAnsi="仿宋"/>
          <w:sz w:val="32"/>
          <w:szCs w:val="32"/>
        </w:rPr>
        <w:t>，构建“</w:t>
      </w:r>
      <w:r>
        <w:rPr>
          <w:rFonts w:ascii="仿宋" w:hAnsi="仿宋"/>
          <w:sz w:val="32"/>
          <w:szCs w:val="32"/>
        </w:rPr>
        <w:t>369”交通圈生活圈产业圈</w:t>
      </w:r>
      <w:r>
        <w:rPr>
          <w:rFonts w:hint="eastAsia" w:ascii="仿宋" w:hAnsi="仿宋"/>
          <w:sz w:val="32"/>
          <w:szCs w:val="32"/>
        </w:rPr>
        <w:t>，城市</w:t>
      </w:r>
      <w:r>
        <w:rPr>
          <w:rFonts w:ascii="仿宋" w:hAnsi="仿宋"/>
          <w:sz w:val="32"/>
          <w:szCs w:val="32"/>
        </w:rPr>
        <w:t>交通</w:t>
      </w:r>
      <w:r>
        <w:rPr>
          <w:rFonts w:hint="eastAsia" w:ascii="仿宋" w:hAnsi="仿宋"/>
          <w:sz w:val="32"/>
          <w:szCs w:val="32"/>
        </w:rPr>
        <w:t>品质显著</w:t>
      </w:r>
      <w:r>
        <w:rPr>
          <w:rFonts w:ascii="仿宋" w:hAnsi="仿宋"/>
          <w:sz w:val="32"/>
          <w:szCs w:val="32"/>
        </w:rPr>
        <w:t>提升</w:t>
      </w:r>
      <w:r>
        <w:rPr>
          <w:rFonts w:hint="eastAsia" w:ascii="仿宋" w:hAnsi="仿宋"/>
          <w:sz w:val="32"/>
          <w:szCs w:val="32"/>
        </w:rPr>
        <w:t>，</w:t>
      </w:r>
      <w:r>
        <w:rPr>
          <w:rFonts w:ascii="仿宋" w:hAnsi="仿宋"/>
          <w:sz w:val="32"/>
          <w:szCs w:val="32"/>
        </w:rPr>
        <w:t>“行路难、停车难”显著改善。</w:t>
      </w:r>
    </w:p>
    <w:p w14:paraId="49E596F1">
      <w:pPr>
        <w:snapToGrid w:val="0"/>
        <w:spacing w:line="540" w:lineRule="exact"/>
        <w:ind w:firstLine="643"/>
        <w:rPr>
          <w:rFonts w:ascii="仿宋" w:hAnsi="仿宋"/>
          <w:sz w:val="32"/>
          <w:szCs w:val="32"/>
        </w:rPr>
      </w:pPr>
      <w:r>
        <w:rPr>
          <w:rFonts w:hint="eastAsia" w:asciiTheme="minorEastAsia" w:hAnsiTheme="minorEastAsia"/>
          <w:b/>
          <w:sz w:val="32"/>
          <w:szCs w:val="32"/>
        </w:rPr>
        <w:t>——园林绿化多元生态：</w:t>
      </w:r>
      <w:r>
        <w:rPr>
          <w:rFonts w:hint="eastAsia" w:ascii="仿宋" w:hAnsi="仿宋"/>
          <w:sz w:val="32"/>
          <w:szCs w:val="32"/>
        </w:rPr>
        <w:t>基本形成山水融城生态连绵带，构筑水清岸绿堤美、可亲可游生态体系，争创国家生态园林城市。</w:t>
      </w:r>
    </w:p>
    <w:p w14:paraId="5FB29908">
      <w:pPr>
        <w:snapToGrid w:val="0"/>
        <w:spacing w:line="540" w:lineRule="exact"/>
        <w:ind w:firstLine="643"/>
        <w:rPr>
          <w:rFonts w:ascii="仿宋" w:hAnsi="仿宋"/>
          <w:sz w:val="32"/>
          <w:szCs w:val="32"/>
        </w:rPr>
      </w:pPr>
      <w:r>
        <w:rPr>
          <w:rFonts w:hint="eastAsia" w:asciiTheme="minorEastAsia" w:hAnsiTheme="minorEastAsia"/>
          <w:b/>
          <w:sz w:val="32"/>
          <w:szCs w:val="32"/>
        </w:rPr>
        <w:t>——居住品质活力宜居：</w:t>
      </w:r>
      <w:r>
        <w:rPr>
          <w:rFonts w:hint="eastAsia" w:ascii="仿宋" w:hAnsi="仿宋"/>
          <w:sz w:val="32"/>
          <w:szCs w:val="32"/>
        </w:rPr>
        <w:t>全面完成</w:t>
      </w:r>
      <w:r>
        <w:rPr>
          <w:rFonts w:ascii="仿宋" w:hAnsi="仿宋"/>
          <w:sz w:val="32"/>
          <w:szCs w:val="32"/>
        </w:rPr>
        <w:t>2000年</w:t>
      </w:r>
      <w:r>
        <w:rPr>
          <w:rFonts w:hint="eastAsia" w:ascii="仿宋" w:hAnsi="仿宋"/>
          <w:sz w:val="32"/>
          <w:szCs w:val="32"/>
        </w:rPr>
        <w:t>以</w:t>
      </w:r>
      <w:r>
        <w:rPr>
          <w:rFonts w:ascii="仿宋" w:hAnsi="仿宋"/>
          <w:sz w:val="32"/>
          <w:szCs w:val="32"/>
        </w:rPr>
        <w:t>前</w:t>
      </w:r>
      <w:r>
        <w:rPr>
          <w:rFonts w:hint="eastAsia" w:ascii="仿宋" w:hAnsi="仿宋"/>
          <w:sz w:val="32"/>
          <w:szCs w:val="32"/>
        </w:rPr>
        <w:t>建成的</w:t>
      </w:r>
      <w:r>
        <w:rPr>
          <w:rFonts w:ascii="仿宋" w:hAnsi="仿宋"/>
          <w:sz w:val="32"/>
          <w:szCs w:val="32"/>
        </w:rPr>
        <w:t>老旧小区改造，</w:t>
      </w:r>
      <w:r>
        <w:rPr>
          <w:rFonts w:hint="eastAsia" w:ascii="仿宋" w:hAnsi="仿宋"/>
          <w:sz w:val="32"/>
          <w:szCs w:val="32"/>
        </w:rPr>
        <w:t>六大重点区域基础设施基本建成，古城</w:t>
      </w:r>
      <w:r>
        <w:rPr>
          <w:rFonts w:ascii="仿宋" w:hAnsi="仿宋"/>
          <w:sz w:val="32"/>
          <w:szCs w:val="32"/>
        </w:rPr>
        <w:t>6.41平方公里基础设施整治</w:t>
      </w:r>
      <w:r>
        <w:rPr>
          <w:rFonts w:hint="eastAsia" w:ascii="仿宋" w:hAnsi="仿宋"/>
          <w:sz w:val="32"/>
          <w:szCs w:val="32"/>
        </w:rPr>
        <w:t>基本</w:t>
      </w:r>
      <w:r>
        <w:rPr>
          <w:rFonts w:ascii="仿宋" w:hAnsi="仿宋"/>
          <w:sz w:val="32"/>
          <w:szCs w:val="32"/>
        </w:rPr>
        <w:t>完成</w:t>
      </w:r>
      <w:r>
        <w:rPr>
          <w:rFonts w:hint="eastAsia" w:ascii="仿宋" w:hAnsi="仿宋"/>
          <w:sz w:val="32"/>
          <w:szCs w:val="32"/>
        </w:rPr>
        <w:t>，新区形象显著提升，古城风貌提质焕颜，城乡居住展现出具有泉州特色的高颜值和运用模式。</w:t>
      </w:r>
    </w:p>
    <w:p w14:paraId="026A5391">
      <w:pPr>
        <w:snapToGrid w:val="0"/>
        <w:spacing w:line="540" w:lineRule="exact"/>
        <w:ind w:firstLine="643"/>
        <w:rPr>
          <w:rFonts w:ascii="仿宋" w:hAnsi="仿宋"/>
          <w:sz w:val="32"/>
          <w:szCs w:val="32"/>
        </w:rPr>
      </w:pPr>
      <w:r>
        <w:rPr>
          <w:rFonts w:hint="eastAsia" w:asciiTheme="minorEastAsia" w:hAnsiTheme="minorEastAsia"/>
          <w:b/>
          <w:sz w:val="32"/>
          <w:szCs w:val="32"/>
        </w:rPr>
        <w:t>——供水保障优质放心：</w:t>
      </w:r>
      <w:r>
        <w:rPr>
          <w:rFonts w:hint="eastAsia" w:ascii="仿宋" w:hAnsi="仿宋"/>
          <w:sz w:val="32"/>
          <w:szCs w:val="32"/>
        </w:rPr>
        <w:t>建立从“源头到龙头”全流程饮用水安全保障体系，基本实现城乡居民供水“同质、同服务”。</w:t>
      </w:r>
    </w:p>
    <w:p w14:paraId="6AEE46FB">
      <w:pPr>
        <w:snapToGrid w:val="0"/>
        <w:spacing w:line="540" w:lineRule="exact"/>
        <w:ind w:firstLine="643"/>
        <w:rPr>
          <w:rFonts w:ascii="仿宋" w:hAnsi="仿宋"/>
          <w:sz w:val="32"/>
          <w:szCs w:val="32"/>
        </w:rPr>
      </w:pPr>
      <w:r>
        <w:rPr>
          <w:rFonts w:hint="eastAsia" w:asciiTheme="minorEastAsia" w:hAnsiTheme="minorEastAsia"/>
          <w:b/>
          <w:sz w:val="32"/>
          <w:szCs w:val="32"/>
        </w:rPr>
        <w:t>——生活污水处理提质增效：</w:t>
      </w:r>
      <w:r>
        <w:rPr>
          <w:rFonts w:hint="eastAsia" w:ascii="仿宋" w:hAnsi="仿宋"/>
          <w:sz w:val="32"/>
          <w:szCs w:val="32"/>
        </w:rPr>
        <w:t>补齐污水处理能力短板，全面提升城市水环境质量，实现城市建成区污水管网全覆盖、乡镇生活污水处理以县域为单位捆绑打包市场</w:t>
      </w:r>
      <w:r>
        <w:rPr>
          <w:rFonts w:ascii="仿宋" w:hAnsi="仿宋"/>
          <w:sz w:val="32"/>
          <w:szCs w:val="32"/>
        </w:rPr>
        <w:t>化</w:t>
      </w:r>
      <w:r>
        <w:rPr>
          <w:rFonts w:hint="eastAsia" w:ascii="仿宋" w:hAnsi="仿宋"/>
          <w:sz w:val="32"/>
          <w:szCs w:val="32"/>
        </w:rPr>
        <w:t>全覆盖。</w:t>
      </w:r>
    </w:p>
    <w:p w14:paraId="2595D33D">
      <w:pPr>
        <w:snapToGrid w:val="0"/>
        <w:spacing w:line="540" w:lineRule="exact"/>
        <w:ind w:firstLine="643"/>
        <w:rPr>
          <w:rFonts w:asciiTheme="minorEastAsia" w:hAnsiTheme="minorEastAsia"/>
          <w:b/>
          <w:sz w:val="32"/>
          <w:szCs w:val="32"/>
        </w:rPr>
      </w:pPr>
      <w:r>
        <w:rPr>
          <w:rFonts w:hint="eastAsia" w:asciiTheme="minorEastAsia" w:hAnsiTheme="minorEastAsia"/>
          <w:b/>
          <w:sz w:val="32"/>
          <w:szCs w:val="32"/>
        </w:rPr>
        <w:t>——环卫提升常态长效：</w:t>
      </w:r>
      <w:r>
        <w:rPr>
          <w:rFonts w:hint="eastAsia"/>
          <w:sz w:val="32"/>
          <w:szCs w:val="32"/>
        </w:rPr>
        <w:t>实现全市原生生活垃圾“零填埋”和餐厨垃圾处理设施全覆盖，进一步健全公厕日常管理长效机制。</w:t>
      </w:r>
    </w:p>
    <w:p w14:paraId="6990410B">
      <w:pPr>
        <w:snapToGrid w:val="0"/>
        <w:spacing w:line="540" w:lineRule="exact"/>
        <w:ind w:firstLine="643"/>
        <w:rPr>
          <w:rFonts w:ascii="仿宋" w:hAnsi="仿宋"/>
          <w:sz w:val="32"/>
          <w:szCs w:val="32"/>
        </w:rPr>
      </w:pPr>
      <w:r>
        <w:rPr>
          <w:rFonts w:hint="eastAsia" w:asciiTheme="minorEastAsia" w:hAnsiTheme="minorEastAsia"/>
          <w:b/>
          <w:sz w:val="32"/>
          <w:szCs w:val="32"/>
        </w:rPr>
        <w:t>——城镇燃气均衡安全：</w:t>
      </w:r>
      <w:r>
        <w:rPr>
          <w:rFonts w:hint="eastAsia" w:ascii="仿宋" w:hAnsi="仿宋"/>
          <w:sz w:val="32"/>
          <w:szCs w:val="32"/>
        </w:rPr>
        <w:t>实现天然气管道“县县通”，形成以天然气为主、液化石油气为辅的城镇燃气气源多元化供应格局。</w:t>
      </w:r>
    </w:p>
    <w:p w14:paraId="6A52E456">
      <w:pPr>
        <w:snapToGrid w:val="0"/>
        <w:spacing w:line="540" w:lineRule="exact"/>
        <w:ind w:firstLine="643"/>
        <w:rPr>
          <w:rFonts w:ascii="仿宋" w:hAnsi="仿宋"/>
          <w:sz w:val="32"/>
          <w:szCs w:val="32"/>
        </w:rPr>
      </w:pPr>
      <w:r>
        <w:rPr>
          <w:rFonts w:hint="eastAsia" w:asciiTheme="minorEastAsia" w:hAnsiTheme="minorEastAsia"/>
          <w:b/>
          <w:sz w:val="32"/>
          <w:szCs w:val="32"/>
        </w:rPr>
        <w:t>——城市更加韧性安全：</w:t>
      </w:r>
      <w:r>
        <w:rPr>
          <w:rFonts w:hint="eastAsia" w:ascii="仿宋" w:hAnsi="仿宋"/>
          <w:sz w:val="32"/>
          <w:szCs w:val="32"/>
        </w:rPr>
        <w:t>基本形成“源头减排、管网排放、蓄排并举、超标应急”的城乡排水防涝工程体系。</w:t>
      </w:r>
    </w:p>
    <w:p w14:paraId="4BBE7249">
      <w:pPr>
        <w:snapToGrid w:val="0"/>
        <w:spacing w:line="540" w:lineRule="exact"/>
        <w:ind w:firstLine="643"/>
        <w:rPr>
          <w:rFonts w:ascii="仿宋" w:hAnsi="仿宋"/>
          <w:kern w:val="0"/>
          <w:sz w:val="32"/>
          <w:szCs w:val="32"/>
        </w:rPr>
      </w:pPr>
      <w:r>
        <w:rPr>
          <w:rFonts w:hint="eastAsia" w:asciiTheme="minorEastAsia" w:hAnsiTheme="minorEastAsia"/>
          <w:b/>
          <w:sz w:val="32"/>
          <w:szCs w:val="32"/>
        </w:rPr>
        <w:t>——智慧城市转型升级：</w:t>
      </w:r>
      <w:r>
        <w:rPr>
          <w:rFonts w:ascii="仿宋" w:hAnsi="仿宋"/>
          <w:sz w:val="32"/>
          <w:szCs w:val="32"/>
        </w:rPr>
        <w:t>基本建成泉州市CIM基础平台</w:t>
      </w:r>
      <w:r>
        <w:rPr>
          <w:rFonts w:hint="eastAsia" w:ascii="仿宋" w:hAnsi="仿宋"/>
          <w:sz w:val="32"/>
          <w:szCs w:val="32"/>
        </w:rPr>
        <w:t>、房屋建筑工程网格化管理、水务大脑和智慧城管，</w:t>
      </w:r>
      <w:r>
        <w:rPr>
          <w:rFonts w:hint="eastAsia" w:ascii="仿宋" w:hAnsi="仿宋"/>
          <w:kern w:val="0"/>
          <w:sz w:val="32"/>
          <w:szCs w:val="32"/>
        </w:rPr>
        <w:t>初步实现对重要区域市政基础设施运行数据的感知和采集。</w:t>
      </w:r>
    </w:p>
    <w:p w14:paraId="110F9F6A">
      <w:pPr>
        <w:snapToGrid w:val="0"/>
        <w:spacing w:line="540" w:lineRule="exact"/>
        <w:ind w:firstLine="643"/>
        <w:rPr>
          <w:rFonts w:ascii="仿宋" w:hAnsi="仿宋"/>
          <w:sz w:val="32"/>
          <w:szCs w:val="32"/>
        </w:rPr>
      </w:pPr>
      <w:r>
        <w:rPr>
          <w:rFonts w:hint="eastAsia" w:asciiTheme="minorEastAsia" w:hAnsiTheme="minorEastAsia"/>
          <w:b/>
          <w:sz w:val="32"/>
          <w:szCs w:val="32"/>
        </w:rPr>
        <w:t>——城市管理精细高效：</w:t>
      </w:r>
      <w:r>
        <w:rPr>
          <w:rFonts w:hint="eastAsia" w:ascii="仿宋" w:hAnsi="仿宋"/>
          <w:sz w:val="32"/>
          <w:szCs w:val="32"/>
        </w:rPr>
        <w:t>城市管理领域标准、规范全覆盖，城市网格化管理全覆盖，基本消除市容市貌“脏、乱、差”</w:t>
      </w:r>
      <w:r>
        <w:rPr>
          <w:rFonts w:ascii="仿宋" w:hAnsi="仿宋"/>
          <w:sz w:val="32"/>
          <w:szCs w:val="32"/>
        </w:rPr>
        <w:t>。</w:t>
      </w:r>
    </w:p>
    <w:p w14:paraId="2DAC72A8">
      <w:pPr>
        <w:pStyle w:val="45"/>
        <w:snapToGrid w:val="0"/>
        <w:spacing w:before="156" w:beforeLines="50" w:after="156" w:afterLines="50" w:line="240" w:lineRule="auto"/>
        <w:rPr>
          <w:rFonts w:ascii="仿宋" w:hAnsi="仿宋" w:eastAsia="仿宋" w:cs="Times New Roman"/>
          <w:b w:val="0"/>
          <w:kern w:val="0"/>
          <w:sz w:val="28"/>
          <w:szCs w:val="28"/>
        </w:rPr>
      </w:pPr>
      <w:r>
        <w:rPr>
          <w:sz w:val="28"/>
          <w:szCs w:val="28"/>
        </w:rPr>
        <w:t>表</w:t>
      </w:r>
      <w:r>
        <w:rPr>
          <w:rFonts w:ascii="黑体" w:hAnsi="黑体" w:cs="黑体"/>
          <w:sz w:val="28"/>
          <w:szCs w:val="28"/>
        </w:rPr>
        <w:t>2</w:t>
      </w:r>
      <w:r>
        <w:rPr>
          <w:rFonts w:hint="eastAsia"/>
          <w:sz w:val="28"/>
          <w:szCs w:val="28"/>
        </w:rPr>
        <w:t>“十四五”泉州市城乡基础设施主要发展指标</w:t>
      </w:r>
    </w:p>
    <w:tbl>
      <w:tblPr>
        <w:tblStyle w:val="24"/>
        <w:tblW w:w="57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439"/>
        <w:gridCol w:w="1089"/>
        <w:gridCol w:w="1121"/>
        <w:gridCol w:w="1180"/>
        <w:gridCol w:w="1180"/>
      </w:tblGrid>
      <w:tr w14:paraId="710D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76" w:type="pct"/>
            <w:vAlign w:val="center"/>
          </w:tcPr>
          <w:p w14:paraId="3913F0D8">
            <w:pPr>
              <w:snapToGrid w:val="0"/>
              <w:spacing w:line="240" w:lineRule="auto"/>
              <w:ind w:firstLine="0" w:firstLineChars="0"/>
              <w:jc w:val="center"/>
              <w:rPr>
                <w:rFonts w:ascii="Times New Roman" w:hAnsi="Times New Roman"/>
                <w:szCs w:val="28"/>
              </w:rPr>
            </w:pPr>
            <w:r>
              <w:rPr>
                <w:rFonts w:hint="eastAsia" w:ascii="Times New Roman" w:hAnsi="Times New Roman"/>
                <w:szCs w:val="28"/>
              </w:rPr>
              <w:t>序号</w:t>
            </w:r>
          </w:p>
        </w:tc>
        <w:tc>
          <w:tcPr>
            <w:tcW w:w="2567" w:type="pct"/>
            <w:vAlign w:val="center"/>
          </w:tcPr>
          <w:p w14:paraId="2BD51D4B">
            <w:pPr>
              <w:snapToGrid w:val="0"/>
              <w:spacing w:line="240" w:lineRule="auto"/>
              <w:ind w:firstLine="0" w:firstLineChars="0"/>
              <w:jc w:val="center"/>
              <w:rPr>
                <w:rFonts w:ascii="Times New Roman" w:hAnsi="Times New Roman"/>
                <w:szCs w:val="28"/>
              </w:rPr>
            </w:pPr>
            <w:r>
              <w:rPr>
                <w:rFonts w:hint="eastAsia" w:ascii="Times New Roman" w:hAnsi="Times New Roman"/>
                <w:szCs w:val="28"/>
              </w:rPr>
              <w:t>指标名称</w:t>
            </w:r>
          </w:p>
        </w:tc>
        <w:tc>
          <w:tcPr>
            <w:tcW w:w="514" w:type="pct"/>
            <w:vAlign w:val="center"/>
          </w:tcPr>
          <w:p w14:paraId="1DD75D03">
            <w:pPr>
              <w:snapToGrid w:val="0"/>
              <w:spacing w:line="240" w:lineRule="auto"/>
              <w:ind w:firstLine="0" w:firstLineChars="0"/>
              <w:jc w:val="center"/>
              <w:rPr>
                <w:rFonts w:ascii="Times New Roman" w:hAnsi="Times New Roman"/>
                <w:szCs w:val="28"/>
              </w:rPr>
            </w:pPr>
            <w:r>
              <w:rPr>
                <w:rFonts w:ascii="Times New Roman" w:hAnsi="Times New Roman"/>
                <w:szCs w:val="28"/>
              </w:rPr>
              <w:t>2020</w:t>
            </w:r>
            <w:r>
              <w:rPr>
                <w:rFonts w:hint="eastAsia" w:ascii="Times New Roman" w:hAnsi="Times New Roman"/>
                <w:szCs w:val="28"/>
              </w:rPr>
              <w:t>年</w:t>
            </w:r>
          </w:p>
        </w:tc>
        <w:tc>
          <w:tcPr>
            <w:tcW w:w="529" w:type="pct"/>
            <w:vAlign w:val="center"/>
          </w:tcPr>
          <w:p w14:paraId="1B33E617">
            <w:pPr>
              <w:snapToGrid w:val="0"/>
              <w:spacing w:line="240" w:lineRule="auto"/>
              <w:ind w:firstLine="0" w:firstLineChars="0"/>
              <w:jc w:val="center"/>
              <w:rPr>
                <w:rFonts w:ascii="Times New Roman" w:hAnsi="Times New Roman"/>
                <w:szCs w:val="28"/>
              </w:rPr>
            </w:pPr>
            <w:r>
              <w:rPr>
                <w:rFonts w:hint="eastAsia" w:ascii="Times New Roman" w:hAnsi="Times New Roman"/>
                <w:szCs w:val="28"/>
              </w:rPr>
              <w:t>规划值</w:t>
            </w:r>
          </w:p>
        </w:tc>
        <w:tc>
          <w:tcPr>
            <w:tcW w:w="557" w:type="pct"/>
          </w:tcPr>
          <w:p w14:paraId="0E494E53">
            <w:pPr>
              <w:snapToGrid w:val="0"/>
              <w:spacing w:line="240" w:lineRule="auto"/>
              <w:ind w:firstLine="0" w:firstLineChars="0"/>
              <w:jc w:val="center"/>
              <w:rPr>
                <w:rFonts w:ascii="Times New Roman" w:hAnsi="Times New Roman"/>
                <w:szCs w:val="28"/>
              </w:rPr>
            </w:pPr>
            <w:r>
              <w:rPr>
                <w:rFonts w:hint="eastAsia" w:ascii="Times New Roman" w:hAnsi="Times New Roman"/>
                <w:szCs w:val="28"/>
              </w:rPr>
              <w:t>指标</w:t>
            </w:r>
          </w:p>
          <w:p w14:paraId="6FBE7FB3">
            <w:pPr>
              <w:snapToGrid w:val="0"/>
              <w:spacing w:line="240" w:lineRule="auto"/>
              <w:ind w:firstLine="0" w:firstLineChars="0"/>
              <w:jc w:val="center"/>
              <w:rPr>
                <w:rFonts w:ascii="Times New Roman" w:hAnsi="Times New Roman"/>
                <w:szCs w:val="28"/>
              </w:rPr>
            </w:pPr>
            <w:r>
              <w:rPr>
                <w:rFonts w:hint="eastAsia" w:ascii="Times New Roman" w:hAnsi="Times New Roman"/>
                <w:szCs w:val="28"/>
              </w:rPr>
              <w:t>属性</w:t>
            </w:r>
          </w:p>
        </w:tc>
        <w:tc>
          <w:tcPr>
            <w:tcW w:w="557" w:type="pct"/>
            <w:vAlign w:val="center"/>
          </w:tcPr>
          <w:p w14:paraId="13F20C4D">
            <w:pPr>
              <w:snapToGrid w:val="0"/>
              <w:spacing w:line="240" w:lineRule="auto"/>
              <w:ind w:firstLine="0" w:firstLineChars="0"/>
              <w:jc w:val="center"/>
              <w:rPr>
                <w:rFonts w:ascii="Times New Roman" w:hAnsi="Times New Roman"/>
                <w:szCs w:val="28"/>
              </w:rPr>
            </w:pPr>
            <w:r>
              <w:rPr>
                <w:rFonts w:hint="eastAsia" w:ascii="Times New Roman" w:hAnsi="Times New Roman"/>
                <w:szCs w:val="28"/>
              </w:rPr>
              <w:t>考核</w:t>
            </w:r>
          </w:p>
          <w:p w14:paraId="4D8B8915">
            <w:pPr>
              <w:snapToGrid w:val="0"/>
              <w:spacing w:line="240" w:lineRule="auto"/>
              <w:ind w:firstLine="0" w:firstLineChars="0"/>
              <w:jc w:val="center"/>
              <w:rPr>
                <w:rFonts w:ascii="Times New Roman" w:hAnsi="Times New Roman"/>
                <w:szCs w:val="28"/>
              </w:rPr>
            </w:pPr>
            <w:r>
              <w:rPr>
                <w:rFonts w:hint="eastAsia" w:ascii="Times New Roman" w:hAnsi="Times New Roman"/>
                <w:szCs w:val="28"/>
              </w:rPr>
              <w:t>要求</w:t>
            </w:r>
          </w:p>
        </w:tc>
      </w:tr>
      <w:tr w14:paraId="7350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6B9FF7F9">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w:t>
            </w:r>
          </w:p>
        </w:tc>
        <w:tc>
          <w:tcPr>
            <w:tcW w:w="2567" w:type="pct"/>
            <w:vAlign w:val="center"/>
          </w:tcPr>
          <w:p w14:paraId="5EDF51F5">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城市建成区道路面积率（</w:t>
            </w:r>
            <w:r>
              <w:rPr>
                <w:rFonts w:ascii="Times New Roman" w:hAnsi="Times New Roman"/>
                <w:szCs w:val="28"/>
              </w:rPr>
              <w:t>%</w:t>
            </w:r>
            <w:r>
              <w:rPr>
                <w:rFonts w:hint="eastAsia" w:ascii="Times New Roman" w:hAnsi="Times New Roman"/>
                <w:szCs w:val="28"/>
              </w:rPr>
              <w:t>）</w:t>
            </w:r>
          </w:p>
        </w:tc>
        <w:tc>
          <w:tcPr>
            <w:tcW w:w="514" w:type="pct"/>
            <w:vAlign w:val="center"/>
          </w:tcPr>
          <w:p w14:paraId="70203A1C">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16.32</w:t>
            </w:r>
          </w:p>
        </w:tc>
        <w:tc>
          <w:tcPr>
            <w:tcW w:w="529" w:type="pct"/>
            <w:vAlign w:val="center"/>
          </w:tcPr>
          <w:p w14:paraId="285D4A8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16.5</w:t>
            </w:r>
          </w:p>
        </w:tc>
        <w:tc>
          <w:tcPr>
            <w:tcW w:w="557" w:type="pct"/>
            <w:vAlign w:val="center"/>
          </w:tcPr>
          <w:p w14:paraId="235D3F64">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restart"/>
            <w:vAlign w:val="center"/>
          </w:tcPr>
          <w:p w14:paraId="46FAB8B7">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全市</w:t>
            </w:r>
          </w:p>
          <w:p w14:paraId="71678637">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达标</w:t>
            </w:r>
          </w:p>
        </w:tc>
      </w:tr>
      <w:tr w14:paraId="26A1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3C4969B3">
            <w:pPr>
              <w:widowControl/>
              <w:snapToGrid w:val="0"/>
              <w:spacing w:line="240" w:lineRule="auto"/>
              <w:ind w:firstLine="0" w:firstLineChars="0"/>
              <w:jc w:val="center"/>
              <w:rPr>
                <w:rFonts w:ascii="Times New Roman" w:hAnsi="Times New Roman"/>
                <w:szCs w:val="28"/>
              </w:rPr>
            </w:pPr>
            <w:r>
              <w:rPr>
                <w:rFonts w:ascii="Times New Roman" w:hAnsi="Times New Roman"/>
                <w:szCs w:val="28"/>
              </w:rPr>
              <w:t>2</w:t>
            </w:r>
          </w:p>
        </w:tc>
        <w:tc>
          <w:tcPr>
            <w:tcW w:w="2567" w:type="pct"/>
            <w:vAlign w:val="center"/>
          </w:tcPr>
          <w:p w14:paraId="59B05546">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城市建成区生活污水集中收集率（</w:t>
            </w:r>
            <w:r>
              <w:rPr>
                <w:rFonts w:ascii="Times New Roman" w:hAnsi="Times New Roman"/>
                <w:szCs w:val="28"/>
              </w:rPr>
              <w:t>%</w:t>
            </w:r>
            <w:r>
              <w:rPr>
                <w:rFonts w:hint="eastAsia" w:ascii="Times New Roman" w:hAnsi="Times New Roman"/>
                <w:szCs w:val="28"/>
              </w:rPr>
              <w:t>）</w:t>
            </w:r>
          </w:p>
        </w:tc>
        <w:tc>
          <w:tcPr>
            <w:tcW w:w="514" w:type="pct"/>
            <w:vAlign w:val="center"/>
          </w:tcPr>
          <w:p w14:paraId="6EAEE521">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41.2</w:t>
            </w:r>
          </w:p>
        </w:tc>
        <w:tc>
          <w:tcPr>
            <w:tcW w:w="529" w:type="pct"/>
            <w:vAlign w:val="center"/>
          </w:tcPr>
          <w:p w14:paraId="21A4DFA1">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60</w:t>
            </w:r>
          </w:p>
        </w:tc>
        <w:tc>
          <w:tcPr>
            <w:tcW w:w="557" w:type="pct"/>
            <w:vAlign w:val="center"/>
          </w:tcPr>
          <w:p w14:paraId="2790F65D">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1CB74F73">
            <w:pPr>
              <w:snapToGrid w:val="0"/>
              <w:spacing w:line="240" w:lineRule="auto"/>
              <w:ind w:left="-22" w:leftChars="-8" w:firstLine="28" w:firstLineChars="10"/>
              <w:jc w:val="center"/>
              <w:rPr>
                <w:rFonts w:ascii="Times New Roman" w:hAnsi="Times New Roman"/>
                <w:szCs w:val="28"/>
              </w:rPr>
            </w:pPr>
          </w:p>
        </w:tc>
      </w:tr>
      <w:tr w14:paraId="475A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C6FEDDE">
            <w:pPr>
              <w:widowControl/>
              <w:snapToGrid w:val="0"/>
              <w:spacing w:line="240" w:lineRule="auto"/>
              <w:ind w:firstLine="0" w:firstLineChars="0"/>
              <w:jc w:val="center"/>
              <w:rPr>
                <w:rFonts w:ascii="Times New Roman" w:hAnsi="Times New Roman"/>
                <w:szCs w:val="28"/>
              </w:rPr>
            </w:pPr>
            <w:r>
              <w:rPr>
                <w:rFonts w:ascii="Times New Roman" w:hAnsi="Times New Roman"/>
                <w:szCs w:val="28"/>
              </w:rPr>
              <w:t>3</w:t>
            </w:r>
          </w:p>
        </w:tc>
        <w:tc>
          <w:tcPr>
            <w:tcW w:w="2567" w:type="pct"/>
            <w:vAlign w:val="center"/>
          </w:tcPr>
          <w:p w14:paraId="7342E4FB">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城市污泥无害化处置率（</w:t>
            </w:r>
            <w:r>
              <w:rPr>
                <w:rFonts w:ascii="Times New Roman" w:hAnsi="Times New Roman"/>
                <w:szCs w:val="28"/>
              </w:rPr>
              <w:t>%</w:t>
            </w:r>
            <w:r>
              <w:rPr>
                <w:rFonts w:hint="eastAsia" w:ascii="Times New Roman" w:hAnsi="Times New Roman"/>
                <w:szCs w:val="28"/>
              </w:rPr>
              <w:t>）</w:t>
            </w:r>
          </w:p>
        </w:tc>
        <w:tc>
          <w:tcPr>
            <w:tcW w:w="514" w:type="pct"/>
            <w:vAlign w:val="center"/>
          </w:tcPr>
          <w:p w14:paraId="00AD0090">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100</w:t>
            </w:r>
          </w:p>
        </w:tc>
        <w:tc>
          <w:tcPr>
            <w:tcW w:w="529" w:type="pct"/>
            <w:vAlign w:val="center"/>
          </w:tcPr>
          <w:p w14:paraId="79D7696D">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99</w:t>
            </w:r>
          </w:p>
        </w:tc>
        <w:tc>
          <w:tcPr>
            <w:tcW w:w="557" w:type="pct"/>
            <w:vAlign w:val="center"/>
          </w:tcPr>
          <w:p w14:paraId="0B83C9DB">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0878067C">
            <w:pPr>
              <w:snapToGrid w:val="0"/>
              <w:spacing w:line="240" w:lineRule="auto"/>
              <w:ind w:left="-22" w:leftChars="-8" w:firstLine="28" w:firstLineChars="10"/>
              <w:jc w:val="center"/>
              <w:rPr>
                <w:rFonts w:ascii="Times New Roman" w:hAnsi="Times New Roman"/>
                <w:szCs w:val="28"/>
              </w:rPr>
            </w:pPr>
          </w:p>
        </w:tc>
      </w:tr>
      <w:tr w14:paraId="5238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5B11E87">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4</w:t>
            </w:r>
          </w:p>
        </w:tc>
        <w:tc>
          <w:tcPr>
            <w:tcW w:w="2567" w:type="pct"/>
            <w:vAlign w:val="center"/>
          </w:tcPr>
          <w:p w14:paraId="645BD833">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城市公共供水管网漏损率（</w:t>
            </w:r>
            <w:r>
              <w:rPr>
                <w:rFonts w:ascii="Times New Roman" w:hAnsi="Times New Roman"/>
                <w:szCs w:val="28"/>
              </w:rPr>
              <w:t>%</w:t>
            </w:r>
            <w:r>
              <w:rPr>
                <w:rFonts w:hint="eastAsia" w:ascii="Times New Roman" w:hAnsi="Times New Roman"/>
                <w:szCs w:val="28"/>
              </w:rPr>
              <w:t>）</w:t>
            </w:r>
          </w:p>
        </w:tc>
        <w:tc>
          <w:tcPr>
            <w:tcW w:w="514" w:type="pct"/>
            <w:vAlign w:val="center"/>
          </w:tcPr>
          <w:p w14:paraId="1827A309">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9</w:t>
            </w:r>
          </w:p>
        </w:tc>
        <w:tc>
          <w:tcPr>
            <w:tcW w:w="529" w:type="pct"/>
            <w:vAlign w:val="center"/>
          </w:tcPr>
          <w:p w14:paraId="4ABED1F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vAlign w:val="center"/>
          </w:tcPr>
          <w:p w14:paraId="1B00C7E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2AD657EC">
            <w:pPr>
              <w:snapToGrid w:val="0"/>
              <w:spacing w:line="240" w:lineRule="auto"/>
              <w:ind w:left="-22" w:leftChars="-8" w:firstLine="28" w:firstLineChars="10"/>
              <w:jc w:val="center"/>
              <w:rPr>
                <w:rFonts w:ascii="Times New Roman" w:hAnsi="Times New Roman"/>
                <w:szCs w:val="28"/>
              </w:rPr>
            </w:pPr>
          </w:p>
        </w:tc>
      </w:tr>
      <w:tr w14:paraId="752C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1060F916">
            <w:pPr>
              <w:widowControl/>
              <w:snapToGrid w:val="0"/>
              <w:spacing w:line="240" w:lineRule="auto"/>
              <w:ind w:firstLine="0" w:firstLineChars="0"/>
              <w:jc w:val="center"/>
              <w:rPr>
                <w:rFonts w:ascii="Times New Roman" w:hAnsi="Times New Roman"/>
                <w:szCs w:val="28"/>
              </w:rPr>
            </w:pPr>
            <w:r>
              <w:rPr>
                <w:rFonts w:ascii="Times New Roman" w:hAnsi="Times New Roman"/>
                <w:szCs w:val="28"/>
              </w:rPr>
              <w:t>5</w:t>
            </w:r>
          </w:p>
        </w:tc>
        <w:tc>
          <w:tcPr>
            <w:tcW w:w="2567" w:type="pct"/>
            <w:vAlign w:val="center"/>
          </w:tcPr>
          <w:p w14:paraId="01410137">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城市再生水利用率（</w:t>
            </w:r>
            <w:r>
              <w:rPr>
                <w:rFonts w:ascii="Times New Roman" w:hAnsi="Times New Roman"/>
                <w:szCs w:val="28"/>
              </w:rPr>
              <w:t>%</w:t>
            </w:r>
            <w:r>
              <w:rPr>
                <w:rFonts w:hint="eastAsia" w:ascii="Times New Roman" w:hAnsi="Times New Roman"/>
                <w:szCs w:val="28"/>
              </w:rPr>
              <w:t>）</w:t>
            </w:r>
          </w:p>
        </w:tc>
        <w:tc>
          <w:tcPr>
            <w:tcW w:w="514" w:type="pct"/>
            <w:vAlign w:val="center"/>
          </w:tcPr>
          <w:p w14:paraId="745EA7AE">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35</w:t>
            </w:r>
          </w:p>
        </w:tc>
        <w:tc>
          <w:tcPr>
            <w:tcW w:w="529" w:type="pct"/>
            <w:vAlign w:val="center"/>
          </w:tcPr>
          <w:p w14:paraId="4F8D3F24">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30</w:t>
            </w:r>
          </w:p>
        </w:tc>
        <w:tc>
          <w:tcPr>
            <w:tcW w:w="557" w:type="pct"/>
            <w:vAlign w:val="center"/>
          </w:tcPr>
          <w:p w14:paraId="11EDB777">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0652A37C">
            <w:pPr>
              <w:snapToGrid w:val="0"/>
              <w:spacing w:line="240" w:lineRule="auto"/>
              <w:ind w:left="-22" w:leftChars="-8" w:firstLine="28" w:firstLineChars="10"/>
              <w:jc w:val="center"/>
              <w:rPr>
                <w:rFonts w:ascii="Times New Roman" w:hAnsi="Times New Roman"/>
                <w:szCs w:val="28"/>
              </w:rPr>
            </w:pPr>
          </w:p>
        </w:tc>
      </w:tr>
      <w:tr w14:paraId="145A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76" w:type="pct"/>
            <w:vAlign w:val="center"/>
          </w:tcPr>
          <w:p w14:paraId="2D93FAF4">
            <w:pPr>
              <w:widowControl/>
              <w:snapToGrid w:val="0"/>
              <w:spacing w:line="240" w:lineRule="auto"/>
              <w:ind w:firstLine="0" w:firstLineChars="0"/>
              <w:jc w:val="center"/>
              <w:rPr>
                <w:rFonts w:ascii="Times New Roman" w:hAnsi="Times New Roman"/>
                <w:szCs w:val="28"/>
              </w:rPr>
            </w:pPr>
            <w:r>
              <w:rPr>
                <w:rFonts w:ascii="Times New Roman" w:hAnsi="Times New Roman"/>
                <w:szCs w:val="28"/>
              </w:rPr>
              <w:t>6</w:t>
            </w:r>
          </w:p>
        </w:tc>
        <w:tc>
          <w:tcPr>
            <w:tcW w:w="2567" w:type="pct"/>
            <w:vAlign w:val="center"/>
          </w:tcPr>
          <w:p w14:paraId="2BE7BD4D">
            <w:pPr>
              <w:snapToGrid w:val="0"/>
              <w:spacing w:line="240" w:lineRule="auto"/>
              <w:ind w:firstLine="0" w:firstLineChars="0"/>
              <w:rPr>
                <w:rFonts w:ascii="Times New Roman" w:hAnsi="Times New Roman"/>
                <w:szCs w:val="28"/>
              </w:rPr>
            </w:pPr>
            <w:r>
              <w:rPr>
                <w:rFonts w:hint="eastAsia" w:ascii="Times New Roman" w:hAnsi="Times New Roman"/>
                <w:szCs w:val="28"/>
              </w:rPr>
              <w:t>城镇燃气企业储气能力（占该企业年用气量比例，</w:t>
            </w:r>
            <w:r>
              <w:rPr>
                <w:rFonts w:ascii="Times New Roman" w:hAnsi="Times New Roman"/>
                <w:szCs w:val="28"/>
              </w:rPr>
              <w:t>%</w:t>
            </w:r>
            <w:r>
              <w:rPr>
                <w:rFonts w:hint="eastAsia" w:ascii="Times New Roman" w:hAnsi="Times New Roman"/>
                <w:szCs w:val="28"/>
              </w:rPr>
              <w:t>）</w:t>
            </w:r>
          </w:p>
        </w:tc>
        <w:tc>
          <w:tcPr>
            <w:tcW w:w="514" w:type="pct"/>
            <w:vAlign w:val="center"/>
          </w:tcPr>
          <w:p w14:paraId="230D9222">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0.09</w:t>
            </w:r>
          </w:p>
        </w:tc>
        <w:tc>
          <w:tcPr>
            <w:tcW w:w="529" w:type="pct"/>
            <w:vAlign w:val="center"/>
          </w:tcPr>
          <w:p w14:paraId="4B616C28">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5</w:t>
            </w:r>
          </w:p>
        </w:tc>
        <w:tc>
          <w:tcPr>
            <w:tcW w:w="557" w:type="pct"/>
            <w:vAlign w:val="center"/>
          </w:tcPr>
          <w:p w14:paraId="69D4D5D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281FF7D0">
            <w:pPr>
              <w:snapToGrid w:val="0"/>
              <w:spacing w:line="240" w:lineRule="auto"/>
              <w:ind w:left="-22" w:leftChars="-8" w:firstLine="28" w:firstLineChars="10"/>
              <w:jc w:val="center"/>
              <w:rPr>
                <w:rFonts w:ascii="Times New Roman" w:hAnsi="Times New Roman"/>
                <w:szCs w:val="28"/>
              </w:rPr>
            </w:pPr>
          </w:p>
        </w:tc>
      </w:tr>
      <w:tr w14:paraId="08C4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002B240C">
            <w:pPr>
              <w:widowControl/>
              <w:snapToGrid w:val="0"/>
              <w:spacing w:line="240" w:lineRule="auto"/>
              <w:ind w:firstLine="0" w:firstLineChars="0"/>
              <w:jc w:val="center"/>
              <w:rPr>
                <w:rFonts w:ascii="Times New Roman" w:hAnsi="Times New Roman"/>
                <w:szCs w:val="28"/>
              </w:rPr>
            </w:pPr>
            <w:r>
              <w:rPr>
                <w:rFonts w:ascii="Times New Roman" w:hAnsi="Times New Roman"/>
                <w:szCs w:val="28"/>
              </w:rPr>
              <w:t>7</w:t>
            </w:r>
          </w:p>
        </w:tc>
        <w:tc>
          <w:tcPr>
            <w:tcW w:w="2567" w:type="pct"/>
            <w:vAlign w:val="center"/>
          </w:tcPr>
          <w:p w14:paraId="255AACB0">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城市市政管网普查建档率（</w:t>
            </w:r>
            <w:r>
              <w:rPr>
                <w:rFonts w:ascii="Times New Roman" w:hAnsi="Times New Roman"/>
                <w:szCs w:val="28"/>
              </w:rPr>
              <w:t>%</w:t>
            </w:r>
            <w:r>
              <w:rPr>
                <w:rFonts w:hint="eastAsia" w:ascii="Times New Roman" w:hAnsi="Times New Roman"/>
                <w:szCs w:val="28"/>
              </w:rPr>
              <w:t>）</w:t>
            </w:r>
          </w:p>
        </w:tc>
        <w:tc>
          <w:tcPr>
            <w:tcW w:w="514" w:type="pct"/>
            <w:vAlign w:val="center"/>
          </w:tcPr>
          <w:p w14:paraId="40D28306">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70</w:t>
            </w:r>
          </w:p>
        </w:tc>
        <w:tc>
          <w:tcPr>
            <w:tcW w:w="529" w:type="pct"/>
            <w:vAlign w:val="center"/>
          </w:tcPr>
          <w:p w14:paraId="1D9A404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90</w:t>
            </w:r>
          </w:p>
        </w:tc>
        <w:tc>
          <w:tcPr>
            <w:tcW w:w="557" w:type="pct"/>
          </w:tcPr>
          <w:p w14:paraId="0991448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47C63DC6">
            <w:pPr>
              <w:snapToGrid w:val="0"/>
              <w:spacing w:line="240" w:lineRule="auto"/>
              <w:ind w:left="-22" w:leftChars="-8" w:firstLine="28" w:firstLineChars="10"/>
              <w:jc w:val="center"/>
              <w:rPr>
                <w:rFonts w:ascii="Times New Roman" w:hAnsi="Times New Roman"/>
                <w:szCs w:val="28"/>
              </w:rPr>
            </w:pPr>
          </w:p>
        </w:tc>
      </w:tr>
      <w:tr w14:paraId="1EED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6" w:type="pct"/>
            <w:vAlign w:val="center"/>
          </w:tcPr>
          <w:p w14:paraId="1BD14CB8">
            <w:pPr>
              <w:widowControl/>
              <w:snapToGrid w:val="0"/>
              <w:spacing w:line="240" w:lineRule="auto"/>
              <w:ind w:firstLine="0" w:firstLineChars="0"/>
              <w:jc w:val="center"/>
              <w:rPr>
                <w:rFonts w:ascii="Times New Roman" w:hAnsi="Times New Roman"/>
                <w:szCs w:val="28"/>
              </w:rPr>
            </w:pPr>
            <w:r>
              <w:rPr>
                <w:rFonts w:ascii="Times New Roman" w:hAnsi="Times New Roman"/>
                <w:szCs w:val="28"/>
              </w:rPr>
              <w:t>8</w:t>
            </w:r>
          </w:p>
        </w:tc>
        <w:tc>
          <w:tcPr>
            <w:tcW w:w="2567" w:type="pct"/>
            <w:vAlign w:val="center"/>
          </w:tcPr>
          <w:p w14:paraId="64C30B9C">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城市建成区路网密度（公里</w:t>
            </w:r>
            <w:r>
              <w:rPr>
                <w:rFonts w:ascii="Times New Roman" w:hAnsi="Times New Roman"/>
                <w:szCs w:val="28"/>
              </w:rPr>
              <w:t>/</w:t>
            </w:r>
            <w:r>
              <w:rPr>
                <w:rFonts w:hint="eastAsia" w:ascii="Times New Roman" w:hAnsi="Times New Roman"/>
                <w:szCs w:val="28"/>
              </w:rPr>
              <w:t>平方公里）</w:t>
            </w:r>
          </w:p>
        </w:tc>
        <w:tc>
          <w:tcPr>
            <w:tcW w:w="514" w:type="pct"/>
            <w:vAlign w:val="center"/>
          </w:tcPr>
          <w:p w14:paraId="63AC7A55">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7.38</w:t>
            </w:r>
          </w:p>
        </w:tc>
        <w:tc>
          <w:tcPr>
            <w:tcW w:w="529" w:type="pct"/>
            <w:vAlign w:val="center"/>
          </w:tcPr>
          <w:p w14:paraId="0D2F8180">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tcPr>
          <w:p w14:paraId="15E9474E">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restart"/>
            <w:vAlign w:val="center"/>
          </w:tcPr>
          <w:p w14:paraId="314825EE">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市区力争达标，其他县（市、区）参照执行。</w:t>
            </w:r>
          </w:p>
        </w:tc>
      </w:tr>
      <w:tr w14:paraId="5EAF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4B1F75AF">
            <w:pPr>
              <w:widowControl/>
              <w:snapToGrid w:val="0"/>
              <w:spacing w:line="240" w:lineRule="auto"/>
              <w:ind w:firstLine="0" w:firstLineChars="0"/>
              <w:jc w:val="center"/>
              <w:rPr>
                <w:rFonts w:ascii="Times New Roman" w:hAnsi="Times New Roman"/>
                <w:szCs w:val="28"/>
              </w:rPr>
            </w:pPr>
            <w:r>
              <w:rPr>
                <w:rFonts w:ascii="Times New Roman" w:hAnsi="Times New Roman"/>
                <w:szCs w:val="28"/>
              </w:rPr>
              <w:t>9</w:t>
            </w:r>
          </w:p>
        </w:tc>
        <w:tc>
          <w:tcPr>
            <w:tcW w:w="2567" w:type="pct"/>
            <w:vAlign w:val="center"/>
          </w:tcPr>
          <w:p w14:paraId="49A7E9C1">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新改建干路照明绿色节能光源应用率（</w:t>
            </w:r>
            <w:r>
              <w:rPr>
                <w:rFonts w:ascii="Times New Roman" w:hAnsi="Times New Roman"/>
                <w:szCs w:val="28"/>
              </w:rPr>
              <w:t>%</w:t>
            </w:r>
            <w:r>
              <w:rPr>
                <w:rFonts w:hint="eastAsia" w:ascii="Times New Roman" w:hAnsi="Times New Roman"/>
                <w:szCs w:val="28"/>
              </w:rPr>
              <w:t>）</w:t>
            </w:r>
          </w:p>
        </w:tc>
        <w:tc>
          <w:tcPr>
            <w:tcW w:w="514" w:type="pct"/>
            <w:vAlign w:val="center"/>
          </w:tcPr>
          <w:p w14:paraId="1F83BA80">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w:t>
            </w:r>
          </w:p>
        </w:tc>
        <w:tc>
          <w:tcPr>
            <w:tcW w:w="529" w:type="pct"/>
            <w:vAlign w:val="center"/>
          </w:tcPr>
          <w:p w14:paraId="3769B1E5">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90</w:t>
            </w:r>
          </w:p>
        </w:tc>
        <w:tc>
          <w:tcPr>
            <w:tcW w:w="557" w:type="pct"/>
          </w:tcPr>
          <w:p w14:paraId="308CF5AE">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0ECF98E9">
            <w:pPr>
              <w:snapToGrid w:val="0"/>
              <w:spacing w:line="240" w:lineRule="auto"/>
              <w:ind w:left="-22" w:leftChars="-8" w:firstLine="28" w:firstLineChars="10"/>
              <w:jc w:val="center"/>
              <w:rPr>
                <w:rFonts w:ascii="Times New Roman" w:hAnsi="Times New Roman"/>
                <w:szCs w:val="28"/>
              </w:rPr>
            </w:pPr>
          </w:p>
        </w:tc>
      </w:tr>
      <w:tr w14:paraId="2066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6673ABF7">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10</w:t>
            </w:r>
          </w:p>
        </w:tc>
        <w:tc>
          <w:tcPr>
            <w:tcW w:w="2567" w:type="pct"/>
            <w:vAlign w:val="center"/>
          </w:tcPr>
          <w:p w14:paraId="7A66247B">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建成区人均公园绿地面积（平方米）</w:t>
            </w:r>
          </w:p>
        </w:tc>
        <w:tc>
          <w:tcPr>
            <w:tcW w:w="514" w:type="pct"/>
            <w:vAlign w:val="center"/>
          </w:tcPr>
          <w:p w14:paraId="5EF9BDC3">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14.15</w:t>
            </w:r>
          </w:p>
        </w:tc>
        <w:tc>
          <w:tcPr>
            <w:tcW w:w="529" w:type="pct"/>
            <w:vAlign w:val="center"/>
          </w:tcPr>
          <w:p w14:paraId="422421E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15.1</w:t>
            </w:r>
          </w:p>
        </w:tc>
        <w:tc>
          <w:tcPr>
            <w:tcW w:w="557" w:type="pct"/>
          </w:tcPr>
          <w:p w14:paraId="7040845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19F2E802">
            <w:pPr>
              <w:snapToGrid w:val="0"/>
              <w:spacing w:line="240" w:lineRule="auto"/>
              <w:ind w:left="-22" w:leftChars="-8" w:firstLine="28" w:firstLineChars="10"/>
              <w:jc w:val="center"/>
              <w:rPr>
                <w:rFonts w:ascii="Times New Roman" w:hAnsi="Times New Roman"/>
                <w:szCs w:val="28"/>
              </w:rPr>
            </w:pPr>
          </w:p>
        </w:tc>
      </w:tr>
      <w:tr w14:paraId="3AA9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426F34F2">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11</w:t>
            </w:r>
          </w:p>
        </w:tc>
        <w:tc>
          <w:tcPr>
            <w:tcW w:w="2567" w:type="pct"/>
            <w:vAlign w:val="center"/>
          </w:tcPr>
          <w:p w14:paraId="6EEA8B71">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建成区绿地率（</w:t>
            </w:r>
            <w:r>
              <w:rPr>
                <w:rFonts w:ascii="Times New Roman" w:hAnsi="Times New Roman"/>
                <w:szCs w:val="28"/>
              </w:rPr>
              <w:t>%</w:t>
            </w:r>
            <w:r>
              <w:rPr>
                <w:rFonts w:hint="eastAsia" w:ascii="Times New Roman" w:hAnsi="Times New Roman"/>
                <w:szCs w:val="28"/>
              </w:rPr>
              <w:t>）</w:t>
            </w:r>
          </w:p>
        </w:tc>
        <w:tc>
          <w:tcPr>
            <w:tcW w:w="514" w:type="pct"/>
            <w:vAlign w:val="center"/>
          </w:tcPr>
          <w:p w14:paraId="16616A3D">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40.33</w:t>
            </w:r>
          </w:p>
        </w:tc>
        <w:tc>
          <w:tcPr>
            <w:tcW w:w="529" w:type="pct"/>
            <w:vAlign w:val="center"/>
          </w:tcPr>
          <w:p w14:paraId="3E60B798">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41</w:t>
            </w:r>
          </w:p>
        </w:tc>
        <w:tc>
          <w:tcPr>
            <w:tcW w:w="557" w:type="pct"/>
          </w:tcPr>
          <w:p w14:paraId="344818A1">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297564F4">
            <w:pPr>
              <w:snapToGrid w:val="0"/>
              <w:spacing w:line="240" w:lineRule="auto"/>
              <w:ind w:left="-22" w:leftChars="-8" w:firstLine="28" w:firstLineChars="10"/>
              <w:jc w:val="center"/>
              <w:rPr>
                <w:rFonts w:ascii="Times New Roman" w:hAnsi="Times New Roman"/>
                <w:szCs w:val="28"/>
              </w:rPr>
            </w:pPr>
          </w:p>
        </w:tc>
      </w:tr>
      <w:tr w14:paraId="0D1E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2715A0AE">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12</w:t>
            </w:r>
          </w:p>
        </w:tc>
        <w:tc>
          <w:tcPr>
            <w:tcW w:w="2567" w:type="pct"/>
            <w:vAlign w:val="center"/>
          </w:tcPr>
          <w:p w14:paraId="3A7FD4EB">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城市万人拥有绿道长度（公里）</w:t>
            </w:r>
          </w:p>
        </w:tc>
        <w:tc>
          <w:tcPr>
            <w:tcW w:w="514" w:type="pct"/>
            <w:vAlign w:val="center"/>
          </w:tcPr>
          <w:p w14:paraId="48319F16">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3.0</w:t>
            </w:r>
          </w:p>
        </w:tc>
        <w:tc>
          <w:tcPr>
            <w:tcW w:w="529" w:type="pct"/>
            <w:vAlign w:val="center"/>
          </w:tcPr>
          <w:p w14:paraId="38603BB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3.4</w:t>
            </w:r>
          </w:p>
        </w:tc>
        <w:tc>
          <w:tcPr>
            <w:tcW w:w="557" w:type="pct"/>
          </w:tcPr>
          <w:p w14:paraId="352F48EF">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63CD4485">
            <w:pPr>
              <w:snapToGrid w:val="0"/>
              <w:spacing w:line="240" w:lineRule="auto"/>
              <w:ind w:left="-22" w:leftChars="-8" w:firstLine="28" w:firstLineChars="10"/>
              <w:jc w:val="center"/>
              <w:rPr>
                <w:rFonts w:ascii="Times New Roman" w:hAnsi="Times New Roman"/>
                <w:szCs w:val="28"/>
              </w:rPr>
            </w:pPr>
          </w:p>
        </w:tc>
      </w:tr>
      <w:tr w14:paraId="63CA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264F0EA9">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13</w:t>
            </w:r>
          </w:p>
        </w:tc>
        <w:tc>
          <w:tcPr>
            <w:tcW w:w="2567" w:type="pct"/>
            <w:vAlign w:val="center"/>
          </w:tcPr>
          <w:p w14:paraId="2829A8B3">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城市公园绿地服务半径覆盖率（</w:t>
            </w:r>
            <w:r>
              <w:rPr>
                <w:rFonts w:ascii="Times New Roman" w:hAnsi="Times New Roman"/>
                <w:szCs w:val="28"/>
              </w:rPr>
              <w:t>%</w:t>
            </w:r>
            <w:r>
              <w:rPr>
                <w:rFonts w:hint="eastAsia" w:ascii="Times New Roman" w:hAnsi="Times New Roman"/>
                <w:szCs w:val="28"/>
              </w:rPr>
              <w:t>）</w:t>
            </w:r>
          </w:p>
        </w:tc>
        <w:tc>
          <w:tcPr>
            <w:tcW w:w="514" w:type="pct"/>
            <w:vAlign w:val="center"/>
          </w:tcPr>
          <w:p w14:paraId="7AA46943">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80</w:t>
            </w:r>
          </w:p>
        </w:tc>
        <w:tc>
          <w:tcPr>
            <w:tcW w:w="529" w:type="pct"/>
            <w:vAlign w:val="center"/>
          </w:tcPr>
          <w:p w14:paraId="690E184F">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tcPr>
          <w:p w14:paraId="3D95042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777DF139">
            <w:pPr>
              <w:snapToGrid w:val="0"/>
              <w:spacing w:line="240" w:lineRule="auto"/>
              <w:ind w:left="-22" w:leftChars="-8" w:firstLine="28" w:firstLineChars="10"/>
              <w:jc w:val="center"/>
              <w:rPr>
                <w:rFonts w:ascii="Times New Roman" w:hAnsi="Times New Roman"/>
                <w:szCs w:val="28"/>
              </w:rPr>
            </w:pPr>
          </w:p>
        </w:tc>
      </w:tr>
      <w:tr w14:paraId="30D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60043C11">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14</w:t>
            </w:r>
          </w:p>
        </w:tc>
        <w:tc>
          <w:tcPr>
            <w:tcW w:w="2567" w:type="pct"/>
            <w:vAlign w:val="center"/>
          </w:tcPr>
          <w:p w14:paraId="145947B0">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绿色社区建设比例（</w:t>
            </w:r>
            <w:r>
              <w:rPr>
                <w:rFonts w:ascii="Times New Roman" w:hAnsi="Times New Roman"/>
                <w:szCs w:val="28"/>
              </w:rPr>
              <w:t>%</w:t>
            </w:r>
            <w:r>
              <w:rPr>
                <w:rFonts w:hint="eastAsia" w:ascii="Times New Roman" w:hAnsi="Times New Roman"/>
                <w:szCs w:val="28"/>
              </w:rPr>
              <w:t>）</w:t>
            </w:r>
          </w:p>
        </w:tc>
        <w:tc>
          <w:tcPr>
            <w:tcW w:w="514" w:type="pct"/>
            <w:vAlign w:val="center"/>
          </w:tcPr>
          <w:p w14:paraId="3440EAA7">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w:t>
            </w:r>
          </w:p>
        </w:tc>
        <w:tc>
          <w:tcPr>
            <w:tcW w:w="529" w:type="pct"/>
            <w:vAlign w:val="center"/>
          </w:tcPr>
          <w:p w14:paraId="461C2F56">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60</w:t>
            </w:r>
          </w:p>
        </w:tc>
        <w:tc>
          <w:tcPr>
            <w:tcW w:w="557" w:type="pct"/>
          </w:tcPr>
          <w:p w14:paraId="6F45435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488AD4CA">
            <w:pPr>
              <w:snapToGrid w:val="0"/>
              <w:spacing w:line="240" w:lineRule="auto"/>
              <w:ind w:left="-22" w:leftChars="-8" w:firstLine="28" w:firstLineChars="10"/>
              <w:jc w:val="center"/>
              <w:rPr>
                <w:rFonts w:ascii="Times New Roman" w:hAnsi="Times New Roman"/>
                <w:szCs w:val="28"/>
              </w:rPr>
            </w:pPr>
          </w:p>
        </w:tc>
      </w:tr>
      <w:tr w14:paraId="1EE7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19C67DCA">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15</w:t>
            </w:r>
          </w:p>
        </w:tc>
        <w:tc>
          <w:tcPr>
            <w:tcW w:w="2567" w:type="pct"/>
            <w:vAlign w:val="center"/>
          </w:tcPr>
          <w:p w14:paraId="75D34E34">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城市生活垃圾资源化利用率（</w:t>
            </w:r>
            <w:r>
              <w:rPr>
                <w:rFonts w:ascii="Times New Roman" w:hAnsi="Times New Roman"/>
                <w:szCs w:val="28"/>
              </w:rPr>
              <w:t>%</w:t>
            </w:r>
            <w:r>
              <w:rPr>
                <w:rFonts w:hint="eastAsia" w:ascii="Times New Roman" w:hAnsi="Times New Roman"/>
                <w:szCs w:val="28"/>
              </w:rPr>
              <w:t>）</w:t>
            </w:r>
          </w:p>
        </w:tc>
        <w:tc>
          <w:tcPr>
            <w:tcW w:w="514" w:type="pct"/>
            <w:vAlign w:val="center"/>
          </w:tcPr>
          <w:p w14:paraId="37333D11">
            <w:pPr>
              <w:snapToGrid w:val="0"/>
              <w:spacing w:line="240" w:lineRule="auto"/>
              <w:ind w:firstLine="0" w:firstLineChars="0"/>
              <w:jc w:val="center"/>
              <w:rPr>
                <w:rFonts w:ascii="Times New Roman" w:hAnsi="Times New Roman"/>
                <w:szCs w:val="28"/>
              </w:rPr>
            </w:pPr>
            <w:r>
              <w:rPr>
                <w:rFonts w:ascii="Times New Roman" w:hAnsi="Times New Roman"/>
                <w:szCs w:val="28"/>
              </w:rPr>
              <w:t>80.56</w:t>
            </w:r>
          </w:p>
        </w:tc>
        <w:tc>
          <w:tcPr>
            <w:tcW w:w="529" w:type="pct"/>
            <w:vAlign w:val="center"/>
          </w:tcPr>
          <w:p w14:paraId="5F2265C4">
            <w:pPr>
              <w:snapToGrid w:val="0"/>
              <w:spacing w:line="240" w:lineRule="auto"/>
              <w:ind w:firstLine="0" w:firstLineChars="0"/>
              <w:jc w:val="center"/>
              <w:rPr>
                <w:rFonts w:ascii="Times New Roman" w:hAnsi="Times New Roman"/>
                <w:szCs w:val="28"/>
              </w:rPr>
            </w:pPr>
            <w:r>
              <w:rPr>
                <w:rFonts w:hint="eastAsia" w:ascii="Times New Roman" w:hAnsi="Times New Roman"/>
                <w:szCs w:val="28"/>
              </w:rPr>
              <w:t>≥</w:t>
            </w:r>
            <w:r>
              <w:rPr>
                <w:rFonts w:ascii="Times New Roman" w:hAnsi="Times New Roman"/>
                <w:szCs w:val="28"/>
              </w:rPr>
              <w:t>80</w:t>
            </w:r>
          </w:p>
        </w:tc>
        <w:tc>
          <w:tcPr>
            <w:tcW w:w="557" w:type="pct"/>
          </w:tcPr>
          <w:p w14:paraId="71032AE5">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31677A5D">
            <w:pPr>
              <w:snapToGrid w:val="0"/>
              <w:spacing w:line="240" w:lineRule="auto"/>
              <w:ind w:left="-22" w:leftChars="-8" w:firstLine="28" w:firstLineChars="10"/>
              <w:jc w:val="center"/>
              <w:rPr>
                <w:rFonts w:ascii="Times New Roman" w:hAnsi="Times New Roman"/>
                <w:szCs w:val="28"/>
              </w:rPr>
            </w:pPr>
          </w:p>
        </w:tc>
      </w:tr>
      <w:tr w14:paraId="2478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7BF5825C">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16</w:t>
            </w:r>
          </w:p>
        </w:tc>
        <w:tc>
          <w:tcPr>
            <w:tcW w:w="2567" w:type="pct"/>
            <w:vAlign w:val="center"/>
          </w:tcPr>
          <w:p w14:paraId="3A72FD16">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城市生活垃圾焚烧处理能力占比（</w:t>
            </w:r>
            <w:r>
              <w:rPr>
                <w:rFonts w:ascii="Times New Roman" w:hAnsi="Times New Roman"/>
                <w:szCs w:val="28"/>
              </w:rPr>
              <w:t>%</w:t>
            </w:r>
            <w:r>
              <w:rPr>
                <w:rFonts w:hint="eastAsia" w:ascii="Times New Roman" w:hAnsi="Times New Roman"/>
                <w:szCs w:val="28"/>
              </w:rPr>
              <w:t>）</w:t>
            </w:r>
          </w:p>
        </w:tc>
        <w:tc>
          <w:tcPr>
            <w:tcW w:w="514" w:type="pct"/>
            <w:vAlign w:val="center"/>
          </w:tcPr>
          <w:p w14:paraId="1AAF1450">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90.2</w:t>
            </w:r>
          </w:p>
        </w:tc>
        <w:tc>
          <w:tcPr>
            <w:tcW w:w="529" w:type="pct"/>
            <w:vAlign w:val="center"/>
          </w:tcPr>
          <w:p w14:paraId="40E5F326">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tcPr>
          <w:p w14:paraId="00B33BDD">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0717F09A">
            <w:pPr>
              <w:snapToGrid w:val="0"/>
              <w:spacing w:line="240" w:lineRule="auto"/>
              <w:ind w:left="-22" w:leftChars="-8" w:firstLine="28" w:firstLineChars="10"/>
              <w:jc w:val="center"/>
              <w:rPr>
                <w:rFonts w:ascii="Times New Roman" w:hAnsi="Times New Roman"/>
                <w:szCs w:val="28"/>
              </w:rPr>
            </w:pPr>
          </w:p>
        </w:tc>
      </w:tr>
      <w:tr w14:paraId="464D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EA44D96">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17</w:t>
            </w:r>
          </w:p>
        </w:tc>
        <w:tc>
          <w:tcPr>
            <w:tcW w:w="2567" w:type="pct"/>
            <w:vAlign w:val="center"/>
          </w:tcPr>
          <w:p w14:paraId="1EC7515E">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城市市政管网管线智能化监测管理率（</w:t>
            </w:r>
            <w:r>
              <w:rPr>
                <w:rFonts w:ascii="Times New Roman" w:hAnsi="Times New Roman"/>
                <w:szCs w:val="28"/>
              </w:rPr>
              <w:t>%</w:t>
            </w:r>
            <w:r>
              <w:rPr>
                <w:rFonts w:hint="eastAsia" w:ascii="Times New Roman" w:hAnsi="Times New Roman"/>
                <w:szCs w:val="28"/>
              </w:rPr>
              <w:t>）</w:t>
            </w:r>
          </w:p>
        </w:tc>
        <w:tc>
          <w:tcPr>
            <w:tcW w:w="514" w:type="pct"/>
            <w:vAlign w:val="center"/>
          </w:tcPr>
          <w:p w14:paraId="51133E18">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5</w:t>
            </w:r>
          </w:p>
        </w:tc>
        <w:tc>
          <w:tcPr>
            <w:tcW w:w="529" w:type="pct"/>
            <w:vAlign w:val="center"/>
          </w:tcPr>
          <w:p w14:paraId="30545D8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15</w:t>
            </w:r>
          </w:p>
        </w:tc>
        <w:tc>
          <w:tcPr>
            <w:tcW w:w="557" w:type="pct"/>
          </w:tcPr>
          <w:p w14:paraId="1548526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6AFABBF0">
            <w:pPr>
              <w:snapToGrid w:val="0"/>
              <w:spacing w:line="240" w:lineRule="auto"/>
              <w:ind w:left="-22" w:leftChars="-8" w:firstLine="28" w:firstLineChars="10"/>
              <w:jc w:val="center"/>
              <w:rPr>
                <w:rFonts w:ascii="Times New Roman" w:hAnsi="Times New Roman"/>
                <w:szCs w:val="28"/>
              </w:rPr>
            </w:pPr>
          </w:p>
        </w:tc>
      </w:tr>
    </w:tbl>
    <w:p w14:paraId="699F4DEF">
      <w:pPr>
        <w:pStyle w:val="2"/>
        <w:spacing w:after="156"/>
        <w:jc w:val="both"/>
        <w:rPr>
          <w:rFonts w:ascii="黑体" w:hAnsi="黑体"/>
          <w:sz w:val="40"/>
          <w:szCs w:val="56"/>
        </w:rPr>
        <w:sectPr>
          <w:pgSz w:w="11906" w:h="16838"/>
          <w:pgMar w:top="1440" w:right="1474" w:bottom="1304" w:left="1474" w:header="851" w:footer="992" w:gutter="0"/>
          <w:pgNumType w:start="1"/>
          <w:cols w:space="425" w:num="1"/>
          <w:docGrid w:type="lines" w:linePitch="312" w:charSpace="0"/>
        </w:sectPr>
      </w:pPr>
    </w:p>
    <w:p w14:paraId="3AA6C9E5">
      <w:pPr>
        <w:pStyle w:val="2"/>
        <w:spacing w:after="394" w:afterLines="100"/>
        <w:rPr>
          <w:rFonts w:ascii="黑体" w:hAnsi="黑体"/>
          <w:sz w:val="40"/>
          <w:szCs w:val="56"/>
        </w:rPr>
      </w:pPr>
      <w:bookmarkStart w:id="120" w:name="_Toc9843"/>
      <w:bookmarkStart w:id="121" w:name="_Toc2869"/>
      <w:bookmarkStart w:id="122" w:name="_Toc17550"/>
      <w:bookmarkStart w:id="123" w:name="_Toc13021"/>
      <w:bookmarkStart w:id="124" w:name="_Toc9381"/>
      <w:r>
        <w:rPr>
          <w:rFonts w:hint="eastAsia" w:ascii="黑体" w:hAnsi="黑体"/>
          <w:sz w:val="40"/>
          <w:szCs w:val="56"/>
        </w:rPr>
        <w:t>第三章</w:t>
      </w:r>
      <w:r>
        <w:rPr>
          <w:rFonts w:ascii="黑体" w:hAnsi="黑体"/>
          <w:sz w:val="40"/>
          <w:szCs w:val="56"/>
        </w:rPr>
        <w:t xml:space="preserve">  </w:t>
      </w:r>
      <w:r>
        <w:rPr>
          <w:rFonts w:hint="eastAsia" w:ascii="黑体" w:hAnsi="黑体"/>
          <w:sz w:val="40"/>
          <w:szCs w:val="56"/>
        </w:rPr>
        <w:t>重点任务</w:t>
      </w:r>
      <w:bookmarkEnd w:id="9"/>
      <w:bookmarkEnd w:id="10"/>
      <w:bookmarkEnd w:id="11"/>
      <w:bookmarkEnd w:id="120"/>
      <w:bookmarkEnd w:id="121"/>
      <w:bookmarkEnd w:id="122"/>
      <w:bookmarkEnd w:id="123"/>
      <w:bookmarkEnd w:id="124"/>
    </w:p>
    <w:p w14:paraId="24388F0F">
      <w:pPr>
        <w:pStyle w:val="30"/>
        <w:snapToGrid w:val="0"/>
        <w:spacing w:line="540" w:lineRule="exact"/>
        <w:ind w:firstLine="640"/>
        <w:rPr>
          <w:rFonts w:ascii="仿宋" w:hAnsi="仿宋" w:eastAsia="仿宋"/>
          <w:kern w:val="0"/>
          <w:sz w:val="32"/>
          <w:szCs w:val="32"/>
        </w:rPr>
      </w:pPr>
      <w:r>
        <w:rPr>
          <w:rFonts w:hint="eastAsia" w:ascii="仿宋" w:hAnsi="仿宋" w:eastAsia="仿宋"/>
          <w:kern w:val="0"/>
          <w:sz w:val="32"/>
          <w:szCs w:val="32"/>
        </w:rPr>
        <w:t>“十四五”期间，重点实施十大提升工程，</w:t>
      </w:r>
      <w:r>
        <w:rPr>
          <w:rFonts w:ascii="仿宋" w:hAnsi="仿宋" w:eastAsia="仿宋"/>
          <w:kern w:val="0"/>
          <w:sz w:val="32"/>
          <w:szCs w:val="32"/>
        </w:rPr>
        <w:t>支撑</w:t>
      </w:r>
      <w:r>
        <w:rPr>
          <w:rFonts w:hint="eastAsia" w:ascii="仿宋" w:hAnsi="仿宋" w:eastAsia="仿宋"/>
          <w:kern w:val="0"/>
          <w:sz w:val="32"/>
          <w:szCs w:val="32"/>
        </w:rPr>
        <w:t>泉州城市能级与城乡品质双提升</w:t>
      </w:r>
      <w:r>
        <w:rPr>
          <w:rFonts w:ascii="仿宋" w:hAnsi="仿宋" w:eastAsia="仿宋"/>
          <w:kern w:val="0"/>
          <w:sz w:val="32"/>
          <w:szCs w:val="32"/>
        </w:rPr>
        <w:t>。</w:t>
      </w:r>
    </w:p>
    <w:p w14:paraId="1B5605C4">
      <w:pPr>
        <w:pStyle w:val="3"/>
        <w:spacing w:line="540" w:lineRule="exact"/>
        <w:ind w:firstLine="643" w:firstLineChars="200"/>
        <w:rPr>
          <w:rFonts w:ascii="黑体" w:hAnsi="黑体" w:eastAsia="黑体"/>
          <w:kern w:val="0"/>
          <w:sz w:val="32"/>
        </w:rPr>
      </w:pPr>
      <w:bookmarkStart w:id="125" w:name="_Toc62176651"/>
      <w:bookmarkStart w:id="126" w:name="_Toc63077439"/>
      <w:bookmarkStart w:id="127" w:name="_Toc62163252"/>
      <w:bookmarkStart w:id="128" w:name="_Toc7550"/>
      <w:bookmarkStart w:id="129" w:name="_Toc13651"/>
      <w:bookmarkStart w:id="130" w:name="_Toc12767"/>
      <w:bookmarkStart w:id="131" w:name="_Toc22870"/>
      <w:bookmarkStart w:id="132" w:name="_Toc12113"/>
      <w:r>
        <w:rPr>
          <w:rFonts w:hint="eastAsia" w:ascii="黑体" w:hAnsi="黑体" w:eastAsia="黑体"/>
          <w:kern w:val="0"/>
          <w:sz w:val="32"/>
        </w:rPr>
        <w:t>一、</w:t>
      </w:r>
      <w:bookmarkEnd w:id="125"/>
      <w:bookmarkEnd w:id="126"/>
      <w:bookmarkEnd w:id="127"/>
      <w:r>
        <w:rPr>
          <w:rFonts w:hint="eastAsia" w:ascii="黑体" w:hAnsi="黑体" w:eastAsia="黑体"/>
          <w:kern w:val="0"/>
          <w:sz w:val="32"/>
        </w:rPr>
        <w:t>交通</w:t>
      </w:r>
      <w:r>
        <w:rPr>
          <w:rFonts w:ascii="黑体" w:hAnsi="黑体" w:eastAsia="黑体"/>
          <w:kern w:val="0"/>
          <w:sz w:val="32"/>
        </w:rPr>
        <w:t>设施提升</w:t>
      </w:r>
      <w:bookmarkEnd w:id="128"/>
      <w:bookmarkEnd w:id="129"/>
      <w:bookmarkEnd w:id="130"/>
      <w:bookmarkEnd w:id="131"/>
      <w:bookmarkEnd w:id="132"/>
    </w:p>
    <w:p w14:paraId="33C31656">
      <w:pPr>
        <w:spacing w:line="540" w:lineRule="exact"/>
        <w:ind w:firstLine="640"/>
        <w:rPr>
          <w:rFonts w:ascii="仿宋" w:hAnsi="仿宋"/>
          <w:sz w:val="32"/>
          <w:szCs w:val="32"/>
        </w:rPr>
      </w:pPr>
      <w:r>
        <w:rPr>
          <w:rFonts w:ascii="仿宋" w:hAnsi="仿宋"/>
          <w:sz w:val="32"/>
          <w:szCs w:val="32"/>
        </w:rPr>
        <w:t>强化对外综合交通体系能级，启动城际/城市轨道交通建设，</w:t>
      </w:r>
      <w:r>
        <w:rPr>
          <w:rFonts w:hint="eastAsia" w:ascii="仿宋" w:hAnsi="仿宋"/>
          <w:sz w:val="32"/>
          <w:szCs w:val="32"/>
        </w:rPr>
        <w:t>持续实施“聚城畅通”工程，推进高（进出城高速公路）快（城市快速路）一体化，打造“一环城、两环湾、多向放射”快速交通体系，突破组团联系通道，</w:t>
      </w:r>
      <w:r>
        <w:rPr>
          <w:rFonts w:ascii="仿宋" w:hAnsi="仿宋"/>
          <w:sz w:val="32"/>
          <w:szCs w:val="32"/>
        </w:rPr>
        <w:t>完善</w:t>
      </w:r>
      <w:r>
        <w:rPr>
          <w:rFonts w:hint="eastAsia" w:ascii="仿宋" w:hAnsi="仿宋"/>
          <w:sz w:val="32"/>
          <w:szCs w:val="32"/>
        </w:rPr>
        <w:t>内部</w:t>
      </w:r>
      <w:r>
        <w:rPr>
          <w:rFonts w:ascii="仿宋" w:hAnsi="仿宋"/>
          <w:sz w:val="32"/>
          <w:szCs w:val="32"/>
        </w:rPr>
        <w:t>路网级配，</w:t>
      </w:r>
      <w:r>
        <w:rPr>
          <w:rFonts w:hint="eastAsia" w:ascii="仿宋" w:hAnsi="仿宋"/>
          <w:sz w:val="32"/>
          <w:szCs w:val="32"/>
        </w:rPr>
        <w:t>提升</w:t>
      </w:r>
      <w:r>
        <w:rPr>
          <w:rFonts w:ascii="仿宋" w:hAnsi="仿宋"/>
          <w:sz w:val="32"/>
          <w:szCs w:val="32"/>
        </w:rPr>
        <w:t>城乡</w:t>
      </w:r>
      <w:r>
        <w:rPr>
          <w:rFonts w:hint="eastAsia" w:ascii="仿宋" w:hAnsi="仿宋"/>
          <w:sz w:val="32"/>
          <w:szCs w:val="32"/>
        </w:rPr>
        <w:t>公共</w:t>
      </w:r>
      <w:r>
        <w:rPr>
          <w:rFonts w:ascii="仿宋" w:hAnsi="仿宋"/>
          <w:sz w:val="32"/>
          <w:szCs w:val="32"/>
        </w:rPr>
        <w:t>客运服务，实施“</w:t>
      </w:r>
      <w:r>
        <w:rPr>
          <w:rFonts w:hint="eastAsia" w:ascii="仿宋" w:hAnsi="仿宋"/>
          <w:sz w:val="32"/>
          <w:szCs w:val="32"/>
        </w:rPr>
        <w:t>三</w:t>
      </w:r>
      <w:r>
        <w:rPr>
          <w:rFonts w:ascii="仿宋" w:hAnsi="仿宋"/>
          <w:sz w:val="32"/>
          <w:szCs w:val="32"/>
        </w:rPr>
        <w:t>微（微枢纽、</w:t>
      </w:r>
      <w:r>
        <w:rPr>
          <w:rFonts w:hint="eastAsia" w:ascii="仿宋" w:hAnsi="仿宋"/>
          <w:sz w:val="32"/>
          <w:szCs w:val="32"/>
        </w:rPr>
        <w:t>微循环、</w:t>
      </w:r>
      <w:r>
        <w:rPr>
          <w:rFonts w:ascii="仿宋" w:hAnsi="仿宋"/>
          <w:sz w:val="32"/>
          <w:szCs w:val="32"/>
        </w:rPr>
        <w:t>微整治）、两新（新慢行、新停车）”城市交通品质提升工程</w:t>
      </w:r>
      <w:r>
        <w:rPr>
          <w:rFonts w:hint="eastAsia" w:ascii="仿宋" w:hAnsi="仿宋"/>
          <w:sz w:val="32"/>
          <w:szCs w:val="32"/>
        </w:rPr>
        <w:t>，推进“</w:t>
      </w:r>
      <w:r>
        <w:rPr>
          <w:rFonts w:ascii="仿宋" w:hAnsi="仿宋"/>
          <w:sz w:val="32"/>
          <w:szCs w:val="32"/>
        </w:rPr>
        <w:t>369</w:t>
      </w:r>
      <w:r>
        <w:rPr>
          <w:rFonts w:hint="eastAsia" w:ascii="仿宋" w:hAnsi="仿宋"/>
          <w:sz w:val="32"/>
          <w:szCs w:val="32"/>
        </w:rPr>
        <w:t>”</w:t>
      </w:r>
      <w:r>
        <w:rPr>
          <w:rFonts w:ascii="仿宋" w:hAnsi="仿宋"/>
          <w:sz w:val="32"/>
          <w:szCs w:val="32"/>
        </w:rPr>
        <w:t>交通圈生活圈产业圈的建设，同时在</w:t>
      </w:r>
      <w:r>
        <w:rPr>
          <w:rFonts w:hint="eastAsia" w:ascii="仿宋" w:hAnsi="仿宋"/>
          <w:sz w:val="32"/>
          <w:szCs w:val="32"/>
        </w:rPr>
        <w:t>市区</w:t>
      </w:r>
      <w:r>
        <w:rPr>
          <w:rFonts w:ascii="仿宋" w:hAnsi="仿宋"/>
          <w:sz w:val="32"/>
          <w:szCs w:val="32"/>
        </w:rPr>
        <w:t>内部基本实现15分钟上高速</w:t>
      </w:r>
      <w:r>
        <w:rPr>
          <w:rFonts w:hint="eastAsia" w:ascii="仿宋" w:hAnsi="仿宋"/>
          <w:sz w:val="32"/>
          <w:szCs w:val="32"/>
        </w:rPr>
        <w:t>，</w:t>
      </w:r>
      <w:r>
        <w:rPr>
          <w:rFonts w:ascii="仿宋" w:hAnsi="仿宋"/>
          <w:sz w:val="32"/>
          <w:szCs w:val="32"/>
        </w:rPr>
        <w:t>重大交通枢纽高快</w:t>
      </w:r>
      <w:r>
        <w:rPr>
          <w:rFonts w:hint="eastAsia" w:ascii="仿宋" w:hAnsi="仿宋"/>
          <w:sz w:val="32"/>
          <w:szCs w:val="32"/>
        </w:rPr>
        <w:t>交通体系</w:t>
      </w:r>
      <w:r>
        <w:rPr>
          <w:rFonts w:ascii="仿宋" w:hAnsi="仿宋"/>
          <w:sz w:val="32"/>
          <w:szCs w:val="32"/>
        </w:rPr>
        <w:t>全覆盖。</w:t>
      </w:r>
    </w:p>
    <w:p w14:paraId="7753CE1E">
      <w:pPr>
        <w:snapToGrid w:val="0"/>
        <w:spacing w:line="540" w:lineRule="exact"/>
        <w:ind w:firstLine="643"/>
        <w:outlineLvl w:val="2"/>
        <w:rPr>
          <w:rFonts w:ascii="楷体" w:hAnsi="楷体" w:eastAsia="楷体"/>
          <w:b/>
          <w:bCs/>
          <w:kern w:val="0"/>
          <w:sz w:val="32"/>
          <w:szCs w:val="32"/>
        </w:rPr>
      </w:pPr>
      <w:bookmarkStart w:id="133" w:name="_Toc63077440"/>
      <w:bookmarkStart w:id="134" w:name="_Toc62176652"/>
      <w:bookmarkStart w:id="135" w:name="_Toc62175617"/>
      <w:bookmarkStart w:id="136" w:name="_Toc62163253"/>
      <w:bookmarkStart w:id="137" w:name="_Toc18401"/>
      <w:bookmarkStart w:id="138" w:name="_Toc10603"/>
      <w:bookmarkStart w:id="139" w:name="_Toc17648"/>
      <w:bookmarkStart w:id="140" w:name="_Toc28969"/>
      <w:bookmarkStart w:id="141" w:name="_Toc17418"/>
      <w:r>
        <w:rPr>
          <w:rFonts w:hint="eastAsia" w:ascii="楷体" w:hAnsi="楷体" w:eastAsia="楷体"/>
          <w:b/>
          <w:bCs/>
          <w:kern w:val="0"/>
          <w:sz w:val="32"/>
          <w:szCs w:val="32"/>
        </w:rPr>
        <w:t>（一）</w:t>
      </w:r>
      <w:bookmarkEnd w:id="133"/>
      <w:bookmarkEnd w:id="134"/>
      <w:bookmarkEnd w:id="135"/>
      <w:bookmarkEnd w:id="136"/>
      <w:r>
        <w:rPr>
          <w:rFonts w:hint="eastAsia" w:ascii="楷体" w:hAnsi="楷体" w:eastAsia="楷体"/>
          <w:b/>
          <w:bCs/>
          <w:kern w:val="0"/>
          <w:sz w:val="32"/>
          <w:szCs w:val="32"/>
        </w:rPr>
        <w:t>推进城乡交通网络建设</w:t>
      </w:r>
      <w:bookmarkEnd w:id="137"/>
      <w:bookmarkEnd w:id="138"/>
      <w:bookmarkEnd w:id="139"/>
      <w:bookmarkEnd w:id="140"/>
      <w:bookmarkEnd w:id="141"/>
    </w:p>
    <w:p w14:paraId="563C8A6B">
      <w:pPr>
        <w:spacing w:line="540" w:lineRule="exact"/>
        <w:ind w:firstLine="643"/>
        <w:rPr>
          <w:rFonts w:ascii="楷体" w:hAnsi="楷体" w:eastAsia="楷体"/>
          <w:b/>
          <w:bCs/>
        </w:rPr>
      </w:pPr>
      <w:bookmarkStart w:id="142" w:name="_Toc62175618"/>
      <w:bookmarkStart w:id="143" w:name="_Toc62163254"/>
      <w:bookmarkStart w:id="144" w:name="_Toc63077441"/>
      <w:bookmarkStart w:id="145" w:name="_Toc62176653"/>
      <w:r>
        <w:rPr>
          <w:rFonts w:hint="eastAsia" w:ascii="仿宋" w:hAnsi="仿宋" w:cs="宋体"/>
          <w:b/>
          <w:kern w:val="0"/>
          <w:sz w:val="32"/>
          <w:szCs w:val="32"/>
        </w:rPr>
        <w:t>大力推进城际轨道交通建设</w:t>
      </w:r>
      <w:bookmarkEnd w:id="142"/>
      <w:bookmarkEnd w:id="143"/>
      <w:bookmarkEnd w:id="144"/>
      <w:bookmarkEnd w:id="145"/>
      <w:r>
        <w:rPr>
          <w:rFonts w:hint="eastAsia" w:ascii="仿宋" w:hAnsi="仿宋" w:cs="宋体"/>
          <w:b/>
          <w:kern w:val="0"/>
          <w:sz w:val="32"/>
          <w:szCs w:val="32"/>
        </w:rPr>
        <w:t>。</w:t>
      </w:r>
      <w:r>
        <w:rPr>
          <w:rFonts w:hint="eastAsia" w:ascii="仿宋" w:hAnsi="仿宋" w:cs="宋体"/>
          <w:kern w:val="0"/>
          <w:sz w:val="32"/>
          <w:szCs w:val="32"/>
        </w:rPr>
        <w:t>强化市域快轨支撑城乡一体化，开展城市轨道交通规划研究，便捷衔接厦门新机场，串联沿海城镇，助力实现都市圈</w:t>
      </w:r>
      <w:r>
        <w:rPr>
          <w:rFonts w:ascii="仿宋" w:hAnsi="仿宋" w:cs="宋体"/>
          <w:kern w:val="0"/>
          <w:sz w:val="32"/>
          <w:szCs w:val="32"/>
        </w:rPr>
        <w:t>1小时通勤</w:t>
      </w:r>
      <w:r>
        <w:rPr>
          <w:rFonts w:hint="eastAsia" w:ascii="仿宋" w:hAnsi="仿宋" w:cs="宋体"/>
          <w:kern w:val="0"/>
          <w:sz w:val="32"/>
          <w:szCs w:val="32"/>
        </w:rPr>
        <w:t>，推动城市组团加速破散促聚。启动</w:t>
      </w:r>
      <w:r>
        <w:rPr>
          <w:rFonts w:ascii="仿宋" w:hAnsi="仿宋" w:cs="宋体"/>
          <w:kern w:val="0"/>
          <w:sz w:val="32"/>
          <w:szCs w:val="32"/>
        </w:rPr>
        <w:t>R1线一期工程前期，争取“十四五”期间开工建设，预留惠安、泉港延伸线，</w:t>
      </w:r>
      <w:r>
        <w:rPr>
          <w:rFonts w:hint="eastAsia" w:ascii="仿宋" w:hAnsi="仿宋" w:cs="宋体"/>
          <w:kern w:val="0"/>
          <w:sz w:val="32"/>
          <w:szCs w:val="32"/>
        </w:rPr>
        <w:t>并</w:t>
      </w:r>
      <w:r>
        <w:rPr>
          <w:rFonts w:ascii="仿宋" w:hAnsi="仿宋" w:cs="宋体"/>
          <w:kern w:val="0"/>
          <w:sz w:val="32"/>
          <w:szCs w:val="32"/>
        </w:rPr>
        <w:t>结合环湾快速公交体系，实现R1线对周边组团的辐射，</w:t>
      </w:r>
      <w:r>
        <w:rPr>
          <w:rFonts w:hint="eastAsia" w:ascii="仿宋" w:hAnsi="仿宋" w:cs="宋体"/>
          <w:kern w:val="0"/>
          <w:sz w:val="32"/>
          <w:szCs w:val="32"/>
        </w:rPr>
        <w:t>远期依托城市轨道交通实现环湾重要区域串联成线。</w:t>
      </w:r>
    </w:p>
    <w:p w14:paraId="063EA795">
      <w:pPr>
        <w:spacing w:line="540" w:lineRule="exact"/>
        <w:ind w:firstLine="643"/>
        <w:rPr>
          <w:rFonts w:ascii="仿宋" w:hAnsi="仿宋" w:cs="宋体"/>
          <w:kern w:val="0"/>
          <w:sz w:val="32"/>
          <w:szCs w:val="32"/>
        </w:rPr>
      </w:pPr>
      <w:bookmarkStart w:id="146" w:name="_Toc63077443"/>
      <w:bookmarkStart w:id="147" w:name="_Toc62176655"/>
      <w:bookmarkStart w:id="148" w:name="_Toc62175620"/>
      <w:bookmarkStart w:id="149" w:name="_Toc62163256"/>
      <w:r>
        <w:rPr>
          <w:rFonts w:hint="eastAsia" w:ascii="仿宋" w:hAnsi="仿宋" w:cs="宋体"/>
          <w:b/>
          <w:kern w:val="0"/>
          <w:sz w:val="32"/>
          <w:szCs w:val="32"/>
        </w:rPr>
        <w:t>打造“高快一体化”快速交通体系。</w:t>
      </w:r>
      <w:r>
        <w:rPr>
          <w:rFonts w:hint="eastAsia" w:ascii="仿宋" w:hAnsi="仿宋" w:cs="宋体"/>
          <w:kern w:val="0"/>
          <w:sz w:val="32"/>
          <w:szCs w:val="32"/>
        </w:rPr>
        <w:t>为支撑环湾向心集聚和区域同城化发展，持续实施“聚城畅通”工程，全面实施“一环城</w:t>
      </w:r>
      <w:r>
        <w:rPr>
          <w:rFonts w:ascii="仿宋" w:hAnsi="仿宋" w:cs="宋体"/>
          <w:kern w:val="0"/>
          <w:sz w:val="32"/>
          <w:szCs w:val="32"/>
        </w:rPr>
        <w:t>+一环湾+多向放射线”建设</w:t>
      </w:r>
      <w:r>
        <w:rPr>
          <w:rFonts w:hint="eastAsia" w:ascii="仿宋" w:hAnsi="仿宋" w:cs="宋体"/>
          <w:kern w:val="0"/>
          <w:sz w:val="32"/>
          <w:szCs w:val="32"/>
        </w:rPr>
        <w:t>。到</w:t>
      </w:r>
      <w:r>
        <w:rPr>
          <w:rFonts w:ascii="仿宋" w:hAnsi="仿宋" w:cs="宋体"/>
          <w:kern w:val="0"/>
          <w:sz w:val="32"/>
          <w:szCs w:val="32"/>
        </w:rPr>
        <w:t>2025</w:t>
      </w:r>
      <w:r>
        <w:rPr>
          <w:rFonts w:hint="eastAsia" w:ascii="仿宋" w:hAnsi="仿宋" w:cs="宋体"/>
          <w:kern w:val="0"/>
          <w:sz w:val="32"/>
          <w:szCs w:val="32"/>
        </w:rPr>
        <w:t>年，新（改）建快速通道约</w:t>
      </w:r>
      <w:r>
        <w:rPr>
          <w:rFonts w:ascii="仿宋" w:hAnsi="仿宋" w:cs="宋体"/>
          <w:kern w:val="0"/>
          <w:sz w:val="32"/>
          <w:szCs w:val="32"/>
        </w:rPr>
        <w:t>124公里，谋划并适时启动</w:t>
      </w:r>
      <w:r>
        <w:rPr>
          <w:rFonts w:hint="eastAsia" w:ascii="仿宋" w:hAnsi="仿宋" w:cs="宋体"/>
          <w:kern w:val="0"/>
          <w:sz w:val="32"/>
          <w:szCs w:val="32"/>
        </w:rPr>
        <w:t>约</w:t>
      </w:r>
      <w:r>
        <w:rPr>
          <w:rFonts w:ascii="仿宋" w:hAnsi="仿宋" w:cs="宋体"/>
          <w:kern w:val="0"/>
          <w:sz w:val="32"/>
          <w:szCs w:val="32"/>
        </w:rPr>
        <w:t>163</w:t>
      </w:r>
      <w:r>
        <w:rPr>
          <w:rFonts w:hint="eastAsia" w:ascii="仿宋" w:hAnsi="仿宋" w:cs="宋体"/>
          <w:kern w:val="0"/>
          <w:sz w:val="32"/>
          <w:szCs w:val="32"/>
        </w:rPr>
        <w:t>公里，</w:t>
      </w:r>
      <w:r>
        <w:rPr>
          <w:rFonts w:ascii="仿宋" w:hAnsi="仿宋" w:cs="宋体"/>
          <w:kern w:val="0"/>
          <w:sz w:val="32"/>
          <w:szCs w:val="32"/>
        </w:rPr>
        <w:t>打造市区15分钟高快速路系统</w:t>
      </w:r>
      <w:r>
        <w:rPr>
          <w:rFonts w:hint="eastAsia" w:ascii="仿宋" w:hAnsi="仿宋" w:cs="宋体"/>
          <w:kern w:val="0"/>
          <w:sz w:val="32"/>
          <w:szCs w:val="32"/>
        </w:rPr>
        <w:t>，实现</w:t>
      </w:r>
      <w:r>
        <w:rPr>
          <w:rFonts w:ascii="仿宋" w:hAnsi="仿宋" w:cs="宋体"/>
          <w:kern w:val="0"/>
          <w:sz w:val="32"/>
          <w:szCs w:val="32"/>
        </w:rPr>
        <w:t>重大交通枢纽高快全覆盖，加快疏解中心城区交通拥堵。</w:t>
      </w:r>
    </w:p>
    <w:p w14:paraId="7FAF0828">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专栏1：</w:t>
      </w:r>
      <w:r>
        <w:rPr>
          <w:rFonts w:hint="eastAsia" w:ascii="黑体" w:hAnsi="黑体" w:eastAsia="黑体" w:cs="黑体"/>
          <w:kern w:val="0"/>
          <w:szCs w:val="28"/>
        </w:rPr>
        <w:t>聚城</w:t>
      </w:r>
      <w:r>
        <w:rPr>
          <w:rFonts w:ascii="黑体" w:hAnsi="黑体" w:eastAsia="黑体" w:cs="黑体"/>
          <w:kern w:val="0"/>
          <w:szCs w:val="28"/>
        </w:rPr>
        <w:t>畅通</w:t>
      </w:r>
      <w:r>
        <w:rPr>
          <w:rFonts w:hint="eastAsia" w:ascii="黑体" w:hAnsi="黑体" w:eastAsia="黑体" w:cs="黑体"/>
          <w:kern w:val="0"/>
          <w:szCs w:val="28"/>
        </w:rPr>
        <w:t>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E16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F8E23E0">
            <w:pPr>
              <w:pStyle w:val="48"/>
              <w:spacing w:before="197" w:beforeLines="50"/>
              <w:ind w:firstLine="562"/>
              <w:rPr>
                <w:rFonts w:ascii="仿宋" w:eastAsia="仿宋"/>
                <w:color w:val="auto"/>
                <w:sz w:val="28"/>
                <w:szCs w:val="32"/>
              </w:rPr>
            </w:pPr>
            <w:r>
              <w:rPr>
                <w:rFonts w:ascii="仿宋" w:eastAsia="仿宋"/>
                <w:b/>
                <w:color w:val="auto"/>
                <w:sz w:val="28"/>
                <w:szCs w:val="32"/>
              </w:rPr>
              <w:t>1.贯通一重环湾：</w:t>
            </w:r>
            <w:r>
              <w:rPr>
                <w:rFonts w:hint="eastAsia" w:ascii="仿宋" w:eastAsia="仿宋"/>
                <w:color w:val="auto"/>
                <w:sz w:val="28"/>
                <w:szCs w:val="32"/>
              </w:rPr>
              <w:t>打通晋江西滨至石狮大道，实施后渚大桥至东海立交快捷化改造、晋新路快捷化改造，推动泉州</w:t>
            </w:r>
            <w:r>
              <w:rPr>
                <w:rFonts w:ascii="仿宋" w:eastAsia="仿宋"/>
                <w:color w:val="auto"/>
                <w:sz w:val="28"/>
                <w:szCs w:val="32"/>
              </w:rPr>
              <w:t>台商投资区东西主干道快捷化改造。</w:t>
            </w:r>
          </w:p>
          <w:p w14:paraId="3D7C0E05">
            <w:pPr>
              <w:pStyle w:val="48"/>
              <w:ind w:firstLine="562"/>
              <w:rPr>
                <w:rFonts w:ascii="仿宋" w:eastAsia="仿宋"/>
                <w:b/>
                <w:color w:val="auto"/>
                <w:sz w:val="28"/>
                <w:szCs w:val="32"/>
              </w:rPr>
            </w:pPr>
            <w:r>
              <w:rPr>
                <w:rFonts w:ascii="仿宋" w:eastAsia="仿宋"/>
                <w:b/>
                <w:color w:val="auto"/>
                <w:sz w:val="28"/>
                <w:szCs w:val="32"/>
              </w:rPr>
              <w:t>2.打通中环城：</w:t>
            </w:r>
            <w:r>
              <w:rPr>
                <w:rFonts w:hint="eastAsia" w:ascii="仿宋" w:eastAsia="仿宋"/>
                <w:color w:val="auto"/>
                <w:sz w:val="28"/>
                <w:szCs w:val="32"/>
              </w:rPr>
              <w:t>打通站前大道南延伸接晋明路，实施普贤路、站前北大道、站前南大道、晋明路、双龙路（晋光路</w:t>
            </w:r>
            <w:r>
              <w:rPr>
                <w:rFonts w:ascii="仿宋" w:eastAsia="仿宋"/>
                <w:color w:val="auto"/>
                <w:sz w:val="28"/>
                <w:szCs w:val="32"/>
              </w:rPr>
              <w:t>-晋新路）快捷化改造。</w:t>
            </w:r>
          </w:p>
          <w:p w14:paraId="3F814BE4">
            <w:pPr>
              <w:pStyle w:val="48"/>
              <w:ind w:firstLine="562"/>
              <w:rPr>
                <w:rFonts w:ascii="仿宋" w:eastAsia="仿宋"/>
                <w:color w:val="auto"/>
                <w:sz w:val="28"/>
                <w:szCs w:val="32"/>
              </w:rPr>
            </w:pPr>
            <w:r>
              <w:rPr>
                <w:rFonts w:ascii="仿宋" w:eastAsia="仿宋"/>
                <w:b/>
                <w:color w:val="auto"/>
                <w:sz w:val="28"/>
                <w:szCs w:val="32"/>
              </w:rPr>
              <w:t>3.多向放射线：</w:t>
            </w:r>
            <w:r>
              <w:rPr>
                <w:rFonts w:hint="eastAsia" w:ascii="仿宋" w:eastAsia="仿宋"/>
                <w:color w:val="auto"/>
                <w:sz w:val="28"/>
                <w:szCs w:val="32"/>
              </w:rPr>
              <w:t>至</w:t>
            </w:r>
            <w:r>
              <w:rPr>
                <w:rFonts w:ascii="仿宋" w:eastAsia="仿宋"/>
                <w:color w:val="auto"/>
                <w:sz w:val="28"/>
                <w:szCs w:val="32"/>
              </w:rPr>
              <w:t>北翼，</w:t>
            </w:r>
            <w:r>
              <w:rPr>
                <w:rFonts w:hint="eastAsia" w:ascii="仿宋" w:eastAsia="仿宋"/>
                <w:color w:val="auto"/>
                <w:sz w:val="28"/>
                <w:szCs w:val="32"/>
              </w:rPr>
              <w:t>推动海山大道、北翼中通道和凤凰大道建设；至西翼，推动滨江大道快捷化和西翼北通道建设；至南翼</w:t>
            </w:r>
            <w:r>
              <w:rPr>
                <w:rFonts w:ascii="仿宋" w:eastAsia="仿宋"/>
                <w:color w:val="auto"/>
                <w:sz w:val="28"/>
                <w:szCs w:val="32"/>
              </w:rPr>
              <w:t>，</w:t>
            </w:r>
            <w:r>
              <w:rPr>
                <w:rFonts w:hint="eastAsia" w:ascii="仿宋" w:eastAsia="仿宋"/>
                <w:color w:val="auto"/>
                <w:sz w:val="28"/>
                <w:szCs w:val="32"/>
              </w:rPr>
              <w:t>推动世纪大道北延伸至凤池路，晋江世纪大道南延伸至南翼新城科院路建设</w:t>
            </w:r>
            <w:r>
              <w:rPr>
                <w:rFonts w:ascii="仿宋" w:eastAsia="仿宋"/>
                <w:color w:val="auto"/>
                <w:sz w:val="28"/>
                <w:szCs w:val="32"/>
              </w:rPr>
              <w:t>。</w:t>
            </w:r>
          </w:p>
          <w:p w14:paraId="6A3E0E2B">
            <w:pPr>
              <w:pStyle w:val="48"/>
              <w:ind w:firstLine="562"/>
              <w:rPr>
                <w:rFonts w:ascii="仿宋" w:eastAsia="仿宋"/>
                <w:color w:val="auto"/>
                <w:sz w:val="28"/>
                <w:szCs w:val="32"/>
              </w:rPr>
            </w:pPr>
            <w:r>
              <w:rPr>
                <w:rFonts w:ascii="仿宋" w:eastAsia="仿宋"/>
                <w:b/>
                <w:bCs/>
                <w:color w:val="auto"/>
                <w:sz w:val="28"/>
                <w:szCs w:val="32"/>
              </w:rPr>
              <w:t>4.</w:t>
            </w:r>
            <w:r>
              <w:rPr>
                <w:rFonts w:hint="eastAsia" w:ascii="仿宋" w:eastAsia="仿宋"/>
                <w:b/>
                <w:bCs/>
                <w:color w:val="auto"/>
                <w:sz w:val="28"/>
                <w:szCs w:val="32"/>
              </w:rPr>
              <w:t>快速进出城</w:t>
            </w:r>
            <w:r>
              <w:rPr>
                <w:rFonts w:ascii="仿宋" w:eastAsia="仿宋"/>
                <w:b/>
                <w:bCs/>
                <w:color w:val="auto"/>
                <w:sz w:val="28"/>
                <w:szCs w:val="32"/>
              </w:rPr>
              <w:t>:</w:t>
            </w:r>
            <w:r>
              <w:rPr>
                <w:rFonts w:hint="eastAsia" w:ascii="仿宋" w:eastAsia="仿宋"/>
                <w:color w:val="auto"/>
                <w:sz w:val="28"/>
                <w:szCs w:val="32"/>
              </w:rPr>
              <w:t>和平路立交化改造、凤池路（和平路至刺桐大桥南节点）快捷化、刺桐大桥南节点改造提升、北迎宾二期改造、洛阳大桥改扩建、洛阳大道快捷化改造。</w:t>
            </w:r>
          </w:p>
          <w:p w14:paraId="0D1AABB2">
            <w:pPr>
              <w:pStyle w:val="45"/>
              <w:spacing w:line="500" w:lineRule="exact"/>
              <w:ind w:firstLine="562" w:firstLineChars="200"/>
              <w:jc w:val="left"/>
              <w:rPr>
                <w:rFonts w:ascii="仿宋" w:hAnsi="仿宋" w:eastAsia="仿宋" w:cs="宋体"/>
                <w:b w:val="0"/>
                <w:bCs/>
                <w:kern w:val="0"/>
                <w:sz w:val="28"/>
                <w:szCs w:val="32"/>
              </w:rPr>
            </w:pPr>
            <w:r>
              <w:rPr>
                <w:rFonts w:ascii="仿宋" w:hAnsi="仿宋" w:eastAsia="仿宋" w:cs="宋体"/>
                <w:bCs/>
                <w:kern w:val="0"/>
                <w:sz w:val="28"/>
                <w:szCs w:val="32"/>
              </w:rPr>
              <w:t>5.高快一体化：</w:t>
            </w:r>
            <w:r>
              <w:rPr>
                <w:rFonts w:hint="eastAsia" w:ascii="仿宋" w:hAnsi="仿宋" w:eastAsia="仿宋" w:cs="宋体"/>
                <w:b w:val="0"/>
                <w:bCs/>
                <w:kern w:val="0"/>
                <w:sz w:val="28"/>
                <w:szCs w:val="32"/>
              </w:rPr>
              <w:t>增设高速东星接中环城路、彭田出入口和紫山出入口建设，争取霞美出入口建设。</w:t>
            </w:r>
          </w:p>
          <w:p w14:paraId="36F10419">
            <w:pPr>
              <w:pStyle w:val="45"/>
              <w:spacing w:line="500" w:lineRule="exact"/>
              <w:ind w:firstLine="562" w:firstLineChars="200"/>
              <w:jc w:val="left"/>
              <w:rPr>
                <w:rFonts w:ascii="黑体" w:hAnsi="黑体" w:cs="宋体"/>
                <w:bCs/>
                <w:kern w:val="0"/>
                <w:sz w:val="28"/>
                <w:szCs w:val="32"/>
              </w:rPr>
            </w:pPr>
            <w:r>
              <w:rPr>
                <w:rFonts w:ascii="仿宋" w:hAnsi="仿宋" w:eastAsia="仿宋" w:cs="宋体"/>
                <w:bCs/>
                <w:kern w:val="0"/>
                <w:sz w:val="28"/>
                <w:szCs w:val="32"/>
              </w:rPr>
              <w:t>6.完善跨江</w:t>
            </w:r>
            <w:r>
              <w:rPr>
                <w:rFonts w:hint="eastAsia" w:ascii="仿宋" w:hAnsi="仿宋" w:eastAsia="仿宋" w:cs="宋体"/>
                <w:bCs/>
                <w:kern w:val="0"/>
                <w:sz w:val="28"/>
                <w:szCs w:val="32"/>
              </w:rPr>
              <w:t>体系</w:t>
            </w:r>
            <w:r>
              <w:rPr>
                <w:rFonts w:ascii="仿宋" w:hAnsi="仿宋" w:eastAsia="仿宋" w:cs="宋体"/>
                <w:bCs/>
                <w:kern w:val="0"/>
                <w:sz w:val="28"/>
                <w:szCs w:val="32"/>
              </w:rPr>
              <w:t>：</w:t>
            </w:r>
            <w:r>
              <w:rPr>
                <w:rFonts w:hint="eastAsia" w:ascii="仿宋" w:hAnsi="仿宋" w:eastAsia="仿宋" w:cs="宋体"/>
                <w:b w:val="0"/>
                <w:bCs/>
                <w:kern w:val="0"/>
                <w:sz w:val="28"/>
                <w:szCs w:val="32"/>
              </w:rPr>
              <w:t>武荣大桥、东海</w:t>
            </w:r>
            <w:r>
              <w:rPr>
                <w:rFonts w:ascii="仿宋" w:hAnsi="仿宋" w:eastAsia="仿宋" w:cs="宋体"/>
                <w:b w:val="0"/>
                <w:bCs/>
                <w:kern w:val="0"/>
                <w:sz w:val="28"/>
                <w:szCs w:val="32"/>
              </w:rPr>
              <w:t>通道、百崎通道、金屿通道</w:t>
            </w:r>
            <w:r>
              <w:rPr>
                <w:rFonts w:hint="eastAsia" w:ascii="仿宋" w:hAnsi="仿宋" w:eastAsia="仿宋" w:cs="宋体"/>
                <w:b w:val="0"/>
                <w:bCs/>
                <w:kern w:val="0"/>
                <w:sz w:val="28"/>
                <w:szCs w:val="32"/>
              </w:rPr>
              <w:t>、</w:t>
            </w:r>
            <w:r>
              <w:rPr>
                <w:rFonts w:ascii="仿宋" w:hAnsi="仿宋" w:eastAsia="仿宋" w:cs="宋体"/>
                <w:b w:val="0"/>
                <w:bCs/>
                <w:kern w:val="0"/>
                <w:sz w:val="28"/>
                <w:szCs w:val="32"/>
              </w:rPr>
              <w:t>新华大桥、</w:t>
            </w:r>
            <w:r>
              <w:rPr>
                <w:rFonts w:hint="eastAsia" w:ascii="仿宋" w:hAnsi="仿宋" w:eastAsia="仿宋" w:cs="宋体"/>
                <w:b w:val="0"/>
                <w:bCs/>
                <w:kern w:val="0"/>
                <w:sz w:val="28"/>
                <w:szCs w:val="32"/>
              </w:rPr>
              <w:t>延陵</w:t>
            </w:r>
            <w:r>
              <w:rPr>
                <w:rFonts w:ascii="仿宋" w:hAnsi="仿宋" w:eastAsia="仿宋" w:cs="宋体"/>
                <w:b w:val="0"/>
                <w:bCs/>
                <w:kern w:val="0"/>
                <w:sz w:val="28"/>
                <w:szCs w:val="32"/>
              </w:rPr>
              <w:t>大桥</w:t>
            </w:r>
            <w:r>
              <w:rPr>
                <w:rFonts w:hint="eastAsia" w:ascii="仿宋" w:hAnsi="仿宋" w:eastAsia="仿宋" w:cs="宋体"/>
                <w:b w:val="0"/>
                <w:bCs/>
                <w:kern w:val="0"/>
                <w:sz w:val="28"/>
                <w:szCs w:val="32"/>
              </w:rPr>
              <w:t>等规划</w:t>
            </w:r>
            <w:r>
              <w:rPr>
                <w:rFonts w:ascii="仿宋" w:hAnsi="仿宋" w:eastAsia="仿宋" w:cs="宋体"/>
                <w:b w:val="0"/>
                <w:bCs/>
                <w:kern w:val="0"/>
                <w:sz w:val="28"/>
                <w:szCs w:val="32"/>
              </w:rPr>
              <w:t>建设。</w:t>
            </w:r>
          </w:p>
        </w:tc>
      </w:tr>
      <w:bookmarkEnd w:id="146"/>
      <w:bookmarkEnd w:id="147"/>
      <w:bookmarkEnd w:id="148"/>
      <w:bookmarkEnd w:id="149"/>
    </w:tbl>
    <w:p w14:paraId="2DE2EE7D">
      <w:pPr>
        <w:spacing w:line="540" w:lineRule="exact"/>
        <w:ind w:firstLine="643"/>
        <w:rPr>
          <w:sz w:val="32"/>
        </w:rPr>
      </w:pPr>
      <w:r>
        <w:rPr>
          <w:rFonts w:hint="eastAsia"/>
          <w:b/>
          <w:bCs/>
          <w:sz w:val="32"/>
        </w:rPr>
        <w:t>启动建设“三重环湾、多向双通道”快速路系统。</w:t>
      </w:r>
      <w:r>
        <w:rPr>
          <w:rFonts w:hint="eastAsia"/>
          <w:sz w:val="32"/>
        </w:rPr>
        <w:t>强化市区与周边组团快速联系，支撑向湾集聚发展，启动二重环湾和推动三重环湾快速路建设，大手笔勾画城市轮廓。推动一重环湾泉州台商投资区东西主干道快捷化，开展泉州台商投资区东西主干道东延伸项目前期研究并适时启动建设，开展二重环湾快速路石狮晋江段打通、二重环湾快速路匝道工程（狮城大道至晋江）等项目，构建东环城路和南环城路，积极推动三重环湾联十一线（南安、惠安段）共线段建设，中心城区基本形成三重环湾快速体系；开展创业路、晋江东部快速通道二期、晋南快速路快速化改造、中心城区至安溪龙门快速通道等项目</w:t>
      </w:r>
      <w:r>
        <w:rPr>
          <w:rFonts w:hint="eastAsia" w:ascii="仿宋" w:hAnsi="仿宋" w:cs="仿宋"/>
          <w:sz w:val="32"/>
        </w:rPr>
        <w:t>。到2025年，实现中心城区对接南、北翼新城和西部内陆三大门户区域各建成2条及</w:t>
      </w:r>
      <w:r>
        <w:rPr>
          <w:rFonts w:hint="eastAsia"/>
          <w:sz w:val="32"/>
        </w:rPr>
        <w:t>以上快速通道，形成多向双通道放射联系，全面提升环湾集聚度。</w:t>
      </w:r>
    </w:p>
    <w:p w14:paraId="78F7AA4F">
      <w:pPr>
        <w:spacing w:line="540" w:lineRule="exact"/>
        <w:ind w:firstLine="643"/>
        <w:rPr>
          <w:rFonts w:ascii="仿宋" w:hAnsi="仿宋" w:cs="宋体"/>
          <w:kern w:val="0"/>
          <w:sz w:val="32"/>
          <w:szCs w:val="32"/>
        </w:rPr>
      </w:pPr>
      <w:r>
        <w:rPr>
          <w:rFonts w:hint="eastAsia" w:ascii="仿宋" w:hAnsi="仿宋"/>
          <w:b/>
          <w:bCs/>
          <w:sz w:val="32"/>
          <w:szCs w:val="32"/>
        </w:rPr>
        <w:t>完善城市路</w:t>
      </w:r>
      <w:r>
        <w:rPr>
          <w:rFonts w:ascii="仿宋" w:hAnsi="仿宋"/>
          <w:b/>
          <w:bCs/>
          <w:sz w:val="32"/>
          <w:szCs w:val="32"/>
        </w:rPr>
        <w:t>网</w:t>
      </w:r>
      <w:r>
        <w:rPr>
          <w:rFonts w:hint="eastAsia" w:ascii="仿宋" w:hAnsi="仿宋"/>
          <w:b/>
          <w:bCs/>
          <w:sz w:val="32"/>
          <w:szCs w:val="32"/>
        </w:rPr>
        <w:t>建设。</w:t>
      </w:r>
      <w:r>
        <w:rPr>
          <w:rFonts w:ascii="仿宋" w:hAnsi="仿宋"/>
          <w:sz w:val="32"/>
          <w:szCs w:val="32"/>
        </w:rPr>
        <w:t>结合高速路、快速路骨架体系和近期发展建设重点，</w:t>
      </w:r>
      <w:r>
        <w:rPr>
          <w:rFonts w:hint="eastAsia" w:ascii="仿宋" w:hAnsi="仿宋" w:cs="宋体"/>
          <w:kern w:val="0"/>
          <w:sz w:val="32"/>
          <w:szCs w:val="32"/>
        </w:rPr>
        <w:t>加快组团间双通道建设，强化“内环路</w:t>
      </w:r>
      <w:r>
        <w:rPr>
          <w:rFonts w:ascii="仿宋" w:hAnsi="仿宋" w:cs="宋体"/>
          <w:kern w:val="0"/>
          <w:sz w:val="32"/>
          <w:szCs w:val="32"/>
        </w:rPr>
        <w:t>+</w:t>
      </w:r>
      <w:r>
        <w:rPr>
          <w:rFonts w:hint="eastAsia" w:ascii="仿宋" w:hAnsi="仿宋" w:cs="宋体"/>
          <w:kern w:val="0"/>
          <w:sz w:val="32"/>
          <w:szCs w:val="32"/>
        </w:rPr>
        <w:t>中环城</w:t>
      </w:r>
      <w:r>
        <w:rPr>
          <w:rFonts w:ascii="仿宋" w:hAnsi="仿宋" w:cs="宋体"/>
          <w:kern w:val="0"/>
          <w:sz w:val="32"/>
          <w:szCs w:val="32"/>
        </w:rPr>
        <w:t>+绕城高速”三层次环路系统多向分流，实现市区快速进出城</w:t>
      </w:r>
      <w:r>
        <w:rPr>
          <w:rFonts w:hint="eastAsia" w:ascii="仿宋" w:hAnsi="仿宋" w:cs="宋体"/>
          <w:kern w:val="0"/>
          <w:sz w:val="32"/>
          <w:szCs w:val="32"/>
        </w:rPr>
        <w:t>，中心城区组团、交通枢纽之间互联互通。</w:t>
      </w:r>
      <w:r>
        <w:rPr>
          <w:rFonts w:ascii="仿宋" w:hAnsi="仿宋" w:cs="宋体"/>
          <w:kern w:val="0"/>
          <w:sz w:val="32"/>
          <w:szCs w:val="32"/>
        </w:rPr>
        <w:t>开展</w:t>
      </w:r>
      <w:r>
        <w:rPr>
          <w:rFonts w:hint="eastAsia" w:ascii="仿宋" w:hAnsi="仿宋" w:cs="宋体"/>
          <w:kern w:val="0"/>
          <w:sz w:val="32"/>
          <w:szCs w:val="32"/>
        </w:rPr>
        <w:t>延陵</w:t>
      </w:r>
      <w:r>
        <w:rPr>
          <w:rFonts w:ascii="仿宋" w:hAnsi="仿宋" w:cs="宋体"/>
          <w:kern w:val="0"/>
          <w:sz w:val="32"/>
          <w:szCs w:val="32"/>
        </w:rPr>
        <w:t>大道、海湾大道二期等主干</w:t>
      </w:r>
      <w:r>
        <w:rPr>
          <w:rFonts w:hint="eastAsia" w:ascii="仿宋" w:hAnsi="仿宋" w:cs="宋体"/>
          <w:kern w:val="0"/>
          <w:sz w:val="32"/>
          <w:szCs w:val="32"/>
        </w:rPr>
        <w:t>道</w:t>
      </w:r>
      <w:r>
        <w:rPr>
          <w:rFonts w:ascii="仿宋" w:hAnsi="仿宋" w:cs="宋体"/>
          <w:kern w:val="0"/>
          <w:sz w:val="32"/>
          <w:szCs w:val="32"/>
        </w:rPr>
        <w:t>建设，</w:t>
      </w:r>
      <w:r>
        <w:rPr>
          <w:rFonts w:hint="eastAsia" w:ascii="仿宋" w:hAnsi="仿宋" w:cs="宋体"/>
          <w:kern w:val="0"/>
          <w:sz w:val="32"/>
          <w:szCs w:val="32"/>
        </w:rPr>
        <w:t>加快推进新华</w:t>
      </w:r>
      <w:r>
        <w:rPr>
          <w:rFonts w:ascii="仿宋" w:hAnsi="仿宋" w:cs="宋体"/>
          <w:kern w:val="0"/>
          <w:sz w:val="32"/>
          <w:szCs w:val="32"/>
        </w:rPr>
        <w:t>大桥、延陵大桥、</w:t>
      </w:r>
      <w:r>
        <w:rPr>
          <w:rFonts w:hint="eastAsia" w:ascii="仿宋" w:hAnsi="仿宋" w:cs="宋体"/>
          <w:kern w:val="0"/>
          <w:sz w:val="32"/>
          <w:szCs w:val="32"/>
        </w:rPr>
        <w:t>东海通道、百崎通道和泉州大桥扩建工程等跨江跨海通道建设，</w:t>
      </w:r>
      <w:r>
        <w:rPr>
          <w:rFonts w:ascii="仿宋" w:hAnsi="仿宋" w:cs="宋体"/>
          <w:kern w:val="0"/>
          <w:sz w:val="32"/>
          <w:szCs w:val="32"/>
        </w:rPr>
        <w:t>完成后渚大桥西节点等关键节点提升等</w:t>
      </w:r>
      <w:r>
        <w:rPr>
          <w:rFonts w:hint="eastAsia" w:ascii="仿宋" w:hAnsi="仿宋" w:cs="宋体"/>
          <w:kern w:val="0"/>
          <w:sz w:val="32"/>
          <w:szCs w:val="32"/>
        </w:rPr>
        <w:t>项目。</w:t>
      </w:r>
    </w:p>
    <w:p w14:paraId="043274DE">
      <w:pPr>
        <w:spacing w:line="540" w:lineRule="exact"/>
        <w:ind w:firstLine="640"/>
        <w:rPr>
          <w:rFonts w:ascii="仿宋" w:hAnsi="仿宋"/>
          <w:sz w:val="32"/>
          <w:szCs w:val="32"/>
        </w:rPr>
      </w:pPr>
      <w:r>
        <w:rPr>
          <w:rFonts w:hint="eastAsia" w:ascii="仿宋" w:hAnsi="仿宋" w:cs="宋体"/>
          <w:kern w:val="0"/>
          <w:sz w:val="32"/>
          <w:szCs w:val="32"/>
        </w:rPr>
        <w:t>在“高快</w:t>
      </w:r>
      <w:r>
        <w:rPr>
          <w:rFonts w:ascii="仿宋" w:hAnsi="仿宋" w:cs="宋体"/>
          <w:kern w:val="0"/>
          <w:sz w:val="32"/>
          <w:szCs w:val="32"/>
        </w:rPr>
        <w:t>一体</w:t>
      </w:r>
      <w:r>
        <w:rPr>
          <w:rFonts w:hint="eastAsia" w:ascii="仿宋" w:hAnsi="仿宋" w:cs="宋体"/>
          <w:kern w:val="0"/>
          <w:sz w:val="32"/>
          <w:szCs w:val="32"/>
        </w:rPr>
        <w:t>”、城市主干道等骨架路网建设的基础上，实施文</w:t>
      </w:r>
      <w:r>
        <w:rPr>
          <w:rFonts w:ascii="仿宋" w:hAnsi="仿宋" w:cs="宋体"/>
          <w:kern w:val="0"/>
          <w:sz w:val="32"/>
          <w:szCs w:val="32"/>
        </w:rPr>
        <w:t>武路、鲤城林荫大道（笋江路至江南新街）</w:t>
      </w:r>
      <w:r>
        <w:rPr>
          <w:rFonts w:hint="eastAsia" w:ascii="仿宋" w:hAnsi="仿宋" w:cs="宋体"/>
          <w:kern w:val="0"/>
          <w:sz w:val="32"/>
          <w:szCs w:val="32"/>
        </w:rPr>
        <w:t>、</w:t>
      </w:r>
      <w:r>
        <w:rPr>
          <w:rFonts w:ascii="仿宋" w:hAnsi="仿宋" w:cs="宋体"/>
          <w:kern w:val="0"/>
          <w:sz w:val="32"/>
          <w:szCs w:val="32"/>
        </w:rPr>
        <w:t>安达路（万智街至金庄街段）等次支路延伸、打通及建设工程</w:t>
      </w:r>
      <w:r>
        <w:rPr>
          <w:rFonts w:hint="eastAsia" w:ascii="仿宋" w:hAnsi="仿宋" w:cs="宋体"/>
          <w:kern w:val="0"/>
          <w:sz w:val="32"/>
          <w:szCs w:val="32"/>
        </w:rPr>
        <w:t>，</w:t>
      </w:r>
      <w:r>
        <w:rPr>
          <w:rFonts w:ascii="仿宋" w:hAnsi="仿宋" w:cs="宋体"/>
          <w:kern w:val="0"/>
          <w:sz w:val="32"/>
          <w:szCs w:val="32"/>
        </w:rPr>
        <w:t>全面提升</w:t>
      </w:r>
      <w:r>
        <w:rPr>
          <w:rFonts w:hint="eastAsia" w:ascii="仿宋" w:hAnsi="仿宋" w:cs="宋体"/>
          <w:kern w:val="0"/>
          <w:sz w:val="32"/>
          <w:szCs w:val="32"/>
        </w:rPr>
        <w:t>“</w:t>
      </w:r>
      <w:r>
        <w:rPr>
          <w:rFonts w:ascii="仿宋" w:hAnsi="仿宋" w:cs="宋体"/>
          <w:kern w:val="0"/>
          <w:sz w:val="32"/>
          <w:szCs w:val="32"/>
        </w:rPr>
        <w:t>最后一公里</w:t>
      </w:r>
      <w:r>
        <w:rPr>
          <w:rFonts w:hint="eastAsia" w:ascii="仿宋" w:hAnsi="仿宋" w:cs="宋体"/>
          <w:kern w:val="0"/>
          <w:sz w:val="32"/>
          <w:szCs w:val="32"/>
        </w:rPr>
        <w:t>”交通</w:t>
      </w:r>
      <w:r>
        <w:rPr>
          <w:rFonts w:ascii="仿宋" w:hAnsi="仿宋" w:cs="宋体"/>
          <w:kern w:val="0"/>
          <w:sz w:val="32"/>
          <w:szCs w:val="32"/>
        </w:rPr>
        <w:t>出行</w:t>
      </w:r>
      <w:r>
        <w:rPr>
          <w:rFonts w:hint="eastAsia" w:ascii="仿宋" w:hAnsi="仿宋" w:cs="宋体"/>
          <w:kern w:val="0"/>
          <w:sz w:val="32"/>
          <w:szCs w:val="32"/>
        </w:rPr>
        <w:t>服务</w:t>
      </w:r>
      <w:r>
        <w:rPr>
          <w:rFonts w:hint="eastAsia" w:ascii="仿宋" w:hAnsi="仿宋"/>
          <w:sz w:val="32"/>
          <w:szCs w:val="32"/>
        </w:rPr>
        <w:t>；结合新泉州东站、泉州南站、泉港区高铁站的枢纽提升和城市更新、旧城改造、旧屋区改造，同步推进各项目配套道路建设工程。到</w:t>
      </w:r>
      <w:r>
        <w:rPr>
          <w:rFonts w:ascii="仿宋" w:hAnsi="仿宋"/>
          <w:sz w:val="32"/>
          <w:szCs w:val="32"/>
        </w:rPr>
        <w:t>2025</w:t>
      </w:r>
      <w:r>
        <w:rPr>
          <w:rFonts w:hint="eastAsia" w:ascii="仿宋" w:hAnsi="仿宋"/>
          <w:sz w:val="32"/>
          <w:szCs w:val="32"/>
        </w:rPr>
        <w:t>年，全市累计谋划新增主干道约</w:t>
      </w:r>
      <w:r>
        <w:rPr>
          <w:rFonts w:ascii="仿宋" w:hAnsi="仿宋"/>
          <w:sz w:val="32"/>
          <w:szCs w:val="32"/>
        </w:rPr>
        <w:t>480公里,其中</w:t>
      </w:r>
      <w:r>
        <w:rPr>
          <w:rFonts w:hint="eastAsia" w:ascii="仿宋" w:hAnsi="仿宋"/>
          <w:sz w:val="32"/>
          <w:szCs w:val="32"/>
        </w:rPr>
        <w:t>启动新改建主干道约</w:t>
      </w:r>
      <w:r>
        <w:rPr>
          <w:rFonts w:ascii="仿宋" w:hAnsi="仿宋"/>
          <w:sz w:val="32"/>
          <w:szCs w:val="32"/>
        </w:rPr>
        <w:t>250公里;</w:t>
      </w:r>
      <w:r>
        <w:rPr>
          <w:rFonts w:hint="eastAsia" w:ascii="仿宋" w:hAnsi="仿宋"/>
          <w:sz w:val="32"/>
          <w:szCs w:val="32"/>
        </w:rPr>
        <w:t>统管区</w:t>
      </w:r>
      <w:r>
        <w:rPr>
          <w:rFonts w:ascii="仿宋" w:hAnsi="仿宋"/>
          <w:sz w:val="32"/>
          <w:szCs w:val="32"/>
        </w:rPr>
        <w:t>谋划新增</w:t>
      </w:r>
      <w:r>
        <w:rPr>
          <w:rFonts w:hint="eastAsia" w:ascii="仿宋" w:hAnsi="仿宋"/>
          <w:sz w:val="32"/>
          <w:szCs w:val="32"/>
        </w:rPr>
        <w:t>主干道</w:t>
      </w:r>
      <w:r>
        <w:rPr>
          <w:rFonts w:ascii="仿宋" w:hAnsi="仿宋"/>
          <w:sz w:val="32"/>
          <w:szCs w:val="32"/>
        </w:rPr>
        <w:t>约280公里,其中</w:t>
      </w:r>
      <w:r>
        <w:rPr>
          <w:rFonts w:hint="eastAsia" w:ascii="仿宋" w:hAnsi="仿宋"/>
          <w:sz w:val="32"/>
          <w:szCs w:val="32"/>
        </w:rPr>
        <w:t>启动新改建主干道约</w:t>
      </w:r>
      <w:r>
        <w:rPr>
          <w:rFonts w:ascii="仿宋" w:hAnsi="仿宋"/>
          <w:sz w:val="32"/>
          <w:szCs w:val="32"/>
        </w:rPr>
        <w:t>100公里;结合片区更新,</w:t>
      </w:r>
      <w:r>
        <w:rPr>
          <w:rFonts w:hint="eastAsia" w:ascii="仿宋" w:hAnsi="仿宋"/>
          <w:sz w:val="32"/>
          <w:szCs w:val="32"/>
        </w:rPr>
        <w:t>启动新增次支路约</w:t>
      </w:r>
      <w:r>
        <w:rPr>
          <w:rFonts w:ascii="仿宋" w:hAnsi="仿宋"/>
          <w:sz w:val="32"/>
          <w:szCs w:val="32"/>
        </w:rPr>
        <w:t>80公里。</w:t>
      </w:r>
    </w:p>
    <w:p w14:paraId="65C465B7">
      <w:pPr>
        <w:snapToGrid w:val="0"/>
        <w:spacing w:line="540" w:lineRule="exact"/>
        <w:ind w:firstLine="643"/>
        <w:rPr>
          <w:rFonts w:ascii="仿宋" w:hAnsi="仿宋"/>
          <w:sz w:val="32"/>
          <w:szCs w:val="32"/>
        </w:rPr>
      </w:pPr>
      <w:r>
        <w:rPr>
          <w:rFonts w:hint="eastAsia" w:ascii="仿宋" w:hAnsi="仿宋"/>
          <w:b/>
          <w:bCs/>
          <w:sz w:val="32"/>
          <w:szCs w:val="32"/>
        </w:rPr>
        <w:t>推进农村公路广覆盖惠城乡。</w:t>
      </w:r>
      <w:r>
        <w:rPr>
          <w:rFonts w:hint="eastAsia" w:ascii="仿宋" w:hAnsi="仿宋"/>
          <w:sz w:val="32"/>
          <w:szCs w:val="32"/>
        </w:rPr>
        <w:t>推进县道（通乡镇）“四晋三”、通村（通行政村）公路“单改双”工程，</w:t>
      </w:r>
      <w:r>
        <w:rPr>
          <w:rFonts w:ascii="仿宋" w:hAnsi="仿宋"/>
          <w:sz w:val="32"/>
          <w:szCs w:val="32"/>
        </w:rPr>
        <w:t>加强农村公路与普通国省干线的衔接</w:t>
      </w:r>
      <w:r>
        <w:rPr>
          <w:rFonts w:hint="eastAsia" w:ascii="仿宋" w:hAnsi="仿宋"/>
          <w:sz w:val="32"/>
          <w:szCs w:val="32"/>
        </w:rPr>
        <w:t>，</w:t>
      </w:r>
      <w:r>
        <w:rPr>
          <w:rFonts w:ascii="仿宋" w:hAnsi="仿宋"/>
          <w:sz w:val="32"/>
          <w:szCs w:val="32"/>
        </w:rPr>
        <w:t>实施农村路网提档升级1000公里以上，其中改造县道三级路50公里以上，实施“单改双”工程350公里，实施较大自然村通硬化路350公里，新增通达双车道建制村50个；实施农村公路生命防护工程1000公里</w:t>
      </w:r>
      <w:r>
        <w:rPr>
          <w:rFonts w:hint="eastAsia" w:ascii="仿宋" w:hAnsi="仿宋"/>
          <w:sz w:val="32"/>
          <w:szCs w:val="32"/>
        </w:rPr>
        <w:t>，</w:t>
      </w:r>
      <w:r>
        <w:rPr>
          <w:rFonts w:ascii="仿宋" w:hAnsi="仿宋"/>
          <w:sz w:val="32"/>
          <w:szCs w:val="32"/>
        </w:rPr>
        <w:t>改造危病桥75座</w:t>
      </w:r>
      <w:r>
        <w:rPr>
          <w:rFonts w:hint="eastAsia" w:ascii="仿宋" w:hAnsi="仿宋"/>
          <w:sz w:val="32"/>
          <w:szCs w:val="32"/>
        </w:rPr>
        <w:t>。</w:t>
      </w:r>
    </w:p>
    <w:p w14:paraId="34B84B3D">
      <w:pPr>
        <w:snapToGrid w:val="0"/>
        <w:spacing w:line="540" w:lineRule="exact"/>
        <w:ind w:firstLine="643"/>
        <w:outlineLvl w:val="2"/>
        <w:rPr>
          <w:rFonts w:ascii="楷体" w:hAnsi="楷体" w:eastAsia="楷体"/>
          <w:b/>
          <w:bCs/>
          <w:kern w:val="0"/>
          <w:sz w:val="32"/>
          <w:szCs w:val="32"/>
        </w:rPr>
      </w:pPr>
      <w:bookmarkStart w:id="150" w:name="_Toc73"/>
      <w:bookmarkStart w:id="151" w:name="_Toc1231"/>
      <w:bookmarkStart w:id="152" w:name="_Toc11852"/>
      <w:bookmarkStart w:id="153" w:name="_Toc17630"/>
      <w:bookmarkStart w:id="154" w:name="_Toc9707"/>
      <w:r>
        <w:rPr>
          <w:rFonts w:hint="eastAsia" w:ascii="楷体" w:hAnsi="楷体" w:eastAsia="楷体"/>
          <w:b/>
          <w:bCs/>
          <w:kern w:val="0"/>
          <w:sz w:val="32"/>
          <w:szCs w:val="32"/>
        </w:rPr>
        <w:t>（二）提升城乡公共客运服务</w:t>
      </w:r>
      <w:bookmarkEnd w:id="150"/>
      <w:bookmarkEnd w:id="151"/>
      <w:bookmarkEnd w:id="152"/>
      <w:bookmarkEnd w:id="153"/>
      <w:bookmarkEnd w:id="154"/>
    </w:p>
    <w:p w14:paraId="3F53F0FA">
      <w:pPr>
        <w:spacing w:line="540" w:lineRule="exact"/>
        <w:ind w:firstLine="640"/>
        <w:rPr>
          <w:rFonts w:ascii="仿宋" w:hAnsi="仿宋"/>
        </w:rPr>
      </w:pPr>
      <w:r>
        <w:rPr>
          <w:rFonts w:hint="eastAsia" w:ascii="仿宋" w:hAnsi="仿宋"/>
          <w:sz w:val="32"/>
          <w:szCs w:val="32"/>
        </w:rPr>
        <w:t>构建大中运量公交为主导、多级公交网络合一、换乘便捷高效的公交体系。谋划建设世纪大道、泉安路、东海大街等公交专用道</w:t>
      </w:r>
      <w:r>
        <w:rPr>
          <w:rFonts w:ascii="仿宋" w:hAnsi="仿宋"/>
          <w:sz w:val="32"/>
          <w:szCs w:val="32"/>
        </w:rPr>
        <w:t>150公里</w:t>
      </w:r>
      <w:r>
        <w:rPr>
          <w:rFonts w:hint="eastAsia" w:ascii="仿宋" w:hAnsi="仿宋"/>
          <w:sz w:val="32"/>
          <w:szCs w:val="32"/>
        </w:rPr>
        <w:t>以上，建设泉州东站、泉州南站和紫帽等公交枢纽场站</w:t>
      </w:r>
      <w:r>
        <w:rPr>
          <w:rFonts w:ascii="仿宋" w:hAnsi="仿宋"/>
          <w:sz w:val="32"/>
          <w:szCs w:val="32"/>
        </w:rPr>
        <w:t>和城东埭头、笋江公园、滨海公交综合场站等公交停车场。</w:t>
      </w:r>
      <w:r>
        <w:rPr>
          <w:rFonts w:hint="eastAsia" w:ascii="仿宋" w:hAnsi="仿宋"/>
          <w:sz w:val="32"/>
          <w:szCs w:val="32"/>
        </w:rPr>
        <w:t>规划新建道路结合公交专用道沿线按一定标准设置港湾式公交站，次干路结合实际情况设置港湾式公交站，支路以非港湾公交站为主。巩固村村通客车成果，推动城镇公交线路向周边重点乡镇延伸，引导具备条件的农村客运班线公交化改造，开展城乡交通一体化示范创建工作。推广“互联网</w:t>
      </w:r>
      <w:r>
        <w:rPr>
          <w:rFonts w:ascii="仿宋" w:hAnsi="仿宋"/>
          <w:sz w:val="32"/>
          <w:szCs w:val="32"/>
        </w:rPr>
        <w:t>+”共</w:t>
      </w:r>
      <w:r>
        <w:rPr>
          <w:rFonts w:hint="eastAsia" w:ascii="仿宋_GB2312" w:hAnsi="仿宋_GB2312" w:cs="仿宋_GB2312"/>
          <w:sz w:val="31"/>
          <w:szCs w:val="31"/>
        </w:rPr>
        <w:t>享出行，鼓励和规范发展智能公交、网约车等城市出行服务新业态，实现出行即服务、畅通泉城。</w:t>
      </w:r>
    </w:p>
    <w:p w14:paraId="23DAEACB">
      <w:pPr>
        <w:snapToGrid w:val="0"/>
        <w:spacing w:line="540" w:lineRule="exact"/>
        <w:ind w:firstLine="643"/>
        <w:outlineLvl w:val="2"/>
        <w:rPr>
          <w:rFonts w:ascii="楷体" w:hAnsi="楷体" w:eastAsia="楷体"/>
          <w:b/>
          <w:bCs/>
          <w:kern w:val="0"/>
          <w:sz w:val="32"/>
          <w:szCs w:val="32"/>
        </w:rPr>
      </w:pPr>
      <w:bookmarkStart w:id="155" w:name="_Toc62163257"/>
      <w:bookmarkStart w:id="156" w:name="_Toc63077444"/>
      <w:bookmarkStart w:id="157" w:name="_Toc62175621"/>
      <w:bookmarkStart w:id="158" w:name="_Toc62176656"/>
      <w:bookmarkStart w:id="159" w:name="_Toc28257"/>
      <w:bookmarkStart w:id="160" w:name="_Toc13612"/>
      <w:bookmarkStart w:id="161" w:name="_Toc11827"/>
      <w:bookmarkStart w:id="162" w:name="_Toc16931"/>
      <w:bookmarkStart w:id="163" w:name="_Toc24359"/>
      <w:r>
        <w:rPr>
          <w:rFonts w:hint="eastAsia" w:ascii="楷体" w:hAnsi="楷体" w:eastAsia="楷体"/>
          <w:b/>
          <w:bCs/>
          <w:kern w:val="0"/>
          <w:sz w:val="32"/>
          <w:szCs w:val="32"/>
        </w:rPr>
        <w:t>（三）</w:t>
      </w:r>
      <w:bookmarkEnd w:id="155"/>
      <w:bookmarkEnd w:id="156"/>
      <w:bookmarkEnd w:id="157"/>
      <w:bookmarkEnd w:id="158"/>
      <w:r>
        <w:rPr>
          <w:rFonts w:hint="eastAsia" w:ascii="楷体" w:hAnsi="楷体" w:eastAsia="楷体"/>
          <w:b/>
          <w:bCs/>
          <w:kern w:val="0"/>
          <w:sz w:val="32"/>
          <w:szCs w:val="32"/>
        </w:rPr>
        <w:t>提升城市交通出行品质</w:t>
      </w:r>
      <w:bookmarkEnd w:id="159"/>
      <w:bookmarkEnd w:id="160"/>
      <w:bookmarkEnd w:id="161"/>
      <w:bookmarkEnd w:id="162"/>
      <w:bookmarkEnd w:id="163"/>
    </w:p>
    <w:p w14:paraId="4BF1812D">
      <w:pPr>
        <w:spacing w:line="540" w:lineRule="exact"/>
        <w:ind w:firstLine="643"/>
        <w:rPr>
          <w:rFonts w:ascii="仿宋" w:hAnsi="仿宋"/>
          <w:sz w:val="32"/>
          <w:szCs w:val="32"/>
        </w:rPr>
      </w:pPr>
      <w:r>
        <w:rPr>
          <w:rFonts w:hint="eastAsia" w:ascii="仿宋" w:hAnsi="仿宋"/>
          <w:b/>
          <w:bCs/>
          <w:sz w:val="32"/>
          <w:szCs w:val="32"/>
        </w:rPr>
        <w:t>完善慢行系统。</w:t>
      </w:r>
      <w:r>
        <w:rPr>
          <w:rFonts w:hint="eastAsia" w:ascii="仿宋" w:hAnsi="仿宋"/>
          <w:sz w:val="32"/>
          <w:szCs w:val="32"/>
        </w:rPr>
        <w:t>大力推进道路路权重新分配，确保合理的步行和自行车通行空间。</w:t>
      </w:r>
      <w:bookmarkStart w:id="164" w:name="_Hlk67489745"/>
      <w:bookmarkStart w:id="165" w:name="_Hlk73970627"/>
      <w:r>
        <w:rPr>
          <w:rFonts w:hint="eastAsia" w:ascii="仿宋" w:hAnsi="仿宋"/>
          <w:sz w:val="32"/>
          <w:szCs w:val="32"/>
        </w:rPr>
        <w:t>完善城市慢行系统，加强慢行交通与交通枢纽、公园绿地、景点、商圈等空间的衔接，提高慢行交通对各类设施用地的可达性。</w:t>
      </w:r>
      <w:bookmarkEnd w:id="164"/>
      <w:r>
        <w:rPr>
          <w:rFonts w:hint="eastAsia" w:ascii="仿宋" w:hAnsi="仿宋"/>
          <w:sz w:val="32"/>
          <w:szCs w:val="32"/>
        </w:rPr>
        <w:t>结合“水线”提升、</w:t>
      </w:r>
      <w:r>
        <w:rPr>
          <w:rFonts w:ascii="仿宋" w:hAnsi="仿宋"/>
          <w:sz w:val="32"/>
          <w:szCs w:val="32"/>
        </w:rPr>
        <w:t>片区更新</w:t>
      </w:r>
      <w:r>
        <w:rPr>
          <w:rFonts w:hint="eastAsia" w:ascii="仿宋" w:hAnsi="仿宋"/>
          <w:sz w:val="32"/>
          <w:szCs w:val="32"/>
        </w:rPr>
        <w:t>、</w:t>
      </w:r>
      <w:r>
        <w:rPr>
          <w:rFonts w:ascii="仿宋" w:hAnsi="仿宋"/>
          <w:sz w:val="32"/>
          <w:szCs w:val="32"/>
        </w:rPr>
        <w:t>道路整治等，开展</w:t>
      </w:r>
      <w:r>
        <w:rPr>
          <w:rFonts w:hint="eastAsia" w:ascii="仿宋" w:hAnsi="仿宋"/>
          <w:sz w:val="32"/>
          <w:szCs w:val="32"/>
        </w:rPr>
        <w:t>田安大桥至中芸洲桥段亲水慢道、笋江桥边跨江人行桥、东海立交、丰海路（后渚大桥</w:t>
      </w:r>
      <w:r>
        <w:rPr>
          <w:rFonts w:ascii="仿宋" w:hAnsi="仿宋"/>
          <w:sz w:val="32"/>
          <w:szCs w:val="32"/>
        </w:rPr>
        <w:t>-城东组团</w:t>
      </w:r>
      <w:r>
        <w:rPr>
          <w:rFonts w:hint="eastAsia" w:ascii="仿宋" w:hAnsi="仿宋"/>
          <w:sz w:val="32"/>
          <w:szCs w:val="32"/>
        </w:rPr>
        <w:t>）等</w:t>
      </w:r>
      <w:r>
        <w:rPr>
          <w:rFonts w:ascii="仿宋" w:hAnsi="仿宋"/>
          <w:sz w:val="32"/>
          <w:szCs w:val="32"/>
        </w:rPr>
        <w:t>慢行系统提升工程</w:t>
      </w:r>
      <w:r>
        <w:rPr>
          <w:rFonts w:hint="eastAsia" w:ascii="仿宋" w:hAnsi="仿宋"/>
          <w:sz w:val="32"/>
          <w:szCs w:val="32"/>
        </w:rPr>
        <w:t>，</w:t>
      </w:r>
      <w:bookmarkEnd w:id="165"/>
      <w:r>
        <w:rPr>
          <w:rFonts w:hint="eastAsia" w:ascii="仿宋" w:hAnsi="仿宋"/>
          <w:sz w:val="32"/>
          <w:szCs w:val="32"/>
        </w:rPr>
        <w:t>完善大坪山</w:t>
      </w:r>
      <w:r>
        <w:rPr>
          <w:rFonts w:ascii="仿宋" w:hAnsi="仿宋"/>
          <w:sz w:val="32"/>
          <w:szCs w:val="32"/>
        </w:rPr>
        <w:t>公园等10</w:t>
      </w:r>
      <w:r>
        <w:rPr>
          <w:rFonts w:hint="eastAsia" w:ascii="仿宋" w:hAnsi="仿宋"/>
          <w:sz w:val="32"/>
          <w:szCs w:val="32"/>
        </w:rPr>
        <w:t>座以上</w:t>
      </w:r>
      <w:r>
        <w:rPr>
          <w:rFonts w:ascii="仿宋" w:hAnsi="仿宋"/>
          <w:sz w:val="32"/>
          <w:szCs w:val="32"/>
        </w:rPr>
        <w:t>行人立体过街设施</w:t>
      </w:r>
      <w:r>
        <w:rPr>
          <w:rFonts w:hint="eastAsia" w:ascii="仿宋" w:hAnsi="仿宋"/>
          <w:sz w:val="32"/>
          <w:szCs w:val="32"/>
        </w:rPr>
        <w:t>，启动黄龙</w:t>
      </w:r>
      <w:r>
        <w:rPr>
          <w:rFonts w:ascii="仿宋" w:hAnsi="仿宋"/>
          <w:sz w:val="32"/>
          <w:szCs w:val="32"/>
        </w:rPr>
        <w:t>大桥等7座晋江两岸跨江通道慢行系统建设</w:t>
      </w:r>
      <w:r>
        <w:rPr>
          <w:rFonts w:hint="eastAsia" w:ascii="仿宋" w:hAnsi="仿宋"/>
          <w:sz w:val="32"/>
          <w:szCs w:val="32"/>
        </w:rPr>
        <w:t>，</w:t>
      </w:r>
      <w:r>
        <w:rPr>
          <w:rFonts w:ascii="仿宋" w:hAnsi="仿宋"/>
          <w:sz w:val="32"/>
          <w:szCs w:val="32"/>
        </w:rPr>
        <w:t>完善两江跨江通道慢行系统建设。</w:t>
      </w:r>
      <w:r>
        <w:rPr>
          <w:rFonts w:hint="eastAsia" w:ascii="仿宋" w:hAnsi="仿宋"/>
          <w:sz w:val="32"/>
          <w:szCs w:val="32"/>
        </w:rPr>
        <w:t>继续推进电动自行车综合管理提升试点内容</w:t>
      </w:r>
      <w:r>
        <w:rPr>
          <w:rFonts w:ascii="仿宋" w:hAnsi="仿宋"/>
          <w:sz w:val="32"/>
          <w:szCs w:val="32"/>
        </w:rPr>
        <w:t>，开展内环路</w:t>
      </w:r>
      <w:r>
        <w:rPr>
          <w:rFonts w:hint="eastAsia" w:ascii="仿宋" w:hAnsi="仿宋"/>
          <w:sz w:val="32"/>
          <w:szCs w:val="32"/>
        </w:rPr>
        <w:t>范围以内</w:t>
      </w:r>
      <w:r>
        <w:rPr>
          <w:rFonts w:ascii="仿宋" w:hAnsi="仿宋"/>
          <w:sz w:val="32"/>
          <w:szCs w:val="32"/>
        </w:rPr>
        <w:t>26条干路的非机</w:t>
      </w:r>
      <w:r>
        <w:rPr>
          <w:rFonts w:hint="eastAsia" w:ascii="仿宋" w:hAnsi="仿宋"/>
          <w:sz w:val="32"/>
          <w:szCs w:val="32"/>
        </w:rPr>
        <w:t>动车路权提升。到</w:t>
      </w:r>
      <w:r>
        <w:rPr>
          <w:rFonts w:ascii="仿宋" w:hAnsi="仿宋"/>
          <w:sz w:val="32"/>
          <w:szCs w:val="32"/>
        </w:rPr>
        <w:t>2025</w:t>
      </w:r>
      <w:r>
        <w:rPr>
          <w:rFonts w:hint="eastAsia" w:ascii="仿宋" w:hAnsi="仿宋"/>
          <w:sz w:val="32"/>
          <w:szCs w:val="32"/>
        </w:rPr>
        <w:t>年，</w:t>
      </w:r>
      <w:r>
        <w:rPr>
          <w:rFonts w:ascii="仿宋" w:hAnsi="仿宋"/>
          <w:sz w:val="32"/>
          <w:szCs w:val="32"/>
        </w:rPr>
        <w:t>实现</w:t>
      </w:r>
      <w:r>
        <w:rPr>
          <w:rFonts w:hint="eastAsia" w:ascii="仿宋" w:hAnsi="仿宋"/>
          <w:sz w:val="32"/>
          <w:szCs w:val="32"/>
        </w:rPr>
        <w:t>新建、改造城市</w:t>
      </w:r>
      <w:r>
        <w:rPr>
          <w:rFonts w:ascii="仿宋" w:hAnsi="仿宋"/>
          <w:sz w:val="32"/>
          <w:szCs w:val="32"/>
        </w:rPr>
        <w:t>道</w:t>
      </w:r>
      <w:r>
        <w:rPr>
          <w:rFonts w:hint="eastAsia" w:ascii="仿宋" w:hAnsi="仿宋"/>
          <w:sz w:val="32"/>
          <w:szCs w:val="32"/>
        </w:rPr>
        <w:t>路红线内人行道和自行车道空间占比不小于</w:t>
      </w:r>
      <w:r>
        <w:rPr>
          <w:rFonts w:ascii="仿宋" w:hAnsi="仿宋"/>
          <w:sz w:val="32"/>
          <w:szCs w:val="32"/>
        </w:rPr>
        <w:t>30%。中心城区内部新(改)建干道非机动车路权全面实施保障。</w:t>
      </w:r>
    </w:p>
    <w:p w14:paraId="69DECF37">
      <w:pPr>
        <w:snapToGrid w:val="0"/>
        <w:spacing w:line="540" w:lineRule="exact"/>
        <w:ind w:firstLine="643"/>
        <w:rPr>
          <w:rFonts w:ascii="仿宋" w:hAnsi="仿宋"/>
          <w:sz w:val="32"/>
          <w:szCs w:val="32"/>
        </w:rPr>
      </w:pPr>
      <w:r>
        <w:rPr>
          <w:rFonts w:hint="eastAsia" w:ascii="仿宋" w:hAnsi="仿宋"/>
          <w:b/>
          <w:bCs/>
          <w:sz w:val="32"/>
          <w:szCs w:val="32"/>
        </w:rPr>
        <w:t>无障碍出行环境营造。</w:t>
      </w:r>
      <w:r>
        <w:rPr>
          <w:rFonts w:hint="eastAsia" w:ascii="仿宋" w:hAnsi="仿宋"/>
          <w:sz w:val="32"/>
          <w:szCs w:val="32"/>
        </w:rPr>
        <w:t>城市主干道、次干道、支路、商业街、步行街、隧道、桥梁、换乘场站等均应设置无障碍设施。人行道应结合道路交叉口、街坊路口、单位出口、广场入口、人行横道等路口设置缘石坡道；人流、车流交通繁忙地段路口、商业街主要人行横道宜设置残障人士过街音响设备，人行横道的安全岛应可以供轮椅通行。同时，结合残障人士分布及主要出行活动空间，新建公交站台同步设置缘石坡道、盲道，并设置盲文站牌及语音提示服务设施，已建公交站台开展无障碍改造。</w:t>
      </w:r>
    </w:p>
    <w:p w14:paraId="61E3B7F6">
      <w:pPr>
        <w:snapToGrid w:val="0"/>
        <w:spacing w:line="540" w:lineRule="exact"/>
        <w:ind w:firstLine="643"/>
        <w:rPr>
          <w:rFonts w:ascii="仿宋" w:hAnsi="仿宋"/>
          <w:sz w:val="32"/>
          <w:szCs w:val="32"/>
        </w:rPr>
      </w:pPr>
      <w:r>
        <w:rPr>
          <w:rFonts w:hint="eastAsia" w:ascii="仿宋" w:hAnsi="仿宋"/>
          <w:b/>
          <w:bCs/>
          <w:sz w:val="32"/>
          <w:szCs w:val="32"/>
        </w:rPr>
        <w:t>开展“微整治</w:t>
      </w:r>
      <w:r>
        <w:rPr>
          <w:rFonts w:ascii="仿宋" w:hAnsi="仿宋"/>
          <w:b/>
          <w:bCs/>
          <w:sz w:val="32"/>
          <w:szCs w:val="32"/>
        </w:rPr>
        <w:t>”</w:t>
      </w:r>
      <w:r>
        <w:rPr>
          <w:rFonts w:hint="eastAsia" w:ascii="仿宋" w:hAnsi="仿宋"/>
          <w:b/>
          <w:bCs/>
          <w:sz w:val="32"/>
          <w:szCs w:val="32"/>
        </w:rPr>
        <w:t>。</w:t>
      </w:r>
      <w:r>
        <w:rPr>
          <w:rFonts w:ascii="仿宋" w:hAnsi="仿宋"/>
          <w:sz w:val="32"/>
          <w:szCs w:val="32"/>
        </w:rPr>
        <w:t>推进道路平整度提升、井盖治理、路口微改造和辅道改造、绿波通行、街巷微循环改造等</w:t>
      </w:r>
      <w:r>
        <w:rPr>
          <w:rFonts w:hint="eastAsia" w:ascii="仿宋" w:hAnsi="仿宋"/>
          <w:sz w:val="32"/>
          <w:szCs w:val="32"/>
        </w:rPr>
        <w:t>，</w:t>
      </w:r>
      <w:r>
        <w:rPr>
          <w:rFonts w:ascii="仿宋" w:hAnsi="仿宋"/>
          <w:sz w:val="32"/>
          <w:szCs w:val="32"/>
        </w:rPr>
        <w:t>完善</w:t>
      </w:r>
      <w:r>
        <w:rPr>
          <w:rFonts w:hint="eastAsia" w:ascii="仿宋" w:hAnsi="仿宋"/>
          <w:sz w:val="32"/>
          <w:szCs w:val="32"/>
        </w:rPr>
        <w:t>人行道、盲道、过街音响提示等</w:t>
      </w:r>
      <w:r>
        <w:rPr>
          <w:rFonts w:ascii="仿宋" w:hAnsi="仿宋"/>
          <w:sz w:val="32"/>
          <w:szCs w:val="32"/>
        </w:rPr>
        <w:t>无障碍设施</w:t>
      </w:r>
      <w:r>
        <w:rPr>
          <w:rFonts w:hint="eastAsia" w:ascii="仿宋" w:hAnsi="仿宋"/>
          <w:sz w:val="32"/>
          <w:szCs w:val="32"/>
        </w:rPr>
        <w:t>。谋划实施新旧江滨南路</w:t>
      </w:r>
      <w:r>
        <w:rPr>
          <w:rFonts w:ascii="仿宋" w:hAnsi="仿宋"/>
          <w:sz w:val="32"/>
          <w:szCs w:val="32"/>
        </w:rPr>
        <w:t>、</w:t>
      </w:r>
      <w:r>
        <w:rPr>
          <w:rFonts w:hint="eastAsia" w:ascii="仿宋" w:hAnsi="仿宋"/>
          <w:sz w:val="32"/>
          <w:szCs w:val="32"/>
        </w:rPr>
        <w:t>湖美酒店、</w:t>
      </w:r>
      <w:r>
        <w:rPr>
          <w:rFonts w:ascii="仿宋" w:hAnsi="仿宋"/>
          <w:sz w:val="32"/>
          <w:szCs w:val="32"/>
        </w:rPr>
        <w:t>朵莲寺</w:t>
      </w:r>
      <w:r>
        <w:rPr>
          <w:rFonts w:hint="eastAsia" w:ascii="仿宋" w:hAnsi="仿宋"/>
          <w:sz w:val="32"/>
          <w:szCs w:val="32"/>
        </w:rPr>
        <w:t>、海景国际</w:t>
      </w:r>
      <w:r>
        <w:rPr>
          <w:rFonts w:ascii="仿宋" w:hAnsi="仿宋"/>
          <w:sz w:val="32"/>
          <w:szCs w:val="32"/>
        </w:rPr>
        <w:t>等20</w:t>
      </w:r>
      <w:r>
        <w:rPr>
          <w:rFonts w:hint="eastAsia" w:ascii="仿宋" w:hAnsi="仿宋"/>
          <w:sz w:val="32"/>
          <w:szCs w:val="32"/>
        </w:rPr>
        <w:t>个</w:t>
      </w:r>
      <w:r>
        <w:rPr>
          <w:rFonts w:ascii="仿宋" w:hAnsi="仿宋"/>
          <w:sz w:val="32"/>
          <w:szCs w:val="32"/>
        </w:rPr>
        <w:t>节点交通整治，</w:t>
      </w:r>
      <w:r>
        <w:rPr>
          <w:rFonts w:hint="eastAsia" w:ascii="仿宋" w:hAnsi="仿宋"/>
          <w:sz w:val="32"/>
          <w:szCs w:val="32"/>
        </w:rPr>
        <w:t>推动</w:t>
      </w:r>
      <w:r>
        <w:rPr>
          <w:rFonts w:ascii="仿宋" w:hAnsi="仿宋"/>
          <w:sz w:val="32"/>
          <w:szCs w:val="32"/>
        </w:rPr>
        <w:t>江滨北路、城北路、少林路、通港西街等15条</w:t>
      </w:r>
      <w:r>
        <w:rPr>
          <w:rFonts w:hint="eastAsia" w:ascii="仿宋" w:hAnsi="仿宋"/>
          <w:sz w:val="32"/>
          <w:szCs w:val="32"/>
        </w:rPr>
        <w:t>以上</w:t>
      </w:r>
      <w:r>
        <w:rPr>
          <w:rFonts w:ascii="仿宋" w:hAnsi="仿宋"/>
          <w:sz w:val="32"/>
          <w:szCs w:val="32"/>
        </w:rPr>
        <w:t>干道交通整治提升</w:t>
      </w:r>
      <w:r>
        <w:rPr>
          <w:rFonts w:hint="eastAsia" w:ascii="仿宋" w:hAnsi="仿宋"/>
          <w:sz w:val="32"/>
          <w:szCs w:val="32"/>
        </w:rPr>
        <w:t>。各县（市、区）各推进</w:t>
      </w:r>
      <w:r>
        <w:rPr>
          <w:rFonts w:ascii="仿宋" w:hAnsi="仿宋"/>
          <w:sz w:val="32"/>
          <w:szCs w:val="32"/>
        </w:rPr>
        <w:t>干道交通整治不少于5条。</w:t>
      </w:r>
    </w:p>
    <w:p w14:paraId="40E408CB">
      <w:pPr>
        <w:snapToGrid w:val="0"/>
        <w:spacing w:line="540" w:lineRule="exact"/>
        <w:ind w:firstLine="643"/>
        <w:rPr>
          <w:rFonts w:ascii="仿宋" w:hAnsi="仿宋"/>
          <w:sz w:val="32"/>
          <w:szCs w:val="32"/>
        </w:rPr>
      </w:pPr>
      <w:r>
        <w:rPr>
          <w:rFonts w:ascii="仿宋" w:hAnsi="仿宋"/>
          <w:b/>
          <w:bCs/>
          <w:sz w:val="32"/>
          <w:szCs w:val="32"/>
        </w:rPr>
        <w:t>打通“微循环”。</w:t>
      </w:r>
      <w:r>
        <w:rPr>
          <w:rFonts w:hint="eastAsia" w:ascii="仿宋" w:hAnsi="仿宋"/>
          <w:sz w:val="32"/>
          <w:szCs w:val="32"/>
        </w:rPr>
        <w:t>着力打通城市路网梗阻，继续开展“断头路”改造项目建设，打通群众出行“最后一公里”。</w:t>
      </w:r>
      <w:r>
        <w:rPr>
          <w:rFonts w:ascii="仿宋" w:hAnsi="仿宋"/>
          <w:sz w:val="32"/>
          <w:szCs w:val="32"/>
        </w:rPr>
        <w:t>开展津淮街东延伸、经十四路北延伸、江南大街东延伸等干路网打通工程，开展美桐街至刺桐路拓改工程</w:t>
      </w:r>
      <w:r>
        <w:rPr>
          <w:rFonts w:hint="eastAsia" w:ascii="仿宋" w:hAnsi="仿宋"/>
          <w:sz w:val="32"/>
          <w:szCs w:val="32"/>
        </w:rPr>
        <w:t>，</w:t>
      </w:r>
      <w:r>
        <w:rPr>
          <w:rFonts w:ascii="仿宋" w:hAnsi="仿宋"/>
          <w:sz w:val="32"/>
          <w:szCs w:val="32"/>
        </w:rPr>
        <w:t>打通湖美酒店东侧支路、漳泉肖铁路南侧支路等断头路</w:t>
      </w:r>
      <w:r>
        <w:rPr>
          <w:rFonts w:hint="eastAsia" w:ascii="仿宋" w:hAnsi="仿宋"/>
          <w:sz w:val="32"/>
          <w:szCs w:val="32"/>
        </w:rPr>
        <w:t>。</w:t>
      </w:r>
      <w:r>
        <w:rPr>
          <w:rFonts w:ascii="仿宋" w:hAnsi="仿宋"/>
          <w:sz w:val="32"/>
          <w:szCs w:val="32"/>
        </w:rPr>
        <w:t>启动古城单向交通组织，畅通古城内部交通循环体系。</w:t>
      </w:r>
    </w:p>
    <w:p w14:paraId="0246803C">
      <w:pPr>
        <w:snapToGrid w:val="0"/>
        <w:spacing w:line="540" w:lineRule="exact"/>
        <w:ind w:firstLine="643"/>
        <w:rPr>
          <w:rFonts w:ascii="仿宋" w:hAnsi="仿宋"/>
          <w:bCs/>
          <w:sz w:val="32"/>
          <w:szCs w:val="32"/>
        </w:rPr>
      </w:pPr>
      <w:r>
        <w:rPr>
          <w:rFonts w:hint="eastAsia" w:ascii="仿宋" w:hAnsi="仿宋"/>
          <w:b/>
          <w:bCs/>
          <w:sz w:val="32"/>
          <w:szCs w:val="32"/>
        </w:rPr>
        <w:t>建设“微枢纽”。</w:t>
      </w:r>
      <w:r>
        <w:rPr>
          <w:rFonts w:hint="eastAsia" w:ascii="仿宋" w:hAnsi="仿宋"/>
          <w:sz w:val="32"/>
          <w:szCs w:val="32"/>
        </w:rPr>
        <w:t>结合</w:t>
      </w:r>
      <w:r>
        <w:rPr>
          <w:rFonts w:ascii="仿宋" w:hAnsi="仿宋"/>
          <w:sz w:val="32"/>
          <w:szCs w:val="32"/>
        </w:rPr>
        <w:t>R1线站点、</w:t>
      </w:r>
      <w:r>
        <w:rPr>
          <w:rFonts w:hint="eastAsia" w:ascii="仿宋" w:hAnsi="仿宋"/>
          <w:sz w:val="32"/>
          <w:szCs w:val="32"/>
        </w:rPr>
        <w:t>汽车站、地铁站、公交换乘枢纽等，采取以枢纽站点为中心的</w:t>
      </w:r>
      <w:r>
        <w:rPr>
          <w:rFonts w:ascii="仿宋" w:hAnsi="仿宋"/>
          <w:sz w:val="32"/>
          <w:szCs w:val="32"/>
        </w:rPr>
        <w:t>TOD开发模式，整合轨道、地面公交、中低运量公交、自行车、电动车等多种出行模式，培育丰泽</w:t>
      </w:r>
      <w:r>
        <w:rPr>
          <w:rFonts w:hint="eastAsia" w:ascii="仿宋" w:hAnsi="仿宋"/>
          <w:sz w:val="32"/>
          <w:szCs w:val="32"/>
        </w:rPr>
        <w:t>站、</w:t>
      </w:r>
      <w:r>
        <w:rPr>
          <w:rFonts w:ascii="仿宋" w:hAnsi="仿宋"/>
          <w:sz w:val="32"/>
          <w:szCs w:val="32"/>
        </w:rPr>
        <w:t>城东站、海</w:t>
      </w:r>
      <w:r>
        <w:rPr>
          <w:rFonts w:hint="eastAsia" w:ascii="仿宋" w:hAnsi="仿宋"/>
          <w:sz w:val="32"/>
          <w:szCs w:val="32"/>
        </w:rPr>
        <w:t>峡</w:t>
      </w:r>
      <w:r>
        <w:rPr>
          <w:rFonts w:ascii="仿宋" w:hAnsi="仿宋"/>
          <w:sz w:val="32"/>
          <w:szCs w:val="32"/>
        </w:rPr>
        <w:t>体育馆</w:t>
      </w:r>
      <w:r>
        <w:rPr>
          <w:rFonts w:hint="eastAsia" w:ascii="仿宋" w:hAnsi="仿宋"/>
          <w:sz w:val="32"/>
          <w:szCs w:val="32"/>
        </w:rPr>
        <w:t>站</w:t>
      </w:r>
      <w:r>
        <w:rPr>
          <w:rFonts w:ascii="仿宋" w:hAnsi="仿宋"/>
          <w:sz w:val="32"/>
          <w:szCs w:val="32"/>
        </w:rPr>
        <w:t>、</w:t>
      </w:r>
      <w:r>
        <w:rPr>
          <w:rFonts w:hint="eastAsia" w:ascii="仿宋" w:hAnsi="仿宋"/>
          <w:sz w:val="32"/>
          <w:szCs w:val="32"/>
        </w:rPr>
        <w:t>浦西万达、公共文化中心、泉州师院、闽台缘博物馆等</w:t>
      </w:r>
      <w:r>
        <w:rPr>
          <w:rFonts w:ascii="仿宋" w:hAnsi="仿宋"/>
          <w:sz w:val="32"/>
          <w:szCs w:val="32"/>
        </w:rPr>
        <w:t>10</w:t>
      </w:r>
      <w:r>
        <w:rPr>
          <w:rFonts w:hint="eastAsia" w:ascii="仿宋" w:hAnsi="仿宋"/>
          <w:sz w:val="32"/>
          <w:szCs w:val="32"/>
        </w:rPr>
        <w:t>处“微枢纽”。</w:t>
      </w:r>
    </w:p>
    <w:p w14:paraId="2C86F695">
      <w:pPr>
        <w:pStyle w:val="39"/>
        <w:snapToGrid w:val="0"/>
        <w:spacing w:line="540" w:lineRule="exact"/>
        <w:ind w:firstLine="643"/>
        <w:rPr>
          <w:rFonts w:ascii="仿宋" w:hAnsi="仿宋" w:eastAsia="仿宋"/>
          <w:szCs w:val="32"/>
        </w:rPr>
      </w:pPr>
      <w:r>
        <w:rPr>
          <w:rFonts w:hint="eastAsia" w:ascii="仿宋" w:hAnsi="仿宋" w:eastAsia="仿宋"/>
          <w:b/>
          <w:bCs/>
          <w:szCs w:val="32"/>
        </w:rPr>
        <w:t>打造“新慢行”。</w:t>
      </w:r>
      <w:r>
        <w:rPr>
          <w:rFonts w:hint="eastAsia" w:ascii="仿宋" w:hAnsi="仿宋" w:eastAsia="仿宋"/>
          <w:szCs w:val="32"/>
        </w:rPr>
        <w:t>构建遮阳避雨、安全舒适、无障碍设施完善的步行系统，形成连接绿道，串联山水、景点、商圈的城市慢行示范区，打造古城新慢行示范区，各县（市、区）各推进</w:t>
      </w:r>
      <w:r>
        <w:rPr>
          <w:rFonts w:ascii="仿宋" w:hAnsi="仿宋" w:eastAsia="仿宋"/>
          <w:szCs w:val="32"/>
        </w:rPr>
        <w:t>1个以上慢行示范区建设。</w:t>
      </w:r>
    </w:p>
    <w:p w14:paraId="7411BD97">
      <w:pPr>
        <w:pStyle w:val="39"/>
        <w:snapToGrid w:val="0"/>
        <w:spacing w:line="540" w:lineRule="exact"/>
        <w:ind w:firstLine="643"/>
        <w:rPr>
          <w:rFonts w:ascii="仿宋" w:hAnsi="仿宋" w:eastAsia="仿宋"/>
          <w:szCs w:val="32"/>
        </w:rPr>
      </w:pPr>
      <w:r>
        <w:rPr>
          <w:rFonts w:hint="eastAsia" w:ascii="仿宋" w:hAnsi="仿宋" w:eastAsia="仿宋"/>
          <w:b/>
          <w:bCs/>
          <w:szCs w:val="32"/>
        </w:rPr>
        <w:t>拓展“新停车”。</w:t>
      </w:r>
      <w:r>
        <w:rPr>
          <w:rFonts w:hint="eastAsia" w:ascii="仿宋" w:hAnsi="仿宋" w:eastAsia="仿宋"/>
          <w:szCs w:val="32"/>
        </w:rPr>
        <w:t>持续推进城市公共停车场建设，缓解“停”的焦虑，进一步缓解城市交通压力。开</w:t>
      </w:r>
      <w:r>
        <w:rPr>
          <w:rFonts w:ascii="仿宋" w:hAnsi="仿宋" w:eastAsia="仿宋"/>
          <w:szCs w:val="32"/>
        </w:rPr>
        <w:t>展档案综合大楼及立体停车楼等立体公共停车场建设，并推动枢纽配套建设P+R停车设施。加快建设并投用市级智慧停车系统，鼓励共享停车。到2025年，新增城乡公共停车泊位共3万个，其中石狮、晋江、南安不少于3000个，惠安、安溪、永春、德化不少于1500个。</w:t>
      </w:r>
    </w:p>
    <w:p w14:paraId="0FF16366">
      <w:pPr>
        <w:pStyle w:val="3"/>
        <w:snapToGrid w:val="0"/>
        <w:spacing w:line="540" w:lineRule="exact"/>
        <w:ind w:firstLine="641"/>
        <w:rPr>
          <w:rFonts w:ascii="黑体" w:hAnsi="黑体" w:eastAsia="黑体"/>
          <w:sz w:val="32"/>
        </w:rPr>
      </w:pPr>
      <w:bookmarkStart w:id="166" w:name="_Toc62176658"/>
      <w:bookmarkStart w:id="167" w:name="_Toc63077446"/>
      <w:bookmarkStart w:id="168" w:name="_Toc62163259"/>
      <w:bookmarkStart w:id="169" w:name="_Toc23360"/>
      <w:bookmarkStart w:id="170" w:name="_Toc19986"/>
      <w:bookmarkStart w:id="171" w:name="_Toc27030"/>
      <w:bookmarkStart w:id="172" w:name="_Toc6046"/>
      <w:bookmarkStart w:id="173" w:name="_Toc17935"/>
      <w:r>
        <w:rPr>
          <w:rFonts w:hint="eastAsia" w:ascii="黑体" w:hAnsi="黑体" w:eastAsia="黑体"/>
          <w:kern w:val="0"/>
          <w:sz w:val="32"/>
        </w:rPr>
        <w:t>二、</w:t>
      </w:r>
      <w:bookmarkEnd w:id="166"/>
      <w:bookmarkEnd w:id="167"/>
      <w:bookmarkEnd w:id="168"/>
      <w:r>
        <w:rPr>
          <w:rFonts w:hint="eastAsia" w:ascii="黑体" w:hAnsi="黑体" w:eastAsia="黑体"/>
          <w:sz w:val="32"/>
        </w:rPr>
        <w:t>园林绿化提升</w:t>
      </w:r>
      <w:bookmarkEnd w:id="169"/>
      <w:bookmarkEnd w:id="170"/>
      <w:bookmarkEnd w:id="171"/>
      <w:bookmarkEnd w:id="172"/>
      <w:bookmarkEnd w:id="173"/>
    </w:p>
    <w:p w14:paraId="770A603F">
      <w:pPr>
        <w:snapToGrid w:val="0"/>
        <w:spacing w:line="540" w:lineRule="exact"/>
        <w:ind w:firstLine="640"/>
        <w:rPr>
          <w:rFonts w:ascii="仿宋" w:hAnsi="仿宋"/>
          <w:sz w:val="32"/>
          <w:szCs w:val="32"/>
        </w:rPr>
      </w:pPr>
      <w:r>
        <w:rPr>
          <w:rFonts w:hint="eastAsia" w:ascii="仿宋" w:hAnsi="仿宋"/>
          <w:sz w:val="32"/>
        </w:rPr>
        <w:t>重点推进实施“十百千”工程（十</w:t>
      </w:r>
      <w:r>
        <w:rPr>
          <w:rFonts w:ascii="仿宋" w:hAnsi="仿宋"/>
          <w:sz w:val="32"/>
        </w:rPr>
        <w:t>平方公里郊野公园，百里绿廊，千里绿道），</w:t>
      </w:r>
      <w:r>
        <w:rPr>
          <w:rFonts w:hint="eastAsia" w:ascii="仿宋" w:hAnsi="仿宋"/>
          <w:sz w:val="32"/>
        </w:rPr>
        <w:t>开展</w:t>
      </w:r>
      <w:r>
        <w:rPr>
          <w:rFonts w:hint="eastAsia" w:ascii="仿宋" w:hAnsi="仿宋" w:cs="仿宋"/>
          <w:sz w:val="32"/>
          <w:szCs w:val="32"/>
        </w:rPr>
        <w:t>绿满泉城绿化提升行动，</w:t>
      </w:r>
      <w:r>
        <w:rPr>
          <w:rFonts w:ascii="仿宋" w:hAnsi="仿宋"/>
          <w:sz w:val="32"/>
        </w:rPr>
        <w:t>构建“山水园林、文化园林、百姓园林</w:t>
      </w:r>
      <w:r>
        <w:rPr>
          <w:rFonts w:hint="eastAsia" w:ascii="仿宋" w:hAnsi="仿宋"/>
          <w:sz w:val="32"/>
        </w:rPr>
        <w:t>、</w:t>
      </w:r>
      <w:r>
        <w:rPr>
          <w:rFonts w:ascii="仿宋" w:hAnsi="仿宋"/>
          <w:sz w:val="32"/>
        </w:rPr>
        <w:t>门户廊道”，推动城市园林绿化增量提质</w:t>
      </w:r>
      <w:r>
        <w:rPr>
          <w:rFonts w:hint="eastAsia" w:ascii="仿宋" w:hAnsi="仿宋"/>
          <w:sz w:val="32"/>
        </w:rPr>
        <w:t>，</w:t>
      </w:r>
      <w:r>
        <w:rPr>
          <w:rFonts w:hint="eastAsia" w:ascii="仿宋" w:hAnsi="仿宋"/>
          <w:sz w:val="32"/>
          <w:szCs w:val="32"/>
        </w:rPr>
        <w:t>完善“</w:t>
      </w:r>
      <w:r>
        <w:rPr>
          <w:rFonts w:ascii="仿宋" w:hAnsi="仿宋"/>
          <w:sz w:val="32"/>
          <w:szCs w:val="32"/>
        </w:rPr>
        <w:t>15分钟生活圈</w:t>
      </w:r>
      <w:r>
        <w:rPr>
          <w:rFonts w:hint="eastAsia" w:ascii="仿宋" w:hAnsi="仿宋"/>
          <w:sz w:val="32"/>
          <w:szCs w:val="32"/>
        </w:rPr>
        <w:t>”</w:t>
      </w:r>
      <w:r>
        <w:rPr>
          <w:rFonts w:ascii="仿宋" w:hAnsi="仿宋"/>
          <w:sz w:val="32"/>
        </w:rPr>
        <w:t>。</w:t>
      </w:r>
      <w:r>
        <w:rPr>
          <w:rFonts w:hint="eastAsia" w:ascii="仿宋" w:hAnsi="仿宋"/>
          <w:sz w:val="32"/>
          <w:szCs w:val="32"/>
        </w:rPr>
        <w:t>基本形成山水融城生态连绵带</w:t>
      </w:r>
      <w:r>
        <w:rPr>
          <w:rFonts w:ascii="仿宋" w:hAnsi="仿宋"/>
          <w:sz w:val="32"/>
          <w:szCs w:val="32"/>
        </w:rPr>
        <w:t>，</w:t>
      </w:r>
      <w:r>
        <w:rPr>
          <w:rFonts w:hint="eastAsia" w:ascii="仿宋" w:hAnsi="仿宋"/>
          <w:sz w:val="32"/>
          <w:szCs w:val="32"/>
        </w:rPr>
        <w:t>构筑水清岸绿堤美、可亲可游生态体系，争创国家生态园林城市。</w:t>
      </w:r>
    </w:p>
    <w:p w14:paraId="11C689DE">
      <w:pPr>
        <w:snapToGrid w:val="0"/>
        <w:spacing w:line="540" w:lineRule="exact"/>
        <w:ind w:firstLine="643"/>
        <w:outlineLvl w:val="2"/>
        <w:rPr>
          <w:rFonts w:ascii="楷体" w:hAnsi="楷体" w:eastAsia="楷体"/>
          <w:b/>
          <w:bCs/>
          <w:kern w:val="0"/>
          <w:sz w:val="32"/>
          <w:szCs w:val="32"/>
        </w:rPr>
      </w:pPr>
      <w:bookmarkStart w:id="174" w:name="_Toc8547"/>
      <w:bookmarkStart w:id="175" w:name="_Toc28804"/>
      <w:bookmarkStart w:id="176" w:name="_Toc9349"/>
      <w:bookmarkStart w:id="177" w:name="_Toc5254"/>
      <w:bookmarkStart w:id="178" w:name="_Toc11856"/>
      <w:r>
        <w:rPr>
          <w:rFonts w:hint="eastAsia" w:ascii="楷体" w:hAnsi="楷体" w:eastAsia="楷体"/>
          <w:b/>
          <w:bCs/>
          <w:kern w:val="0"/>
          <w:sz w:val="32"/>
          <w:szCs w:val="32"/>
        </w:rPr>
        <w:t>（一）园林绿化“十百千”工程</w:t>
      </w:r>
      <w:bookmarkEnd w:id="174"/>
      <w:bookmarkEnd w:id="175"/>
      <w:bookmarkEnd w:id="176"/>
      <w:bookmarkEnd w:id="177"/>
      <w:bookmarkEnd w:id="178"/>
    </w:p>
    <w:p w14:paraId="35098DA5">
      <w:pPr>
        <w:spacing w:line="540" w:lineRule="exact"/>
        <w:ind w:firstLine="643"/>
        <w:rPr>
          <w:rFonts w:ascii="仿宋" w:hAnsi="仿宋"/>
          <w:sz w:val="32"/>
          <w:szCs w:val="32"/>
        </w:rPr>
      </w:pPr>
      <w:r>
        <w:rPr>
          <w:b/>
          <w:sz w:val="32"/>
        </w:rPr>
        <w:t>十平方公里郊野公园</w:t>
      </w:r>
      <w:r>
        <w:rPr>
          <w:rFonts w:hint="eastAsia"/>
          <w:b/>
          <w:sz w:val="32"/>
        </w:rPr>
        <w:t>。</w:t>
      </w:r>
      <w:r>
        <w:rPr>
          <w:rFonts w:hint="eastAsia" w:ascii="仿宋" w:hAnsi="仿宋"/>
          <w:sz w:val="32"/>
          <w:szCs w:val="32"/>
        </w:rPr>
        <w:t>以全域国土空间规划为契机，明确城镇、生态、农业边界，以城镇周边森林、水系、湿地、苗圃、农田为载体，</w:t>
      </w:r>
      <w:r>
        <w:rPr>
          <w:rFonts w:ascii="仿宋" w:hAnsi="仿宋"/>
          <w:sz w:val="32"/>
          <w:szCs w:val="32"/>
        </w:rPr>
        <w:t>同步推进远足径建设，构建城镇安全生态隔离带，增加生态休闲空间。</w:t>
      </w:r>
      <w:r>
        <w:rPr>
          <w:rFonts w:hint="eastAsia" w:ascii="仿宋" w:hAnsi="仿宋"/>
          <w:sz w:val="32"/>
          <w:szCs w:val="32"/>
        </w:rPr>
        <w:t>完善泉州植物园，推进岩山公园提升建设，谋划实施桃花山公园提升工程、泉州森林公园提升工程、乌石山郊野公园。到</w:t>
      </w:r>
      <w:r>
        <w:rPr>
          <w:rFonts w:ascii="仿宋" w:hAnsi="仿宋"/>
          <w:sz w:val="32"/>
          <w:szCs w:val="32"/>
        </w:rPr>
        <w:t>2025</w:t>
      </w:r>
      <w:r>
        <w:rPr>
          <w:rFonts w:hint="eastAsia" w:ascii="仿宋" w:hAnsi="仿宋"/>
          <w:sz w:val="32"/>
          <w:szCs w:val="32"/>
        </w:rPr>
        <w:t>年，全市建设提升</w:t>
      </w:r>
      <w:r>
        <w:rPr>
          <w:rFonts w:ascii="仿宋" w:hAnsi="仿宋"/>
          <w:sz w:val="32"/>
          <w:szCs w:val="32"/>
        </w:rPr>
        <w:t>1</w:t>
      </w:r>
      <w:r>
        <w:rPr>
          <w:rFonts w:hint="eastAsia" w:ascii="仿宋" w:hAnsi="仿宋"/>
          <w:sz w:val="32"/>
          <w:szCs w:val="32"/>
        </w:rPr>
        <w:t>5个</w:t>
      </w:r>
      <w:r>
        <w:rPr>
          <w:rFonts w:ascii="仿宋" w:hAnsi="仿宋"/>
          <w:sz w:val="32"/>
          <w:szCs w:val="32"/>
        </w:rPr>
        <w:t>郊野公园</w:t>
      </w:r>
      <w:r>
        <w:rPr>
          <w:rFonts w:hint="eastAsia" w:ascii="仿宋" w:hAnsi="仿宋"/>
          <w:sz w:val="32"/>
          <w:szCs w:val="32"/>
        </w:rPr>
        <w:t>（</w:t>
      </w:r>
      <w:r>
        <w:rPr>
          <w:rFonts w:ascii="仿宋" w:hAnsi="仿宋"/>
          <w:sz w:val="32"/>
          <w:szCs w:val="32"/>
        </w:rPr>
        <w:t>10平方公里</w:t>
      </w:r>
      <w:r>
        <w:rPr>
          <w:rFonts w:hint="eastAsia" w:ascii="仿宋" w:hAnsi="仿宋"/>
          <w:sz w:val="32"/>
          <w:szCs w:val="32"/>
        </w:rPr>
        <w:t>）。</w:t>
      </w:r>
    </w:p>
    <w:p w14:paraId="3EEA4872">
      <w:pPr>
        <w:spacing w:line="540" w:lineRule="exact"/>
        <w:ind w:firstLine="643"/>
        <w:rPr>
          <w:sz w:val="32"/>
        </w:rPr>
      </w:pPr>
      <w:r>
        <w:rPr>
          <w:rFonts w:hint="eastAsia"/>
          <w:b/>
          <w:sz w:val="32"/>
        </w:rPr>
        <w:t>百里绿廊。</w:t>
      </w:r>
      <w:r>
        <w:rPr>
          <w:rFonts w:hint="eastAsia" w:ascii="仿宋_GB2312" w:hAnsi="仿宋_GB2312" w:cs="仿宋_GB2312"/>
          <w:sz w:val="31"/>
          <w:szCs w:val="31"/>
        </w:rPr>
        <w:t>全面推进高铁和高速公路沿线“绿色生态长廊”建设，管控沿线百米范围内绿色生态空间和沿线可视界面的城乡风貌，</w:t>
      </w:r>
      <w:r>
        <w:rPr>
          <w:rFonts w:hint="eastAsia"/>
          <w:sz w:val="32"/>
        </w:rPr>
        <w:t>修复山体绿化，治理水体污染，整治提升田园景观，房前屋后植树绿化，实现“八无四有”。重点推进泉州台商投资区高铁高速、重要通道和重要节点沿线人居环境综合整治提升工程、洛江区滨江路沈海高速至南惠高速段环境整治工程，到</w:t>
      </w:r>
      <w:r>
        <w:rPr>
          <w:rFonts w:ascii="Times New Roman" w:hAnsi="Times New Roman"/>
          <w:sz w:val="32"/>
        </w:rPr>
        <w:t>2025年，建成</w:t>
      </w:r>
      <w:r>
        <w:rPr>
          <w:rFonts w:hint="eastAsia" w:ascii="Times New Roman" w:hAnsi="Times New Roman"/>
          <w:sz w:val="32"/>
        </w:rPr>
        <w:t>“</w:t>
      </w:r>
      <w:r>
        <w:rPr>
          <w:rFonts w:ascii="Times New Roman" w:hAnsi="Times New Roman"/>
          <w:sz w:val="32"/>
        </w:rPr>
        <w:t>两高</w:t>
      </w:r>
      <w:r>
        <w:rPr>
          <w:rFonts w:hint="eastAsia" w:ascii="Times New Roman" w:hAnsi="Times New Roman"/>
          <w:sz w:val="32"/>
        </w:rPr>
        <w:t>”</w:t>
      </w:r>
      <w:r>
        <w:rPr>
          <w:rFonts w:ascii="Times New Roman" w:hAnsi="Times New Roman"/>
          <w:sz w:val="32"/>
        </w:rPr>
        <w:t>沿线</w:t>
      </w:r>
      <w:r>
        <w:rPr>
          <w:rFonts w:hint="eastAsia" w:ascii="Times New Roman" w:hAnsi="Times New Roman"/>
          <w:sz w:val="32"/>
        </w:rPr>
        <w:t>绿色生态空间和沿线可视界面城乡风貌</w:t>
      </w:r>
      <w:r>
        <w:rPr>
          <w:rFonts w:ascii="Times New Roman" w:hAnsi="Times New Roman"/>
          <w:sz w:val="32"/>
        </w:rPr>
        <w:t>生态长廊</w:t>
      </w:r>
      <w:r>
        <w:rPr>
          <w:rFonts w:hint="eastAsia" w:ascii="Times New Roman" w:hAnsi="Times New Roman"/>
          <w:sz w:val="32"/>
        </w:rPr>
        <w:t>50公里</w:t>
      </w:r>
      <w:r>
        <w:rPr>
          <w:sz w:val="32"/>
        </w:rPr>
        <w:t>以上。</w:t>
      </w:r>
    </w:p>
    <w:p w14:paraId="05B6D580">
      <w:pPr>
        <w:spacing w:line="540" w:lineRule="exact"/>
        <w:ind w:firstLine="643"/>
        <w:rPr>
          <w:rFonts w:ascii="仿宋" w:hAnsi="仿宋"/>
          <w:sz w:val="32"/>
          <w:szCs w:val="32"/>
        </w:rPr>
      </w:pPr>
      <w:r>
        <w:rPr>
          <w:rFonts w:hint="eastAsia"/>
          <w:b/>
          <w:sz w:val="32"/>
        </w:rPr>
        <w:t>千里福道。</w:t>
      </w:r>
      <w:r>
        <w:rPr>
          <w:rFonts w:hint="eastAsia"/>
          <w:sz w:val="32"/>
          <w:szCs w:val="32"/>
        </w:rPr>
        <w:t>提升绿道网络，将山线、水线、魅力城中线提升为福道。发挥泉州山水优势和人文特色，重点推进山线绿道三期工程、绿道山水连接线和清源山风</w:t>
      </w:r>
      <w:r>
        <w:rPr>
          <w:rFonts w:hint="eastAsia" w:ascii="仿宋" w:hAnsi="仿宋"/>
          <w:sz w:val="32"/>
          <w:szCs w:val="32"/>
        </w:rPr>
        <w:t>景名胜区“一环两枝”绿道等工程建设。到</w:t>
      </w:r>
      <w:r>
        <w:rPr>
          <w:rFonts w:ascii="仿宋" w:hAnsi="仿宋"/>
          <w:sz w:val="32"/>
          <w:szCs w:val="32"/>
        </w:rPr>
        <w:t>2025年，</w:t>
      </w:r>
      <w:r>
        <w:rPr>
          <w:rFonts w:hint="eastAsia" w:ascii="仿宋" w:hAnsi="仿宋"/>
          <w:sz w:val="32"/>
          <w:szCs w:val="32"/>
        </w:rPr>
        <w:t>全市</w:t>
      </w:r>
      <w:r>
        <w:rPr>
          <w:rFonts w:ascii="仿宋" w:hAnsi="仿宋"/>
          <w:sz w:val="32"/>
          <w:szCs w:val="32"/>
        </w:rPr>
        <w:t>建设依山、傍水、串联城乡</w:t>
      </w:r>
      <w:r>
        <w:rPr>
          <w:rFonts w:hint="eastAsia" w:ascii="仿宋" w:hAnsi="仿宋"/>
          <w:sz w:val="32"/>
          <w:szCs w:val="32"/>
        </w:rPr>
        <w:t>、泉州</w:t>
      </w:r>
      <w:r>
        <w:rPr>
          <w:rFonts w:ascii="仿宋" w:hAnsi="仿宋"/>
          <w:sz w:val="32"/>
          <w:szCs w:val="32"/>
        </w:rPr>
        <w:t>特色文化功能突出的福道500公里</w:t>
      </w:r>
      <w:r>
        <w:rPr>
          <w:rFonts w:hint="eastAsia" w:ascii="仿宋" w:hAnsi="仿宋"/>
          <w:sz w:val="32"/>
          <w:szCs w:val="32"/>
        </w:rPr>
        <w:t>，其中统管区建成</w:t>
      </w:r>
      <w:r>
        <w:rPr>
          <w:rFonts w:ascii="仿宋" w:hAnsi="仿宋"/>
          <w:sz w:val="32"/>
          <w:szCs w:val="32"/>
        </w:rPr>
        <w:t>130公里。</w:t>
      </w:r>
    </w:p>
    <w:p w14:paraId="051ED468">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专栏2：</w:t>
      </w:r>
      <w:r>
        <w:rPr>
          <w:rFonts w:hint="eastAsia" w:ascii="黑体" w:hAnsi="黑体" w:eastAsia="黑体" w:cs="黑体"/>
          <w:kern w:val="0"/>
          <w:szCs w:val="28"/>
        </w:rPr>
        <w:t>园林绿化“十百千”工程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185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1E1902F">
            <w:pPr>
              <w:widowControl/>
              <w:snapToGrid w:val="0"/>
              <w:spacing w:before="197" w:beforeLines="50" w:line="300" w:lineRule="auto"/>
              <w:ind w:firstLine="562"/>
              <w:rPr>
                <w:rFonts w:ascii="仿宋" w:hAnsi="仿宋" w:cs="宋体"/>
                <w:kern w:val="0"/>
                <w:szCs w:val="28"/>
              </w:rPr>
            </w:pPr>
            <w:r>
              <w:rPr>
                <w:rFonts w:ascii="仿宋" w:hAnsi="仿宋"/>
                <w:b/>
                <w:szCs w:val="28"/>
              </w:rPr>
              <w:t>1.十平方公里郊野公园：</w:t>
            </w:r>
            <w:r>
              <w:rPr>
                <w:rFonts w:hint="eastAsia" w:ascii="仿宋" w:hAnsi="仿宋" w:cs="宋体"/>
                <w:kern w:val="0"/>
                <w:szCs w:val="28"/>
              </w:rPr>
              <w:t>完善泉州植物园建设，新增乌石山郊野公园、观音岐公园、大岭头山体公园、文亭山公园、观音山新城公园、南浦山公园</w:t>
            </w:r>
            <w:r>
              <w:rPr>
                <w:rFonts w:ascii="仿宋" w:hAnsi="仿宋" w:cs="宋体"/>
                <w:kern w:val="0"/>
                <w:szCs w:val="28"/>
              </w:rPr>
              <w:t>，改造提升</w:t>
            </w:r>
            <w:r>
              <w:rPr>
                <w:rFonts w:hint="eastAsia" w:ascii="仿宋" w:hAnsi="仿宋" w:cs="宋体"/>
                <w:kern w:val="0"/>
                <w:szCs w:val="28"/>
              </w:rPr>
              <w:t>桃花山公园</w:t>
            </w:r>
            <w:r>
              <w:rPr>
                <w:rFonts w:ascii="仿宋" w:hAnsi="仿宋" w:cs="宋体"/>
                <w:kern w:val="0"/>
                <w:szCs w:val="28"/>
              </w:rPr>
              <w:t>、</w:t>
            </w:r>
            <w:r>
              <w:rPr>
                <w:rFonts w:hint="eastAsia" w:ascii="仿宋" w:hAnsi="仿宋" w:cs="宋体"/>
                <w:kern w:val="0"/>
                <w:szCs w:val="28"/>
              </w:rPr>
              <w:t>风炉山公园、</w:t>
            </w:r>
            <w:r>
              <w:rPr>
                <w:rFonts w:ascii="仿宋" w:hAnsi="仿宋" w:cs="宋体"/>
                <w:kern w:val="0"/>
                <w:szCs w:val="28"/>
              </w:rPr>
              <w:t>唐寨山公园、</w:t>
            </w:r>
            <w:r>
              <w:rPr>
                <w:rFonts w:hint="eastAsia" w:ascii="仿宋" w:hAnsi="仿宋" w:cs="宋体"/>
                <w:kern w:val="0"/>
                <w:szCs w:val="28"/>
              </w:rPr>
              <w:t>石狮灵秀山公园、</w:t>
            </w:r>
            <w:r>
              <w:rPr>
                <w:rFonts w:ascii="仿宋" w:hAnsi="仿宋" w:cs="宋体"/>
                <w:kern w:val="0"/>
                <w:szCs w:val="28"/>
              </w:rPr>
              <w:t>泉州森林公园、岩山公园。</w:t>
            </w:r>
          </w:p>
          <w:p w14:paraId="295655D1">
            <w:pPr>
              <w:pStyle w:val="48"/>
              <w:ind w:firstLine="562"/>
              <w:rPr>
                <w:rFonts w:ascii="仿宋" w:eastAsia="仿宋"/>
                <w:color w:val="auto"/>
                <w:sz w:val="28"/>
              </w:rPr>
            </w:pPr>
            <w:r>
              <w:rPr>
                <w:rFonts w:ascii="仿宋" w:eastAsia="仿宋"/>
                <w:b/>
                <w:color w:val="auto"/>
                <w:sz w:val="28"/>
              </w:rPr>
              <w:t>2.</w:t>
            </w:r>
            <w:r>
              <w:rPr>
                <w:rFonts w:hint="eastAsia" w:ascii="仿宋" w:eastAsia="仿宋"/>
                <w:b/>
                <w:color w:val="auto"/>
                <w:sz w:val="28"/>
              </w:rPr>
              <w:t>百里绿廊</w:t>
            </w:r>
            <w:r>
              <w:rPr>
                <w:rFonts w:ascii="仿宋" w:eastAsia="仿宋"/>
                <w:b/>
                <w:color w:val="auto"/>
                <w:sz w:val="28"/>
              </w:rPr>
              <w:t>：</w:t>
            </w:r>
            <w:r>
              <w:rPr>
                <w:rFonts w:hint="eastAsia" w:ascii="仿宋" w:eastAsia="仿宋"/>
                <w:color w:val="auto"/>
                <w:sz w:val="28"/>
              </w:rPr>
              <w:t>洛江区滨江路沈海高速至南惠高速段环境整治、泉州台商投资区高铁高速、重要通道和重要节点沿线人居环境综合整治提升、泉州环城高速公路晋江段沿线环境整治；泉州环城高速全段整治完成。</w:t>
            </w:r>
          </w:p>
          <w:p w14:paraId="350B2C28">
            <w:pPr>
              <w:pStyle w:val="48"/>
              <w:ind w:firstLine="562"/>
              <w:rPr>
                <w:color w:val="auto"/>
                <w:sz w:val="28"/>
              </w:rPr>
            </w:pPr>
            <w:r>
              <w:rPr>
                <w:rFonts w:ascii="仿宋" w:eastAsia="仿宋"/>
                <w:b/>
                <w:color w:val="auto"/>
                <w:sz w:val="28"/>
              </w:rPr>
              <w:t>3.</w:t>
            </w:r>
            <w:r>
              <w:rPr>
                <w:rFonts w:hint="eastAsia" w:ascii="仿宋" w:eastAsia="仿宋"/>
                <w:b/>
                <w:color w:val="auto"/>
                <w:sz w:val="28"/>
              </w:rPr>
              <w:t>千里福道</w:t>
            </w:r>
            <w:r>
              <w:rPr>
                <w:rFonts w:ascii="仿宋" w:eastAsia="仿宋"/>
                <w:b/>
                <w:color w:val="auto"/>
                <w:sz w:val="28"/>
              </w:rPr>
              <w:t>：</w:t>
            </w:r>
            <w:r>
              <w:rPr>
                <w:rFonts w:hint="eastAsia" w:ascii="仿宋" w:eastAsia="仿宋"/>
                <w:color w:val="auto"/>
                <w:sz w:val="28"/>
              </w:rPr>
              <w:t>泉州山线绿道三期工程、紫帽山风景名胜区福道环线项目、清源山风景名胜区“一环两枝”绿道、福道山水连接线项目</w:t>
            </w:r>
            <w:r>
              <w:rPr>
                <w:rFonts w:ascii="仿宋" w:eastAsia="仿宋"/>
                <w:color w:val="auto"/>
                <w:sz w:val="28"/>
              </w:rPr>
              <w:t>。</w:t>
            </w:r>
          </w:p>
        </w:tc>
      </w:tr>
    </w:tbl>
    <w:p w14:paraId="2888C064">
      <w:pPr>
        <w:snapToGrid w:val="0"/>
        <w:spacing w:line="540" w:lineRule="exact"/>
        <w:ind w:firstLine="643"/>
        <w:outlineLvl w:val="2"/>
        <w:rPr>
          <w:rFonts w:ascii="楷体" w:hAnsi="楷体" w:eastAsia="楷体"/>
          <w:b/>
          <w:bCs/>
          <w:kern w:val="0"/>
          <w:sz w:val="32"/>
          <w:szCs w:val="32"/>
        </w:rPr>
      </w:pPr>
      <w:bookmarkStart w:id="179" w:name="_Toc5265"/>
      <w:bookmarkStart w:id="180" w:name="_Toc12064"/>
      <w:bookmarkStart w:id="181" w:name="_Toc26672"/>
      <w:bookmarkStart w:id="182" w:name="_Toc6580"/>
      <w:bookmarkStart w:id="183" w:name="_Toc29874"/>
      <w:r>
        <w:rPr>
          <w:rFonts w:hint="eastAsia" w:ascii="楷体" w:hAnsi="楷体" w:eastAsia="楷体"/>
          <w:b/>
          <w:bCs/>
          <w:kern w:val="0"/>
          <w:sz w:val="32"/>
          <w:szCs w:val="32"/>
        </w:rPr>
        <w:t>（二）公园绿地品质提升</w:t>
      </w:r>
      <w:bookmarkEnd w:id="179"/>
      <w:bookmarkEnd w:id="180"/>
      <w:bookmarkEnd w:id="181"/>
      <w:bookmarkEnd w:id="182"/>
      <w:bookmarkEnd w:id="183"/>
    </w:p>
    <w:p w14:paraId="03554E57">
      <w:pPr>
        <w:spacing w:line="540" w:lineRule="exact"/>
        <w:ind w:firstLine="643"/>
        <w:rPr>
          <w:rFonts w:ascii="仿宋" w:hAnsi="仿宋"/>
          <w:sz w:val="32"/>
          <w:szCs w:val="32"/>
        </w:rPr>
      </w:pPr>
      <w:r>
        <w:rPr>
          <w:rFonts w:hint="eastAsia"/>
          <w:b/>
          <w:bCs/>
          <w:sz w:val="32"/>
          <w:szCs w:val="32"/>
        </w:rPr>
        <w:t>规划先行推进园林绿地建设。</w:t>
      </w:r>
      <w:r>
        <w:rPr>
          <w:rFonts w:hint="eastAsia" w:ascii="仿宋" w:hAnsi="仿宋"/>
          <w:sz w:val="32"/>
          <w:szCs w:val="32"/>
        </w:rPr>
        <w:t>根据《泉州市国土空间规划》修订《泉州市城市绿地系统规划》，科学合理布局城市各类绿地。划定城市“绿线”，通过报纸、电视等媒体依法依规向社会公布。严格实施绿线管制，对现状绿地和规划绿地设立绿线公示牌或绿线界碑，有效保障城市园林绿化建设用地。编制《泉州市园林绿化技术导则》及正负面清单，明确具体要求，因地制宜、适地适树，进一步提升城市园林绿化品质。</w:t>
      </w:r>
    </w:p>
    <w:p w14:paraId="677C29EF">
      <w:pPr>
        <w:spacing w:line="540" w:lineRule="exact"/>
        <w:ind w:firstLine="643"/>
        <w:rPr>
          <w:rFonts w:ascii="仿宋" w:hAnsi="仿宋"/>
          <w:sz w:val="32"/>
          <w:szCs w:val="32"/>
        </w:rPr>
      </w:pPr>
      <w:r>
        <w:rPr>
          <w:b/>
          <w:sz w:val="32"/>
          <w:szCs w:val="32"/>
        </w:rPr>
        <w:t>公园绿地增量提质</w:t>
      </w:r>
      <w:r>
        <w:rPr>
          <w:rFonts w:hint="eastAsia"/>
          <w:b/>
          <w:sz w:val="32"/>
          <w:szCs w:val="32"/>
        </w:rPr>
        <w:t>。</w:t>
      </w:r>
      <w:r>
        <w:rPr>
          <w:rFonts w:hint="eastAsia" w:ascii="仿宋" w:hAnsi="仿宋"/>
          <w:sz w:val="32"/>
          <w:szCs w:val="32"/>
        </w:rPr>
        <w:t>结合城市苗圃和园林科研，完善提升泉州植物园，推动泉港植物园二期建设。建设提升</w:t>
      </w:r>
      <w:r>
        <w:rPr>
          <w:rFonts w:ascii="仿宋" w:hAnsi="仿宋"/>
          <w:sz w:val="32"/>
          <w:szCs w:val="32"/>
        </w:rPr>
        <w:t>25座城市公园，优化城市公园布局</w:t>
      </w:r>
      <w:r>
        <w:rPr>
          <w:rFonts w:hint="eastAsia" w:ascii="仿宋" w:hAnsi="仿宋"/>
          <w:sz w:val="32"/>
          <w:szCs w:val="32"/>
        </w:rPr>
        <w:t>。</w:t>
      </w:r>
      <w:r>
        <w:rPr>
          <w:rFonts w:ascii="仿宋" w:hAnsi="仿宋"/>
          <w:sz w:val="32"/>
          <w:szCs w:val="32"/>
        </w:rPr>
        <w:t>推广“公园+”建设理念，提升一批</w:t>
      </w:r>
      <w:r>
        <w:rPr>
          <w:rFonts w:hint="eastAsia" w:ascii="仿宋" w:hAnsi="仿宋"/>
          <w:sz w:val="32"/>
          <w:szCs w:val="32"/>
        </w:rPr>
        <w:t>集健身、休闲、赏景等功能于一体的社区公园</w:t>
      </w:r>
      <w:r>
        <w:rPr>
          <w:rFonts w:ascii="仿宋" w:hAnsi="仿宋"/>
          <w:sz w:val="32"/>
          <w:szCs w:val="32"/>
        </w:rPr>
        <w:t>，</w:t>
      </w:r>
      <w:r>
        <w:rPr>
          <w:rFonts w:hint="eastAsia" w:ascii="仿宋" w:hAnsi="仿宋"/>
          <w:sz w:val="32"/>
          <w:szCs w:val="32"/>
        </w:rPr>
        <w:t>完善</w:t>
      </w:r>
      <w:r>
        <w:rPr>
          <w:rFonts w:ascii="仿宋" w:hAnsi="仿宋"/>
          <w:sz w:val="32"/>
          <w:szCs w:val="32"/>
        </w:rPr>
        <w:t>城市绿地综合服务功能。持续开展古城植绿行动，结合城市内河水系建设带状绿地，因地制宜新建一批小微绿地和口袋公园，增加</w:t>
      </w:r>
      <w:r>
        <w:rPr>
          <w:rFonts w:hint="eastAsia" w:ascii="仿宋" w:hAnsi="仿宋"/>
          <w:sz w:val="32"/>
          <w:szCs w:val="32"/>
        </w:rPr>
        <w:t>百姓“身边绿地”，见缝插针对原有绿地进行改造提升，满足市民就近游园休闲需要，在街头巷尾适当增植乔木，提高绿化覆盖率。</w:t>
      </w:r>
      <w:r>
        <w:rPr>
          <w:rFonts w:ascii="仿宋" w:hAnsi="仿宋"/>
          <w:sz w:val="32"/>
          <w:szCs w:val="32"/>
        </w:rPr>
        <w:t>到2025年，</w:t>
      </w:r>
      <w:r>
        <w:rPr>
          <w:rFonts w:hint="eastAsia" w:ascii="仿宋" w:hAnsi="仿宋"/>
          <w:sz w:val="32"/>
          <w:szCs w:val="32"/>
        </w:rPr>
        <w:t>市域范围</w:t>
      </w:r>
      <w:r>
        <w:rPr>
          <w:rFonts w:ascii="仿宋" w:hAnsi="仿宋"/>
          <w:sz w:val="32"/>
          <w:szCs w:val="32"/>
        </w:rPr>
        <w:t>新建公园绿地500公顷以上，</w:t>
      </w:r>
      <w:r>
        <w:rPr>
          <w:rFonts w:hint="eastAsia" w:ascii="仿宋" w:hAnsi="仿宋"/>
          <w:sz w:val="32"/>
          <w:szCs w:val="32"/>
        </w:rPr>
        <w:t>打造</w:t>
      </w:r>
      <w:r>
        <w:rPr>
          <w:rFonts w:ascii="仿宋" w:hAnsi="仿宋"/>
          <w:sz w:val="32"/>
          <w:szCs w:val="32"/>
        </w:rPr>
        <w:t>700个以上口袋公园、各类游园和小微游园，各县（市、区）至少完成2个特色公园建设</w:t>
      </w:r>
      <w:r>
        <w:rPr>
          <w:rFonts w:hint="eastAsia" w:ascii="仿宋" w:hAnsi="仿宋"/>
          <w:sz w:val="32"/>
          <w:szCs w:val="32"/>
        </w:rPr>
        <w:t>。</w:t>
      </w:r>
      <w:r>
        <w:rPr>
          <w:rFonts w:ascii="仿宋" w:hAnsi="仿宋"/>
          <w:sz w:val="32"/>
          <w:szCs w:val="32"/>
        </w:rPr>
        <w:t xml:space="preserve"> </w:t>
      </w:r>
    </w:p>
    <w:p w14:paraId="42491FED">
      <w:pPr>
        <w:spacing w:line="540" w:lineRule="exact"/>
        <w:ind w:firstLine="643"/>
        <w:rPr>
          <w:rFonts w:ascii="仿宋" w:hAnsi="仿宋"/>
          <w:sz w:val="32"/>
          <w:szCs w:val="32"/>
        </w:rPr>
      </w:pPr>
      <w:r>
        <w:rPr>
          <w:rFonts w:hint="eastAsia" w:ascii="仿宋" w:hAnsi="仿宋"/>
          <w:b/>
          <w:sz w:val="32"/>
          <w:szCs w:val="32"/>
        </w:rPr>
        <w:t>生态连绵带联线成面。</w:t>
      </w:r>
      <w:r>
        <w:rPr>
          <w:rFonts w:hint="eastAsia" w:ascii="仿宋" w:hAnsi="仿宋"/>
          <w:sz w:val="32"/>
          <w:szCs w:val="32"/>
        </w:rPr>
        <w:t>编制生态连绵带规划建设标准，顺应“一湾两江四岸”山水格局</w:t>
      </w:r>
      <w:r>
        <w:rPr>
          <w:rFonts w:ascii="仿宋" w:hAnsi="仿宋"/>
          <w:sz w:val="32"/>
          <w:szCs w:val="32"/>
        </w:rPr>
        <w:t>,</w:t>
      </w:r>
      <w:r>
        <w:rPr>
          <w:rFonts w:hint="eastAsia" w:ascii="仿宋" w:hAnsi="仿宋"/>
          <w:sz w:val="32"/>
          <w:szCs w:val="32"/>
        </w:rPr>
        <w:t>以生态连绵带统筹山水林田湖草系统治理。到2025年</w:t>
      </w:r>
      <w:r>
        <w:rPr>
          <w:rFonts w:ascii="仿宋" w:hAnsi="仿宋"/>
          <w:sz w:val="32"/>
          <w:szCs w:val="32"/>
        </w:rPr>
        <w:t>，</w:t>
      </w:r>
      <w:r>
        <w:rPr>
          <w:rFonts w:hint="eastAsia" w:ascii="仿宋" w:hAnsi="仿宋"/>
          <w:sz w:val="32"/>
          <w:szCs w:val="32"/>
        </w:rPr>
        <w:t>“晋江</w:t>
      </w:r>
      <w:r>
        <w:rPr>
          <w:rFonts w:ascii="仿宋" w:hAnsi="仿宋"/>
          <w:sz w:val="32"/>
          <w:szCs w:val="32"/>
        </w:rPr>
        <w:t>+</w:t>
      </w:r>
      <w:r>
        <w:rPr>
          <w:rFonts w:hint="eastAsia" w:ascii="仿宋" w:hAnsi="仿宋"/>
          <w:sz w:val="32"/>
          <w:szCs w:val="32"/>
        </w:rPr>
        <w:t>泉州湾”流域生态连绵带基本建成，形成晋江下游两岸各</w:t>
      </w:r>
      <w:r>
        <w:rPr>
          <w:rFonts w:ascii="仿宋" w:hAnsi="仿宋"/>
          <w:sz w:val="32"/>
          <w:szCs w:val="32"/>
        </w:rPr>
        <w:t>20</w:t>
      </w:r>
      <w:r>
        <w:rPr>
          <w:rFonts w:hint="eastAsia" w:ascii="仿宋" w:hAnsi="仿宋"/>
          <w:sz w:val="32"/>
          <w:szCs w:val="32"/>
        </w:rPr>
        <w:t>公里（金鸡桥闸至泉州湾口）以及环湾沿线东西两侧各</w:t>
      </w:r>
      <w:r>
        <w:rPr>
          <w:rFonts w:ascii="仿宋" w:hAnsi="仿宋"/>
          <w:sz w:val="32"/>
          <w:szCs w:val="32"/>
        </w:rPr>
        <w:t>15</w:t>
      </w:r>
      <w:r>
        <w:rPr>
          <w:rFonts w:hint="eastAsia" w:ascii="仿宋" w:hAnsi="仿宋"/>
          <w:sz w:val="32"/>
          <w:szCs w:val="32"/>
        </w:rPr>
        <w:t>公里的滨海生态景观廊道的生态连绵带，</w:t>
      </w:r>
      <w:r>
        <w:rPr>
          <w:rFonts w:ascii="仿宋" w:hAnsi="仿宋"/>
          <w:sz w:val="32"/>
          <w:szCs w:val="32"/>
        </w:rPr>
        <w:t>启动洛阳江下游两岸</w:t>
      </w:r>
      <w:r>
        <w:rPr>
          <w:rFonts w:hint="eastAsia" w:ascii="仿宋" w:hAnsi="仿宋"/>
          <w:sz w:val="32"/>
          <w:szCs w:val="32"/>
        </w:rPr>
        <w:t>（洛阳江大桥至泉州湾口）生态连绵带</w:t>
      </w:r>
      <w:r>
        <w:rPr>
          <w:rFonts w:ascii="仿宋" w:hAnsi="仿宋"/>
          <w:sz w:val="32"/>
          <w:szCs w:val="32"/>
        </w:rPr>
        <w:t>建设。</w:t>
      </w:r>
    </w:p>
    <w:p w14:paraId="7B0104BC">
      <w:pPr>
        <w:spacing w:line="540" w:lineRule="exact"/>
        <w:ind w:firstLine="643"/>
        <w:rPr>
          <w:rFonts w:ascii="仿宋" w:hAnsi="仿宋"/>
          <w:sz w:val="32"/>
          <w:szCs w:val="32"/>
        </w:rPr>
      </w:pPr>
      <w:r>
        <w:rPr>
          <w:rFonts w:hint="eastAsia" w:ascii="仿宋" w:hAnsi="仿宋"/>
          <w:b/>
          <w:sz w:val="32"/>
          <w:szCs w:val="32"/>
        </w:rPr>
        <w:t>城市景观连绵带聚点成线。</w:t>
      </w:r>
      <w:r>
        <w:rPr>
          <w:rFonts w:hint="eastAsia"/>
          <w:sz w:val="32"/>
          <w:szCs w:val="32"/>
        </w:rPr>
        <w:t>以城区水系沟渠沿线景观、山体裙边景观和城市道路沿线景观为主的线性景观带，连接城市景观节点，构建城市景观连绵带。</w:t>
      </w:r>
      <w:r>
        <w:rPr>
          <w:rFonts w:hint="eastAsia" w:ascii="仿宋" w:hAnsi="仿宋"/>
          <w:sz w:val="32"/>
          <w:szCs w:val="32"/>
        </w:rPr>
        <w:t>提升快速路、主干道及其两侧景观，全市打造</w:t>
      </w:r>
      <w:r>
        <w:rPr>
          <w:rFonts w:ascii="仿宋" w:hAnsi="仿宋"/>
          <w:sz w:val="32"/>
          <w:szCs w:val="32"/>
        </w:rPr>
        <w:t>24条长度不低于1公里的特色园林风情示范道路，各县（市）、泉州台商投资区至少完成3条特色风情路示范建设</w:t>
      </w:r>
      <w:r>
        <w:rPr>
          <w:rFonts w:hint="eastAsia" w:ascii="仿宋" w:hAnsi="仿宋"/>
          <w:sz w:val="32"/>
          <w:szCs w:val="32"/>
        </w:rPr>
        <w:t>，</w:t>
      </w:r>
      <w:r>
        <w:rPr>
          <w:rFonts w:ascii="仿宋" w:hAnsi="仿宋"/>
          <w:sz w:val="32"/>
          <w:szCs w:val="32"/>
        </w:rPr>
        <w:t>形成当地特色园林风情道路生态连绵带景观展示面。重点开展中心城区重要节点花化彩化150处以上，鼓励市民在阳台、窗台、露台绿化花化。到2025年，打造20个以上长度不低于500米的花漾街区，营造街区植物季相变化的花漾连绵四季体验。提升街道空间环境品质和公共服务能级，推动城市街道的“人性化”转型。各县（市、区）至少完成3个示范街区建设。全面提升城市景观连续性和集聚度，形成城市风情核心展示面。</w:t>
      </w:r>
    </w:p>
    <w:p w14:paraId="3C42D1EC">
      <w:pPr>
        <w:spacing w:line="540" w:lineRule="exact"/>
        <w:ind w:firstLine="643"/>
        <w:rPr>
          <w:rFonts w:ascii="仿宋" w:hAnsi="仿宋"/>
          <w:sz w:val="32"/>
          <w:szCs w:val="32"/>
        </w:rPr>
      </w:pPr>
      <w:r>
        <w:rPr>
          <w:rFonts w:hint="eastAsia" w:ascii="仿宋" w:hAnsi="仿宋"/>
          <w:b/>
          <w:bCs/>
          <w:sz w:val="32"/>
          <w:szCs w:val="32"/>
        </w:rPr>
        <w:t>提高园林绿化管养水平。</w:t>
      </w:r>
      <w:r>
        <w:rPr>
          <w:rFonts w:hint="eastAsia" w:ascii="仿宋" w:hAnsi="仿宋"/>
          <w:sz w:val="32"/>
          <w:szCs w:val="32"/>
        </w:rPr>
        <w:t>贯彻“三分建设、七分管理”的理念，实行园林绿地统一归口管理。加强县（市、区）绿化管理和专业技术队伍建设，提高园林应急处置能力和效率。推进“环卫、市政、园林”养护作业一体化运作，进一步提高园林绿地的专业化和精细化管理水平。</w:t>
      </w:r>
    </w:p>
    <w:p w14:paraId="743E4BA9">
      <w:pPr>
        <w:snapToGrid w:val="0"/>
        <w:spacing w:line="540" w:lineRule="exact"/>
        <w:ind w:firstLine="643"/>
        <w:outlineLvl w:val="2"/>
        <w:rPr>
          <w:rFonts w:ascii="楷体" w:hAnsi="楷体" w:eastAsia="楷体"/>
          <w:b/>
          <w:bCs/>
          <w:sz w:val="32"/>
          <w:szCs w:val="32"/>
        </w:rPr>
      </w:pPr>
      <w:bookmarkStart w:id="184" w:name="_Toc4648"/>
      <w:bookmarkStart w:id="185" w:name="_Toc15779"/>
      <w:bookmarkStart w:id="186" w:name="_Toc13972"/>
      <w:bookmarkStart w:id="187" w:name="_Toc28992"/>
      <w:bookmarkStart w:id="188" w:name="_Toc4511"/>
      <w:r>
        <w:rPr>
          <w:rFonts w:hint="eastAsia" w:ascii="楷体" w:hAnsi="楷体" w:eastAsia="楷体"/>
          <w:b/>
          <w:bCs/>
          <w:kern w:val="0"/>
          <w:sz w:val="32"/>
          <w:szCs w:val="32"/>
        </w:rPr>
        <w:t>（三）“</w:t>
      </w:r>
      <w:r>
        <w:rPr>
          <w:rFonts w:hint="eastAsia" w:ascii="楷体" w:hAnsi="楷体" w:eastAsia="楷体"/>
          <w:b/>
          <w:bCs/>
          <w:sz w:val="32"/>
          <w:szCs w:val="32"/>
        </w:rPr>
        <w:t>绿盈乡村</w:t>
      </w:r>
      <w:r>
        <w:rPr>
          <w:rFonts w:hint="eastAsia" w:ascii="楷体" w:hAnsi="楷体" w:eastAsia="楷体"/>
          <w:b/>
          <w:bCs/>
          <w:kern w:val="0"/>
          <w:sz w:val="32"/>
          <w:szCs w:val="32"/>
        </w:rPr>
        <w:t>”建设</w:t>
      </w:r>
      <w:bookmarkEnd w:id="184"/>
      <w:bookmarkEnd w:id="185"/>
      <w:bookmarkEnd w:id="186"/>
      <w:bookmarkEnd w:id="187"/>
      <w:bookmarkEnd w:id="188"/>
    </w:p>
    <w:p w14:paraId="1BAFABDC">
      <w:pPr>
        <w:spacing w:line="540" w:lineRule="exact"/>
        <w:ind w:firstLine="640"/>
        <w:rPr>
          <w:rFonts w:ascii="仿宋" w:hAnsi="仿宋"/>
          <w:sz w:val="32"/>
        </w:rPr>
      </w:pPr>
      <w:r>
        <w:rPr>
          <w:rFonts w:hint="eastAsia" w:ascii="仿宋" w:hAnsi="仿宋"/>
          <w:sz w:val="32"/>
        </w:rPr>
        <w:t>对照绿盈乡村建设指标体系，推进实施水土保持、乡镇农村污水设施建设、森林景观带建设、生态环境修复治理等一批提升工程，梯次推动村庄提升“绿化、绿韵、绿态、绿魂”，逐步提升乡村生态宜居环境。到</w:t>
      </w:r>
      <w:r>
        <w:rPr>
          <w:rFonts w:ascii="仿宋" w:hAnsi="仿宋"/>
          <w:sz w:val="32"/>
        </w:rPr>
        <w:t>2025</w:t>
      </w:r>
      <w:r>
        <w:rPr>
          <w:rFonts w:hint="eastAsia" w:ascii="仿宋" w:hAnsi="仿宋"/>
          <w:sz w:val="32"/>
        </w:rPr>
        <w:t>年，全市建</w:t>
      </w:r>
      <w:r>
        <w:rPr>
          <w:rFonts w:hint="eastAsia" w:ascii="仿宋" w:hAnsi="仿宋"/>
          <w:sz w:val="32"/>
          <w:szCs w:val="32"/>
        </w:rPr>
        <w:t>成绿</w:t>
      </w:r>
      <w:r>
        <w:rPr>
          <w:rFonts w:hint="eastAsia" w:ascii="仿宋" w:hAnsi="仿宋"/>
          <w:sz w:val="32"/>
        </w:rPr>
        <w:t>盈乡村占比</w:t>
      </w:r>
      <w:r>
        <w:rPr>
          <w:rFonts w:ascii="仿宋" w:hAnsi="仿宋"/>
          <w:sz w:val="32"/>
        </w:rPr>
        <w:t>达到</w:t>
      </w:r>
      <w:r>
        <w:rPr>
          <w:rFonts w:ascii="仿宋" w:hAnsi="仿宋"/>
          <w:sz w:val="32"/>
          <w:szCs w:val="32"/>
        </w:rPr>
        <w:t>80%</w:t>
      </w:r>
      <w:r>
        <w:rPr>
          <w:rFonts w:hint="eastAsia" w:ascii="仿宋" w:hAnsi="仿宋"/>
          <w:sz w:val="32"/>
          <w:szCs w:val="32"/>
        </w:rPr>
        <w:t>以上</w:t>
      </w:r>
      <w:r>
        <w:rPr>
          <w:rFonts w:hint="eastAsia" w:ascii="仿宋" w:hAnsi="仿宋"/>
          <w:sz w:val="32"/>
        </w:rPr>
        <w:t>。</w:t>
      </w:r>
    </w:p>
    <w:p w14:paraId="5E7EAD0F">
      <w:pPr>
        <w:pStyle w:val="3"/>
        <w:spacing w:line="540" w:lineRule="exact"/>
        <w:ind w:firstLine="643"/>
        <w:rPr>
          <w:rFonts w:ascii="黑体" w:hAnsi="黑体" w:eastAsia="黑体"/>
          <w:sz w:val="32"/>
        </w:rPr>
      </w:pPr>
      <w:bookmarkStart w:id="189" w:name="_Toc16420"/>
      <w:bookmarkStart w:id="190" w:name="_Toc6656"/>
      <w:bookmarkStart w:id="191" w:name="_Toc7054"/>
      <w:bookmarkStart w:id="192" w:name="_Toc16007"/>
      <w:bookmarkStart w:id="193" w:name="_Toc2182"/>
      <w:r>
        <w:rPr>
          <w:rFonts w:hint="eastAsia" w:ascii="黑体" w:hAnsi="黑体" w:eastAsia="黑体"/>
          <w:kern w:val="0"/>
          <w:sz w:val="32"/>
        </w:rPr>
        <w:t>三、</w:t>
      </w:r>
      <w:r>
        <w:rPr>
          <w:rFonts w:hint="eastAsia" w:ascii="黑体" w:hAnsi="黑体" w:eastAsia="黑体"/>
          <w:sz w:val="32"/>
        </w:rPr>
        <w:t>居住品质提升</w:t>
      </w:r>
      <w:bookmarkEnd w:id="189"/>
      <w:bookmarkEnd w:id="190"/>
      <w:bookmarkEnd w:id="191"/>
      <w:bookmarkEnd w:id="192"/>
      <w:bookmarkEnd w:id="193"/>
    </w:p>
    <w:p w14:paraId="40740FA4">
      <w:pPr>
        <w:spacing w:line="540" w:lineRule="exact"/>
        <w:ind w:firstLine="640"/>
        <w:rPr>
          <w:sz w:val="32"/>
          <w:szCs w:val="32"/>
        </w:rPr>
      </w:pPr>
      <w:r>
        <w:rPr>
          <w:rFonts w:hint="eastAsia"/>
          <w:sz w:val="32"/>
          <w:szCs w:val="32"/>
        </w:rPr>
        <w:t>以老旧小（片）区改造和片区更新为抓手，加强城市建筑风貌管理，进一步推动“完整社区”构建，形成以点带线、以线织面的城市更新格局。推进泉州古城风貌提质，提升新区城市形象，加强农村宅基地审批和提高农村住宅建设管理水平，城乡居住品质展现出具有泉州特色的高颜值和运用模式。</w:t>
      </w:r>
    </w:p>
    <w:p w14:paraId="3895617F">
      <w:pPr>
        <w:spacing w:line="540" w:lineRule="exact"/>
        <w:ind w:firstLine="643"/>
        <w:outlineLvl w:val="2"/>
        <w:rPr>
          <w:b/>
          <w:bCs/>
          <w:sz w:val="32"/>
          <w:szCs w:val="32"/>
        </w:rPr>
      </w:pPr>
      <w:bookmarkStart w:id="194" w:name="_Toc28390"/>
      <w:r>
        <w:rPr>
          <w:rFonts w:hint="eastAsia"/>
          <w:b/>
          <w:bCs/>
          <w:sz w:val="32"/>
          <w:szCs w:val="32"/>
        </w:rPr>
        <w:t>（一）城镇老旧小（片）区改造</w:t>
      </w:r>
      <w:bookmarkEnd w:id="194"/>
    </w:p>
    <w:p w14:paraId="555AA98E">
      <w:pPr>
        <w:spacing w:line="540" w:lineRule="exact"/>
        <w:ind w:firstLine="643"/>
        <w:rPr>
          <w:rFonts w:ascii="Times New Roman" w:hAnsi="Times New Roman"/>
          <w:sz w:val="32"/>
          <w:szCs w:val="32"/>
        </w:rPr>
      </w:pPr>
      <w:r>
        <w:rPr>
          <w:rFonts w:hint="eastAsia"/>
          <w:b/>
          <w:bCs/>
          <w:sz w:val="32"/>
          <w:szCs w:val="32"/>
        </w:rPr>
        <w:t>推进城镇老旧小区改造。</w:t>
      </w:r>
      <w:r>
        <w:rPr>
          <w:rFonts w:hint="eastAsia"/>
          <w:sz w:val="32"/>
          <w:szCs w:val="32"/>
        </w:rPr>
        <w:t>以解决民生“急难愁盼”问题为突破口，坚持民生优先、注重特色、建管并重</w:t>
      </w:r>
      <w:r>
        <w:rPr>
          <w:rFonts w:hint="eastAsia" w:ascii="Times New Roman" w:hAnsi="Times New Roman"/>
          <w:sz w:val="32"/>
          <w:szCs w:val="32"/>
        </w:rPr>
        <w:t>，全面完成全市</w:t>
      </w:r>
      <w:r>
        <w:rPr>
          <w:rFonts w:ascii="Times New Roman" w:hAnsi="Times New Roman"/>
          <w:sz w:val="32"/>
          <w:szCs w:val="32"/>
        </w:rPr>
        <w:t>2000</w:t>
      </w:r>
      <w:r>
        <w:rPr>
          <w:rFonts w:hint="eastAsia" w:ascii="Times New Roman" w:hAnsi="Times New Roman"/>
          <w:sz w:val="32"/>
          <w:szCs w:val="32"/>
        </w:rPr>
        <w:t>年前建成的老旧小区改造（剩余未完成的共</w:t>
      </w:r>
      <w:r>
        <w:rPr>
          <w:rFonts w:ascii="Times New Roman" w:hAnsi="Times New Roman"/>
          <w:sz w:val="32"/>
          <w:szCs w:val="32"/>
        </w:rPr>
        <w:t>660</w:t>
      </w:r>
      <w:r>
        <w:rPr>
          <w:rFonts w:hint="eastAsia" w:ascii="Times New Roman" w:hAnsi="Times New Roman"/>
          <w:sz w:val="32"/>
          <w:szCs w:val="32"/>
        </w:rPr>
        <w:t>个，其中市区</w:t>
      </w:r>
      <w:r>
        <w:rPr>
          <w:rFonts w:ascii="Times New Roman" w:hAnsi="Times New Roman"/>
          <w:sz w:val="32"/>
          <w:szCs w:val="32"/>
        </w:rPr>
        <w:t>332</w:t>
      </w:r>
      <w:r>
        <w:rPr>
          <w:rFonts w:hint="eastAsia" w:ascii="Times New Roman" w:hAnsi="Times New Roman"/>
          <w:sz w:val="32"/>
          <w:szCs w:val="32"/>
        </w:rPr>
        <w:t>个），同时开展</w:t>
      </w:r>
      <w:r>
        <w:rPr>
          <w:rFonts w:ascii="Times New Roman" w:hAnsi="Times New Roman"/>
          <w:sz w:val="32"/>
          <w:szCs w:val="32"/>
        </w:rPr>
        <w:t>2000</w:t>
      </w:r>
      <w:r>
        <w:rPr>
          <w:rFonts w:hint="eastAsia" w:ascii="Times New Roman" w:hAnsi="Times New Roman"/>
          <w:sz w:val="32"/>
          <w:szCs w:val="32"/>
        </w:rPr>
        <w:t>—</w:t>
      </w:r>
      <w:r>
        <w:rPr>
          <w:rFonts w:ascii="Times New Roman" w:hAnsi="Times New Roman"/>
          <w:sz w:val="32"/>
          <w:szCs w:val="32"/>
        </w:rPr>
        <w:t>2010</w:t>
      </w:r>
      <w:r>
        <w:rPr>
          <w:rFonts w:hint="eastAsia" w:ascii="Times New Roman" w:hAnsi="Times New Roman"/>
          <w:sz w:val="32"/>
          <w:szCs w:val="32"/>
        </w:rPr>
        <w:t>年间建成的老旧小区摸底工作，并逐步开展改造工作。重点解决老旧小区安全隐患多、建筑物破损、设施设备缺失、环境条件差及管理服务机制不健全等问题，努力实现住有所居。</w:t>
      </w:r>
    </w:p>
    <w:p w14:paraId="07607394">
      <w:pPr>
        <w:spacing w:line="540" w:lineRule="exact"/>
        <w:ind w:firstLine="643"/>
        <w:rPr>
          <w:rFonts w:ascii="Times New Roman" w:hAnsi="Times New Roman"/>
          <w:sz w:val="32"/>
          <w:szCs w:val="32"/>
        </w:rPr>
      </w:pPr>
      <w:r>
        <w:rPr>
          <w:rFonts w:hint="eastAsia" w:ascii="Times New Roman" w:hAnsi="Times New Roman"/>
          <w:b/>
          <w:bCs/>
          <w:sz w:val="32"/>
          <w:szCs w:val="32"/>
        </w:rPr>
        <w:t>推动城镇老旧片区改造。</w:t>
      </w:r>
      <w:r>
        <w:rPr>
          <w:rFonts w:hint="eastAsia" w:ascii="Times New Roman" w:hAnsi="Times New Roman"/>
          <w:sz w:val="32"/>
          <w:szCs w:val="32"/>
        </w:rPr>
        <w:t>整合打包市区相对集中或距离较近的老旧小区，以“完整社区”为目标，“六有、五达标、三完善、一公约”为标准，街区网格为界，通过拆墙并院、打通通道、共享配套等措施，打造丰泽—后坂片区、铭湖片区等</w:t>
      </w:r>
      <w:r>
        <w:rPr>
          <w:rFonts w:ascii="Times New Roman" w:hAnsi="Times New Roman"/>
          <w:sz w:val="32"/>
          <w:szCs w:val="32"/>
        </w:rPr>
        <w:t>8</w:t>
      </w:r>
      <w:r>
        <w:rPr>
          <w:rFonts w:hint="eastAsia" w:ascii="Times New Roman" w:hAnsi="Times New Roman"/>
          <w:sz w:val="32"/>
          <w:szCs w:val="32"/>
        </w:rPr>
        <w:t>个老旧片区改造样板，各县（市、区）完成不少于</w:t>
      </w:r>
      <w:r>
        <w:rPr>
          <w:rFonts w:ascii="Times New Roman" w:hAnsi="Times New Roman"/>
          <w:sz w:val="32"/>
          <w:szCs w:val="32"/>
        </w:rPr>
        <w:t>1</w:t>
      </w:r>
      <w:r>
        <w:rPr>
          <w:rFonts w:hint="eastAsia" w:ascii="Times New Roman" w:hAnsi="Times New Roman"/>
          <w:sz w:val="32"/>
          <w:szCs w:val="32"/>
        </w:rPr>
        <w:t>个老旧片区改造提升项目。</w:t>
      </w:r>
    </w:p>
    <w:p w14:paraId="26929B95">
      <w:pPr>
        <w:spacing w:line="540" w:lineRule="exact"/>
        <w:ind w:firstLine="643"/>
        <w:rPr>
          <w:rFonts w:ascii="Times New Roman" w:hAnsi="Times New Roman"/>
          <w:sz w:val="32"/>
          <w:szCs w:val="32"/>
        </w:rPr>
      </w:pPr>
      <w:r>
        <w:rPr>
          <w:rFonts w:hint="eastAsia" w:ascii="Times New Roman" w:hAnsi="Times New Roman"/>
          <w:b/>
          <w:bCs/>
          <w:sz w:val="32"/>
          <w:szCs w:val="32"/>
        </w:rPr>
        <w:t>推进绿色社区建设。</w:t>
      </w:r>
      <w:r>
        <w:rPr>
          <w:rFonts w:hint="eastAsia" w:ascii="Times New Roman" w:hAnsi="Times New Roman"/>
          <w:sz w:val="32"/>
          <w:szCs w:val="32"/>
        </w:rPr>
        <w:t>践行绿色社区建设理念，将绿色发展理念贯穿社区设计、建设、管理和服务等活动的全过程。到</w:t>
      </w:r>
      <w:r>
        <w:rPr>
          <w:rFonts w:ascii="Times New Roman" w:hAnsi="Times New Roman"/>
          <w:sz w:val="32"/>
          <w:szCs w:val="32"/>
        </w:rPr>
        <w:t>2025</w:t>
      </w:r>
      <w:r>
        <w:rPr>
          <w:rFonts w:hint="eastAsia" w:ascii="Times New Roman" w:hAnsi="Times New Roman"/>
          <w:sz w:val="32"/>
          <w:szCs w:val="32"/>
        </w:rPr>
        <w:t>年，全市域</w:t>
      </w:r>
      <w:r>
        <w:rPr>
          <w:rFonts w:ascii="Times New Roman" w:hAnsi="Times New Roman"/>
          <w:sz w:val="32"/>
          <w:szCs w:val="32"/>
        </w:rPr>
        <w:t>60%</w:t>
      </w:r>
      <w:r>
        <w:rPr>
          <w:rFonts w:hint="eastAsia" w:ascii="Times New Roman" w:hAnsi="Times New Roman"/>
          <w:sz w:val="32"/>
          <w:szCs w:val="32"/>
        </w:rPr>
        <w:t>以上社区达到绿色社区创建要求。</w:t>
      </w:r>
    </w:p>
    <w:p w14:paraId="3F5BFE16">
      <w:pPr>
        <w:spacing w:line="540" w:lineRule="exact"/>
        <w:ind w:firstLine="643"/>
        <w:rPr>
          <w:rFonts w:ascii="Times New Roman" w:hAnsi="Times New Roman"/>
          <w:sz w:val="32"/>
          <w:szCs w:val="32"/>
        </w:rPr>
      </w:pPr>
      <w:r>
        <w:rPr>
          <w:rFonts w:hint="eastAsia" w:ascii="Times New Roman" w:hAnsi="Times New Roman"/>
          <w:b/>
          <w:bCs/>
          <w:sz w:val="32"/>
          <w:szCs w:val="32"/>
        </w:rPr>
        <w:t>打造活力街区。</w:t>
      </w:r>
      <w:r>
        <w:rPr>
          <w:rFonts w:hint="eastAsia" w:ascii="Times New Roman" w:hAnsi="Times New Roman"/>
          <w:sz w:val="32"/>
          <w:szCs w:val="32"/>
        </w:rPr>
        <w:t>践行精细化、连片化的街区更新理念，将独立零散、线性形式分布的单个老旧小区，以街、巷为“线”串联改造，主要实施拆墙插绿、顺畅通道等项目，塑造休闲空间，提升街巷景观。有条件的街区可引进旅游、民宿等业态，打造传统街区、特色街区。各县（市、区）至少建成</w:t>
      </w:r>
      <w:r>
        <w:rPr>
          <w:rFonts w:ascii="Times New Roman" w:hAnsi="Times New Roman"/>
          <w:sz w:val="32"/>
          <w:szCs w:val="32"/>
        </w:rPr>
        <w:t>1</w:t>
      </w:r>
      <w:r>
        <w:rPr>
          <w:rFonts w:hint="eastAsia" w:ascii="Times New Roman" w:hAnsi="Times New Roman"/>
          <w:sz w:val="32"/>
          <w:szCs w:val="32"/>
        </w:rPr>
        <w:t>个街区更新样板。</w:t>
      </w:r>
    </w:p>
    <w:p w14:paraId="2D7A829D">
      <w:pPr>
        <w:spacing w:line="540" w:lineRule="exact"/>
        <w:ind w:firstLine="643"/>
        <w:outlineLvl w:val="2"/>
        <w:rPr>
          <w:b/>
          <w:bCs/>
          <w:sz w:val="32"/>
          <w:szCs w:val="32"/>
        </w:rPr>
      </w:pPr>
      <w:bookmarkStart w:id="195" w:name="_Toc31810"/>
      <w:r>
        <w:rPr>
          <w:rFonts w:hint="eastAsia"/>
          <w:b/>
          <w:bCs/>
          <w:sz w:val="32"/>
          <w:szCs w:val="32"/>
        </w:rPr>
        <w:t>（二）推动城市片区更新</w:t>
      </w:r>
      <w:bookmarkEnd w:id="195"/>
    </w:p>
    <w:p w14:paraId="7E97022B">
      <w:pPr>
        <w:spacing w:line="540" w:lineRule="exact"/>
        <w:ind w:firstLine="640"/>
        <w:rPr>
          <w:sz w:val="32"/>
          <w:szCs w:val="32"/>
        </w:rPr>
      </w:pPr>
      <w:r>
        <w:rPr>
          <w:rFonts w:hint="eastAsia"/>
          <w:sz w:val="32"/>
          <w:szCs w:val="32"/>
        </w:rPr>
        <w:t>按照“规划统筹、分类指导、连片策划，全面改造与微改造相结合”，将</w:t>
      </w:r>
      <w:r>
        <w:rPr>
          <w:rFonts w:hint="eastAsia" w:ascii="Times New Roman" w:hAnsi="Times New Roman"/>
          <w:sz w:val="32"/>
          <w:szCs w:val="32"/>
        </w:rPr>
        <w:t>绿色低碳、节能环保要求融入城市更新、老旧小区改造，统筹推进全市</w:t>
      </w:r>
      <w:r>
        <w:rPr>
          <w:rFonts w:ascii="Times New Roman" w:hAnsi="Times New Roman"/>
          <w:sz w:val="32"/>
          <w:szCs w:val="32"/>
        </w:rPr>
        <w:t>32</w:t>
      </w:r>
      <w:r>
        <w:rPr>
          <w:rFonts w:hint="eastAsia" w:ascii="Times New Roman" w:hAnsi="Times New Roman"/>
          <w:sz w:val="32"/>
          <w:szCs w:val="32"/>
        </w:rPr>
        <w:t>个片区的有机更新、片区滚动开发，提升综合承载力和创新要素集聚力。以“一湾两江四岸”为重点建设“海丝新区”示范区，加速优质资源向湾区集聚，继续推进北峰西华洋、北峰组团东片区、东海后埔、江南繁荣、站前大道西侧、城东南埔山等</w:t>
      </w:r>
      <w:r>
        <w:rPr>
          <w:rFonts w:ascii="Times New Roman" w:hAnsi="Times New Roman"/>
          <w:sz w:val="32"/>
          <w:szCs w:val="32"/>
        </w:rPr>
        <w:t>12</w:t>
      </w:r>
      <w:r>
        <w:rPr>
          <w:rFonts w:hint="eastAsia" w:ascii="Times New Roman" w:hAnsi="Times New Roman"/>
          <w:sz w:val="32"/>
          <w:szCs w:val="32"/>
        </w:rPr>
        <w:t>个片区更新项目，完成征迁工作及安居工程建设，结合新型产业，推动产城融合，使之成为中心城区各个组团新的经济增长点。启动东海云山、金崎、后渚莲垵、城东西福、金凤屿等</w:t>
      </w:r>
      <w:r>
        <w:rPr>
          <w:rFonts w:ascii="Times New Roman" w:hAnsi="Times New Roman"/>
          <w:sz w:val="32"/>
          <w:szCs w:val="32"/>
        </w:rPr>
        <w:t>9</w:t>
      </w:r>
      <w:r>
        <w:rPr>
          <w:rFonts w:hint="eastAsia" w:ascii="Times New Roman" w:hAnsi="Times New Roman"/>
          <w:sz w:val="32"/>
          <w:szCs w:val="32"/>
        </w:rPr>
        <w:t>个片区更新，开展前期规划策划，陆续推进更新改造，提高城市形象。到2</w:t>
      </w:r>
      <w:r>
        <w:rPr>
          <w:rFonts w:ascii="Times New Roman" w:hAnsi="Times New Roman"/>
          <w:sz w:val="32"/>
          <w:szCs w:val="32"/>
        </w:rPr>
        <w:t>025</w:t>
      </w:r>
      <w:r>
        <w:rPr>
          <w:rFonts w:hint="eastAsia" w:ascii="Times New Roman" w:hAnsi="Times New Roman"/>
          <w:sz w:val="32"/>
          <w:szCs w:val="32"/>
        </w:rPr>
        <w:t>年，江南、北峰、东海城东、洛江阳江、泉州台商投资区海</w:t>
      </w:r>
      <w:r>
        <w:rPr>
          <w:rFonts w:hint="eastAsia"/>
          <w:sz w:val="32"/>
          <w:szCs w:val="32"/>
        </w:rPr>
        <w:t>江、晋江晋东等六大重点区域基础设施基本建成。有条件的县（市、区）启动县城、镇区的棚户区、农贸市场改造，推动城乡同步更新。</w:t>
      </w:r>
    </w:p>
    <w:p w14:paraId="10694983">
      <w:pPr>
        <w:snapToGrid w:val="0"/>
        <w:spacing w:line="540" w:lineRule="exact"/>
        <w:ind w:firstLine="643"/>
        <w:outlineLvl w:val="2"/>
        <w:rPr>
          <w:rFonts w:ascii="楷体" w:hAnsi="楷体" w:eastAsia="楷体"/>
          <w:b/>
          <w:bCs/>
          <w:sz w:val="32"/>
          <w:szCs w:val="32"/>
        </w:rPr>
      </w:pPr>
      <w:bookmarkStart w:id="196" w:name="_Toc26784"/>
      <w:bookmarkStart w:id="197" w:name="_Toc28063"/>
      <w:bookmarkStart w:id="198" w:name="_Toc4597"/>
      <w:bookmarkStart w:id="199" w:name="_Toc10085"/>
      <w:bookmarkStart w:id="200" w:name="_Toc16566"/>
      <w:r>
        <w:rPr>
          <w:rFonts w:hint="eastAsia" w:ascii="楷体" w:hAnsi="楷体" w:eastAsia="楷体"/>
          <w:b/>
          <w:bCs/>
          <w:sz w:val="32"/>
          <w:szCs w:val="32"/>
        </w:rPr>
        <w:t>（三）新区城市形象提升</w:t>
      </w:r>
      <w:bookmarkEnd w:id="196"/>
      <w:bookmarkEnd w:id="197"/>
      <w:bookmarkEnd w:id="198"/>
      <w:bookmarkEnd w:id="199"/>
      <w:bookmarkEnd w:id="200"/>
    </w:p>
    <w:p w14:paraId="3A60844F">
      <w:pPr>
        <w:snapToGrid w:val="0"/>
        <w:spacing w:line="540" w:lineRule="exact"/>
        <w:ind w:firstLine="640"/>
        <w:rPr>
          <w:rFonts w:ascii="仿宋" w:hAnsi="仿宋"/>
          <w:kern w:val="0"/>
          <w:sz w:val="32"/>
          <w:szCs w:val="32"/>
        </w:rPr>
      </w:pPr>
      <w:r>
        <w:rPr>
          <w:rFonts w:hint="eastAsia" w:ascii="仿宋" w:hAnsi="仿宋"/>
          <w:kern w:val="0"/>
          <w:sz w:val="32"/>
          <w:szCs w:val="32"/>
        </w:rPr>
        <w:t>以泉州湾为核心、东海为主中心，建设“两江一湾”海丝新区。完善快速路系统和跨江通道，推动一重环湾快速路、东海通道、百崎通道建设，打通组团间交通瓶颈；完善东海片区主次干道，加快东滨大道、经八路、经十四路等建设。高标准建设绿色生态新区，推动森林公园提升、东海陈古山公园、滨海公园品质提升、山线福道三期工程、泉州山线至滨海公园等项目建设。坚持“留改拆”并举，推动片区有机更新，启动东海后埔、金崎、云山、后渚莲垵等片区开发建设，打造产城融合、</w:t>
      </w:r>
      <w:r>
        <w:rPr>
          <w:rFonts w:ascii="仿宋" w:hAnsi="仿宋"/>
          <w:kern w:val="0"/>
          <w:sz w:val="32"/>
          <w:szCs w:val="32"/>
        </w:rPr>
        <w:t>高品质</w:t>
      </w:r>
      <w:r>
        <w:rPr>
          <w:rFonts w:hint="eastAsia" w:ascii="仿宋" w:hAnsi="仿宋"/>
          <w:kern w:val="0"/>
          <w:sz w:val="32"/>
          <w:szCs w:val="32"/>
        </w:rPr>
        <w:t>的</w:t>
      </w:r>
      <w:r>
        <w:rPr>
          <w:rFonts w:ascii="仿宋" w:hAnsi="仿宋"/>
          <w:kern w:val="0"/>
          <w:sz w:val="32"/>
          <w:szCs w:val="32"/>
        </w:rPr>
        <w:t>城市单</w:t>
      </w:r>
      <w:r>
        <w:rPr>
          <w:rFonts w:hint="eastAsia" w:ascii="仿宋" w:hAnsi="仿宋"/>
          <w:kern w:val="0"/>
          <w:sz w:val="32"/>
          <w:szCs w:val="32"/>
        </w:rPr>
        <w:t>元。结合片区更新，配套建设东梅排洪渠、彩虹渠等内河水系，继续推进法石排涝泵站工程，全面提升防洪排涝能力。持续推进供、排水等市政管网设施建设，加快东海污水厂扩建工程建设和尾水再生利用工程，完善市政基础设施。依托高标准的基础设施建设，助力东海片区打造成为泉州未来形象的城市核心，带动新区集聚发展。到</w:t>
      </w:r>
      <w:r>
        <w:rPr>
          <w:rFonts w:ascii="仿宋" w:hAnsi="仿宋"/>
          <w:kern w:val="0"/>
          <w:sz w:val="32"/>
          <w:szCs w:val="32"/>
        </w:rPr>
        <w:t>2025</w:t>
      </w:r>
      <w:r>
        <w:rPr>
          <w:rFonts w:hint="eastAsia" w:ascii="仿宋" w:hAnsi="仿宋"/>
          <w:kern w:val="0"/>
          <w:sz w:val="32"/>
          <w:szCs w:val="32"/>
        </w:rPr>
        <w:t>年，东海“海丝总部门户”功能基本形成，基础设施建设适度超前。</w:t>
      </w:r>
    </w:p>
    <w:p w14:paraId="4C25B4F9">
      <w:pPr>
        <w:snapToGrid w:val="0"/>
        <w:spacing w:line="540" w:lineRule="exact"/>
        <w:ind w:firstLine="640"/>
        <w:rPr>
          <w:rFonts w:hint="eastAsia" w:ascii="仿宋" w:hAnsi="仿宋"/>
          <w:kern w:val="0"/>
          <w:sz w:val="32"/>
          <w:szCs w:val="32"/>
        </w:rPr>
      </w:pPr>
    </w:p>
    <w:p w14:paraId="58040B11">
      <w:pPr>
        <w:snapToGrid w:val="0"/>
        <w:spacing w:line="540" w:lineRule="exact"/>
        <w:ind w:firstLine="643"/>
        <w:outlineLvl w:val="2"/>
        <w:rPr>
          <w:rFonts w:ascii="楷体" w:hAnsi="楷体" w:eastAsia="楷体"/>
          <w:b/>
          <w:bCs/>
          <w:sz w:val="32"/>
          <w:szCs w:val="32"/>
        </w:rPr>
      </w:pPr>
      <w:bookmarkStart w:id="201" w:name="_Toc9177"/>
      <w:bookmarkStart w:id="202" w:name="_Toc14197"/>
      <w:bookmarkStart w:id="203" w:name="_Toc19051"/>
      <w:bookmarkStart w:id="204" w:name="_Toc3705"/>
      <w:bookmarkStart w:id="205" w:name="_Toc26746"/>
      <w:r>
        <w:rPr>
          <w:rFonts w:hint="eastAsia" w:ascii="楷体" w:hAnsi="楷体" w:eastAsia="楷体"/>
          <w:b/>
          <w:bCs/>
          <w:kern w:val="0"/>
          <w:sz w:val="32"/>
          <w:szCs w:val="32"/>
        </w:rPr>
        <w:t>（四）</w:t>
      </w:r>
      <w:r>
        <w:rPr>
          <w:rFonts w:hint="eastAsia" w:ascii="楷体" w:hAnsi="楷体" w:eastAsia="楷体"/>
          <w:b/>
          <w:bCs/>
          <w:sz w:val="32"/>
          <w:szCs w:val="32"/>
        </w:rPr>
        <w:t>古城风貌保护提质</w:t>
      </w:r>
      <w:bookmarkEnd w:id="201"/>
      <w:bookmarkEnd w:id="202"/>
      <w:bookmarkEnd w:id="203"/>
      <w:bookmarkEnd w:id="204"/>
      <w:bookmarkEnd w:id="205"/>
    </w:p>
    <w:p w14:paraId="7765D197">
      <w:pPr>
        <w:spacing w:line="540" w:lineRule="exact"/>
        <w:ind w:firstLine="640"/>
        <w:rPr>
          <w:rFonts w:ascii="仿宋" w:hAnsi="仿宋"/>
          <w:kern w:val="0"/>
          <w:sz w:val="32"/>
          <w:szCs w:val="32"/>
        </w:rPr>
      </w:pPr>
      <w:r>
        <w:rPr>
          <w:rFonts w:hint="eastAsia" w:ascii="仿宋" w:hAnsi="仿宋"/>
          <w:kern w:val="0"/>
          <w:sz w:val="32"/>
          <w:szCs w:val="32"/>
        </w:rPr>
        <w:t>以“世界的古城，活着的古城”为引领，提升古城风貌品质。修缮古城重点文物保护单位、历史建筑，保护古城文化的空间载体。开展背街小巷环境整治，实施市政道路综合管线整治、骑楼建筑结构加固、风貌建筑立面修缮，提升古城水环境质量。到</w:t>
      </w:r>
      <w:r>
        <w:rPr>
          <w:rFonts w:ascii="仿宋" w:hAnsi="仿宋"/>
          <w:kern w:val="0"/>
          <w:sz w:val="32"/>
          <w:szCs w:val="32"/>
        </w:rPr>
        <w:t>2025年，古城西街片区、文庙</w:t>
      </w:r>
      <w:r>
        <w:rPr>
          <w:rFonts w:hint="eastAsia" w:ascii="仿宋" w:hAnsi="仿宋"/>
          <w:kern w:val="0"/>
          <w:sz w:val="32"/>
          <w:szCs w:val="32"/>
        </w:rPr>
        <w:t>（</w:t>
      </w:r>
      <w:r>
        <w:rPr>
          <w:rFonts w:ascii="仿宋" w:hAnsi="仿宋"/>
          <w:kern w:val="0"/>
          <w:sz w:val="32"/>
          <w:szCs w:val="32"/>
        </w:rPr>
        <w:t>后城</w:t>
      </w:r>
      <w:r>
        <w:rPr>
          <w:rFonts w:hint="eastAsia" w:ascii="仿宋" w:hAnsi="仿宋"/>
          <w:kern w:val="0"/>
          <w:sz w:val="32"/>
          <w:szCs w:val="32"/>
        </w:rPr>
        <w:t>）片区、城南片区、中山路</w:t>
      </w:r>
      <w:r>
        <w:rPr>
          <w:rFonts w:ascii="仿宋" w:hAnsi="仿宋"/>
          <w:kern w:val="0"/>
          <w:sz w:val="32"/>
          <w:szCs w:val="32"/>
        </w:rPr>
        <w:t>历史文化街区“三片一轴”整治提升全部完成，创建世界遗产典范城市。</w:t>
      </w:r>
    </w:p>
    <w:p w14:paraId="490C51FC">
      <w:pPr>
        <w:spacing w:line="596" w:lineRule="exact"/>
        <w:ind w:firstLine="0" w:firstLineChars="0"/>
        <w:jc w:val="center"/>
        <w:rPr>
          <w:rFonts w:ascii="黑体" w:hAnsi="黑体" w:eastAsia="黑体" w:cs="黑体"/>
          <w:kern w:val="0"/>
          <w:szCs w:val="28"/>
        </w:rPr>
      </w:pPr>
      <w:r>
        <w:rPr>
          <w:rFonts w:hint="eastAsia" w:ascii="黑体" w:hAnsi="黑体" w:eastAsia="黑体" w:cs="黑体"/>
          <w:kern w:val="0"/>
          <w:szCs w:val="28"/>
        </w:rPr>
        <w:t>专栏</w:t>
      </w:r>
      <w:r>
        <w:rPr>
          <w:rFonts w:ascii="黑体" w:hAnsi="黑体" w:eastAsia="黑体" w:cs="黑体"/>
          <w:kern w:val="0"/>
          <w:szCs w:val="28"/>
        </w:rPr>
        <w:t>3：居住品质提升工程</w:t>
      </w:r>
    </w:p>
    <w:tbl>
      <w:tblPr>
        <w:tblStyle w:val="2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2A4A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tcPr>
          <w:p w14:paraId="7677CC85">
            <w:pPr>
              <w:widowControl/>
              <w:snapToGrid w:val="0"/>
              <w:spacing w:before="197" w:beforeLines="50" w:line="300" w:lineRule="auto"/>
              <w:ind w:firstLine="562"/>
              <w:rPr>
                <w:rFonts w:ascii="仿宋" w:hAnsi="仿宋" w:cs="宋体"/>
                <w:bCs/>
                <w:kern w:val="0"/>
                <w:szCs w:val="28"/>
              </w:rPr>
            </w:pPr>
            <w:r>
              <w:rPr>
                <w:rFonts w:ascii="仿宋" w:hAnsi="仿宋" w:cs="宋体"/>
                <w:b/>
                <w:kern w:val="0"/>
                <w:szCs w:val="28"/>
              </w:rPr>
              <w:t>1.老旧小区改造：</w:t>
            </w:r>
            <w:r>
              <w:rPr>
                <w:rFonts w:hint="eastAsia" w:ascii="仿宋" w:hAnsi="仿宋" w:cs="宋体"/>
                <w:bCs/>
                <w:kern w:val="0"/>
                <w:szCs w:val="28"/>
              </w:rPr>
              <w:t>推进鲤城、丰泽、洛江等县（市、区）</w:t>
            </w:r>
            <w:r>
              <w:rPr>
                <w:rFonts w:ascii="仿宋" w:hAnsi="仿宋" w:cs="宋体"/>
                <w:bCs/>
                <w:kern w:val="0"/>
                <w:szCs w:val="28"/>
              </w:rPr>
              <w:t>2000年</w:t>
            </w:r>
            <w:r>
              <w:rPr>
                <w:rFonts w:hint="eastAsia" w:ascii="仿宋" w:hAnsi="仿宋" w:cs="宋体"/>
                <w:bCs/>
                <w:kern w:val="0"/>
                <w:szCs w:val="28"/>
              </w:rPr>
              <w:t>以</w:t>
            </w:r>
            <w:r>
              <w:rPr>
                <w:rFonts w:ascii="仿宋" w:hAnsi="仿宋" w:cs="宋体"/>
                <w:bCs/>
                <w:kern w:val="0"/>
                <w:szCs w:val="28"/>
              </w:rPr>
              <w:t>前建成的老旧小区</w:t>
            </w:r>
            <w:r>
              <w:rPr>
                <w:rFonts w:hint="eastAsia" w:ascii="仿宋" w:hAnsi="仿宋" w:cs="宋体"/>
                <w:bCs/>
                <w:kern w:val="0"/>
                <w:szCs w:val="28"/>
              </w:rPr>
              <w:t>改造</w:t>
            </w:r>
            <w:r>
              <w:rPr>
                <w:rFonts w:ascii="仿宋" w:hAnsi="仿宋" w:cs="宋体"/>
                <w:bCs/>
                <w:kern w:val="0"/>
                <w:szCs w:val="28"/>
              </w:rPr>
              <w:t>共</w:t>
            </w:r>
            <w:r>
              <w:rPr>
                <w:rFonts w:hint="eastAsia" w:ascii="仿宋" w:hAnsi="仿宋" w:cs="宋体"/>
                <w:bCs/>
                <w:kern w:val="0"/>
                <w:szCs w:val="28"/>
              </w:rPr>
              <w:t>660</w:t>
            </w:r>
            <w:r>
              <w:rPr>
                <w:rFonts w:ascii="仿宋" w:hAnsi="仿宋" w:cs="宋体"/>
                <w:bCs/>
                <w:kern w:val="0"/>
                <w:szCs w:val="28"/>
              </w:rPr>
              <w:t>个。</w:t>
            </w:r>
          </w:p>
          <w:p w14:paraId="728E9282">
            <w:pPr>
              <w:widowControl/>
              <w:snapToGrid w:val="0"/>
              <w:spacing w:line="300" w:lineRule="auto"/>
              <w:ind w:firstLine="562"/>
              <w:rPr>
                <w:rFonts w:ascii="仿宋" w:hAnsi="仿宋" w:cs="宋体"/>
                <w:bCs/>
                <w:kern w:val="0"/>
                <w:szCs w:val="28"/>
              </w:rPr>
            </w:pPr>
            <w:r>
              <w:rPr>
                <w:rFonts w:ascii="仿宋" w:hAnsi="仿宋" w:cs="宋体"/>
                <w:b/>
                <w:kern w:val="0"/>
                <w:szCs w:val="28"/>
              </w:rPr>
              <w:t>2.</w:t>
            </w:r>
            <w:r>
              <w:rPr>
                <w:rFonts w:hint="eastAsia" w:ascii="仿宋" w:hAnsi="仿宋" w:cs="宋体"/>
                <w:b/>
                <w:kern w:val="0"/>
                <w:szCs w:val="28"/>
              </w:rPr>
              <w:t>老旧片区改造</w:t>
            </w:r>
            <w:r>
              <w:rPr>
                <w:rFonts w:ascii="仿宋" w:hAnsi="仿宋" w:cs="宋体"/>
                <w:b/>
                <w:kern w:val="0"/>
                <w:szCs w:val="28"/>
              </w:rPr>
              <w:t>：</w:t>
            </w:r>
            <w:r>
              <w:rPr>
                <w:rFonts w:hint="eastAsia" w:ascii="仿宋" w:hAnsi="仿宋" w:cs="宋体"/>
                <w:bCs/>
                <w:kern w:val="0"/>
                <w:szCs w:val="28"/>
              </w:rPr>
              <w:t>东街南片区、西街南片区、涂门街南片区、东湖—</w:t>
            </w:r>
            <w:r>
              <w:rPr>
                <w:rFonts w:ascii="仿宋" w:hAnsi="仿宋" w:cs="宋体"/>
                <w:bCs/>
                <w:kern w:val="0"/>
                <w:szCs w:val="28"/>
              </w:rPr>
              <w:t>水漈片区、铭湖片区、东美片区、华丰片区、丰泽</w:t>
            </w:r>
            <w:r>
              <w:rPr>
                <w:rFonts w:hint="eastAsia" w:ascii="仿宋" w:hAnsi="仿宋" w:cs="宋体"/>
                <w:bCs/>
                <w:kern w:val="0"/>
                <w:szCs w:val="28"/>
              </w:rPr>
              <w:t>—</w:t>
            </w:r>
            <w:r>
              <w:rPr>
                <w:rFonts w:ascii="仿宋" w:hAnsi="仿宋" w:cs="宋体"/>
                <w:bCs/>
                <w:kern w:val="0"/>
                <w:szCs w:val="28"/>
              </w:rPr>
              <w:t>后坂片区等8个老旧片区改造，达到“完整社区”</w:t>
            </w:r>
            <w:r>
              <w:rPr>
                <w:rFonts w:hint="eastAsia" w:ascii="仿宋" w:hAnsi="仿宋" w:cs="宋体"/>
                <w:bCs/>
                <w:kern w:val="0"/>
                <w:szCs w:val="28"/>
              </w:rPr>
              <w:t>标准</w:t>
            </w:r>
            <w:r>
              <w:rPr>
                <w:rFonts w:ascii="仿宋" w:hAnsi="仿宋" w:cs="宋体"/>
                <w:bCs/>
                <w:kern w:val="0"/>
                <w:szCs w:val="28"/>
              </w:rPr>
              <w:t>。</w:t>
            </w:r>
            <w:r>
              <w:rPr>
                <w:rFonts w:hint="eastAsia" w:ascii="仿宋" w:hAnsi="仿宋" w:cs="宋体"/>
                <w:bCs/>
                <w:kern w:val="0"/>
                <w:szCs w:val="28"/>
              </w:rPr>
              <w:t>各县（市、区）完成不少于</w:t>
            </w:r>
            <w:r>
              <w:rPr>
                <w:rFonts w:ascii="仿宋" w:hAnsi="仿宋" w:cs="宋体"/>
                <w:bCs/>
                <w:kern w:val="0"/>
                <w:szCs w:val="28"/>
              </w:rPr>
              <w:t>1个老旧片区改造提升项目。</w:t>
            </w:r>
          </w:p>
          <w:p w14:paraId="216C0FCC">
            <w:pPr>
              <w:widowControl/>
              <w:snapToGrid w:val="0"/>
              <w:spacing w:line="300" w:lineRule="auto"/>
              <w:ind w:firstLine="562"/>
              <w:rPr>
                <w:rFonts w:ascii="仿宋" w:hAnsi="仿宋" w:cs="宋体"/>
                <w:bCs/>
                <w:kern w:val="0"/>
                <w:szCs w:val="28"/>
              </w:rPr>
            </w:pPr>
            <w:r>
              <w:rPr>
                <w:rFonts w:ascii="仿宋" w:hAnsi="仿宋" w:cs="宋体"/>
                <w:b/>
                <w:kern w:val="0"/>
                <w:szCs w:val="28"/>
              </w:rPr>
              <w:t>3.活力街区样板：</w:t>
            </w:r>
            <w:r>
              <w:rPr>
                <w:rFonts w:hint="eastAsia" w:ascii="仿宋" w:hAnsi="仿宋" w:cs="宋体"/>
                <w:bCs/>
                <w:kern w:val="0"/>
                <w:szCs w:val="28"/>
              </w:rPr>
              <w:t>各县（市、区）至少建成</w:t>
            </w:r>
            <w:r>
              <w:rPr>
                <w:rFonts w:ascii="仿宋" w:hAnsi="仿宋" w:cs="宋体"/>
                <w:bCs/>
                <w:kern w:val="0"/>
                <w:szCs w:val="28"/>
              </w:rPr>
              <w:t>1个街区更新样板。</w:t>
            </w:r>
          </w:p>
          <w:p w14:paraId="161664E0">
            <w:pPr>
              <w:widowControl/>
              <w:snapToGrid w:val="0"/>
              <w:spacing w:line="300" w:lineRule="auto"/>
              <w:ind w:firstLine="562"/>
              <w:rPr>
                <w:rFonts w:ascii="仿宋" w:hAnsi="仿宋" w:cs="宋体"/>
                <w:bCs/>
                <w:kern w:val="0"/>
                <w:szCs w:val="28"/>
              </w:rPr>
            </w:pPr>
            <w:r>
              <w:rPr>
                <w:rFonts w:ascii="仿宋" w:hAnsi="仿宋" w:cs="宋体"/>
                <w:b/>
                <w:kern w:val="0"/>
                <w:szCs w:val="28"/>
              </w:rPr>
              <w:t>4.推进片区更新</w:t>
            </w:r>
            <w:r>
              <w:rPr>
                <w:rFonts w:hint="eastAsia" w:ascii="仿宋" w:hAnsi="仿宋" w:cs="宋体"/>
                <w:bCs/>
                <w:kern w:val="0"/>
                <w:szCs w:val="28"/>
              </w:rPr>
              <w:t>：继续推动北峰西华洋、北峰组团东片区、东海后埔、江南繁荣片区、站前大道西侧片区、城东南埔山、西郊石结构改造、法石宝盖安置区、城东北峰快速通道两侧石结构改造项目、田安南拓三期、洛江阳江片区、海江片区棚户区改造（一、二期）等</w:t>
            </w:r>
            <w:r>
              <w:rPr>
                <w:rFonts w:ascii="仿宋" w:hAnsi="仿宋" w:cs="宋体"/>
                <w:bCs/>
                <w:kern w:val="0"/>
                <w:szCs w:val="28"/>
              </w:rPr>
              <w:t>1</w:t>
            </w:r>
            <w:r>
              <w:rPr>
                <w:rFonts w:hint="eastAsia" w:ascii="仿宋" w:hAnsi="仿宋" w:cs="宋体"/>
                <w:bCs/>
                <w:kern w:val="0"/>
                <w:szCs w:val="28"/>
              </w:rPr>
              <w:t>2</w:t>
            </w:r>
            <w:r>
              <w:rPr>
                <w:rFonts w:ascii="仿宋" w:hAnsi="仿宋" w:cs="宋体"/>
                <w:bCs/>
                <w:kern w:val="0"/>
                <w:szCs w:val="28"/>
              </w:rPr>
              <w:t>个项目。启动东海云山、金崎、后渚莲垵、城东西福、南滨江、</w:t>
            </w:r>
            <w:r>
              <w:rPr>
                <w:rFonts w:hint="eastAsia" w:ascii="仿宋" w:hAnsi="仿宋" w:cs="宋体"/>
                <w:bCs/>
                <w:kern w:val="0"/>
                <w:szCs w:val="28"/>
              </w:rPr>
              <w:t>金凤屿、</w:t>
            </w:r>
            <w:r>
              <w:rPr>
                <w:rFonts w:ascii="仿宋" w:hAnsi="仿宋" w:cs="宋体"/>
                <w:bCs/>
                <w:kern w:val="0"/>
                <w:szCs w:val="28"/>
              </w:rPr>
              <w:t>兴贤路中段、</w:t>
            </w:r>
            <w:r>
              <w:rPr>
                <w:rFonts w:hint="eastAsia" w:ascii="仿宋" w:hAnsi="仿宋" w:cs="宋体"/>
                <w:bCs/>
                <w:kern w:val="0"/>
                <w:szCs w:val="28"/>
              </w:rPr>
              <w:t>展城启动单元、晋江仙石—海尾片区</w:t>
            </w:r>
            <w:r>
              <w:rPr>
                <w:rFonts w:ascii="仿宋" w:hAnsi="仿宋" w:cs="宋体"/>
                <w:bCs/>
                <w:kern w:val="0"/>
                <w:szCs w:val="28"/>
              </w:rPr>
              <w:t>等</w:t>
            </w:r>
            <w:r>
              <w:rPr>
                <w:rFonts w:hint="eastAsia" w:ascii="仿宋" w:hAnsi="仿宋" w:cs="宋体"/>
                <w:bCs/>
                <w:kern w:val="0"/>
                <w:szCs w:val="28"/>
              </w:rPr>
              <w:t>9</w:t>
            </w:r>
            <w:r>
              <w:rPr>
                <w:rFonts w:ascii="仿宋" w:hAnsi="仿宋" w:cs="宋体"/>
                <w:bCs/>
                <w:kern w:val="0"/>
                <w:szCs w:val="28"/>
              </w:rPr>
              <w:t>个项目。</w:t>
            </w:r>
          </w:p>
          <w:p w14:paraId="04CDCA61">
            <w:pPr>
              <w:widowControl/>
              <w:snapToGrid w:val="0"/>
              <w:spacing w:line="300" w:lineRule="auto"/>
              <w:ind w:firstLine="562"/>
              <w:rPr>
                <w:rFonts w:ascii="仿宋" w:hAnsi="仿宋" w:cs="宋体"/>
                <w:bCs/>
                <w:kern w:val="0"/>
                <w:szCs w:val="28"/>
              </w:rPr>
            </w:pPr>
            <w:r>
              <w:rPr>
                <w:rFonts w:hint="eastAsia" w:ascii="仿宋" w:hAnsi="仿宋" w:cs="宋体"/>
                <w:b/>
                <w:kern w:val="0"/>
                <w:szCs w:val="28"/>
              </w:rPr>
              <w:t>5.古城提升：</w:t>
            </w:r>
            <w:r>
              <w:rPr>
                <w:rFonts w:hint="eastAsia" w:ascii="仿宋" w:hAnsi="仿宋" w:cs="宋体"/>
                <w:bCs/>
                <w:kern w:val="0"/>
                <w:szCs w:val="28"/>
              </w:rPr>
              <w:t>开展顺济桥遗址保护一期工程（抢险、加固）、西街东段U形面（路面+两侧立面）提升工程、中山南路综合提升工程、海丝城南历史文化街区、泉州古城小型消防站及配套设施建设工程、古城片区雨污分流改造项目、二郎巷市政改造项目、古城街巷综合提升工程二期等8个项目。</w:t>
            </w:r>
          </w:p>
        </w:tc>
      </w:tr>
    </w:tbl>
    <w:p w14:paraId="1586E498">
      <w:pPr>
        <w:pageBreakBefore/>
        <w:snapToGrid w:val="0"/>
        <w:spacing w:line="540" w:lineRule="exact"/>
        <w:ind w:firstLine="643"/>
        <w:outlineLvl w:val="2"/>
        <w:rPr>
          <w:rFonts w:ascii="楷体" w:hAnsi="楷体" w:eastAsia="楷体"/>
          <w:b/>
          <w:bCs/>
          <w:sz w:val="32"/>
          <w:szCs w:val="32"/>
        </w:rPr>
      </w:pPr>
      <w:bookmarkStart w:id="206" w:name="_Toc30828"/>
      <w:bookmarkStart w:id="207" w:name="_Toc5533"/>
      <w:bookmarkStart w:id="208" w:name="_Toc27995"/>
      <w:bookmarkStart w:id="209" w:name="_Toc2332"/>
      <w:bookmarkStart w:id="210" w:name="_Toc29526"/>
      <w:r>
        <w:rPr>
          <w:rFonts w:hint="eastAsia" w:ascii="楷体" w:hAnsi="楷体" w:eastAsia="楷体"/>
          <w:b/>
          <w:bCs/>
          <w:kern w:val="0"/>
          <w:sz w:val="32"/>
          <w:szCs w:val="32"/>
        </w:rPr>
        <w:t>（五）</w:t>
      </w:r>
      <w:bookmarkEnd w:id="206"/>
      <w:bookmarkEnd w:id="207"/>
      <w:bookmarkEnd w:id="208"/>
      <w:bookmarkEnd w:id="209"/>
      <w:r>
        <w:rPr>
          <w:rFonts w:hint="eastAsia" w:ascii="楷体" w:hAnsi="楷体" w:eastAsia="楷体"/>
          <w:b/>
          <w:bCs/>
          <w:sz w:val="32"/>
          <w:szCs w:val="32"/>
        </w:rPr>
        <w:t>夜景照明品质提升</w:t>
      </w:r>
      <w:bookmarkEnd w:id="210"/>
    </w:p>
    <w:p w14:paraId="0E58C704">
      <w:pPr>
        <w:spacing w:line="540" w:lineRule="exact"/>
        <w:ind w:firstLine="643"/>
        <w:rPr>
          <w:rFonts w:ascii="仿宋" w:hAnsi="仿宋" w:cs="仿宋_GB2312"/>
          <w:sz w:val="32"/>
          <w:szCs w:val="32"/>
        </w:rPr>
      </w:pPr>
      <w:r>
        <w:rPr>
          <w:rFonts w:hint="eastAsia" w:ascii="仿宋" w:hAnsi="仿宋" w:cs="仿宋_GB2312"/>
          <w:b/>
          <w:bCs/>
          <w:sz w:val="32"/>
          <w:szCs w:val="32"/>
        </w:rPr>
        <w:t>完善夜景照明景观层次。</w:t>
      </w:r>
      <w:r>
        <w:rPr>
          <w:rFonts w:hint="eastAsia" w:ascii="仿宋" w:hAnsi="仿宋" w:cs="仿宋_GB2312"/>
          <w:sz w:val="32"/>
          <w:szCs w:val="32"/>
        </w:rPr>
        <w:t>编制泉州市统管区景观照明专项规划，结合三类重点区域，完善泉州城市夜景照明景观层次。一是塑造鲤城第一印象，完善晋江机场、泉州火车站等门户枢纽夜景照明，统管区高快速路及出入口营造迎宾氛围。二是提升古城特色风貌区夜景亮化水平，点亮古城历史文化轴线。三是凸显环湾核心区现代特色风貌，以东海核心区亮化提升工程为核心，强化地标建筑景观照明</w:t>
      </w:r>
      <w:r>
        <w:rPr>
          <w:rFonts w:ascii="仿宋" w:hAnsi="仿宋" w:cs="仿宋_GB2312"/>
          <w:sz w:val="32"/>
          <w:szCs w:val="32"/>
        </w:rPr>
        <w:t>，</w:t>
      </w:r>
      <w:r>
        <w:rPr>
          <w:rFonts w:hint="eastAsia" w:ascii="仿宋" w:hAnsi="仿宋" w:cs="仿宋_GB2312"/>
          <w:sz w:val="32"/>
          <w:szCs w:val="32"/>
        </w:rPr>
        <w:t>营造视觉连续感。</w:t>
      </w:r>
    </w:p>
    <w:p w14:paraId="46F057CC">
      <w:pPr>
        <w:spacing w:line="540" w:lineRule="exact"/>
        <w:ind w:firstLine="643"/>
        <w:rPr>
          <w:rFonts w:ascii="仿宋" w:hAnsi="仿宋" w:cs="仿宋_GB2312"/>
          <w:sz w:val="32"/>
          <w:szCs w:val="32"/>
        </w:rPr>
      </w:pPr>
      <w:r>
        <w:rPr>
          <w:rFonts w:hint="eastAsia" w:ascii="仿宋" w:hAnsi="仿宋" w:cs="仿宋_GB2312"/>
          <w:b/>
          <w:bCs/>
          <w:sz w:val="32"/>
          <w:szCs w:val="32"/>
        </w:rPr>
        <w:t>高品质提升夜景照明，点亮“夜经济”。</w:t>
      </w:r>
      <w:r>
        <w:rPr>
          <w:rFonts w:hint="eastAsia" w:ascii="仿宋" w:hAnsi="仿宋" w:cs="仿宋_GB2312"/>
          <w:sz w:val="32"/>
          <w:szCs w:val="32"/>
        </w:rPr>
        <w:t>提升城市重要节点、视线走廊亮化品位，整治艳俗的城市灯光秀，全面清理非商业楼宇立面走字屏、灯箱广告。统管区重点实施江滨北路沿线（黄龙大桥至后渚大桥段）和东海核心区亮化提升工程；结合</w:t>
      </w:r>
      <w:r>
        <w:rPr>
          <w:rFonts w:ascii="仿宋" w:hAnsi="仿宋" w:cs="仿宋_GB2312"/>
          <w:sz w:val="32"/>
          <w:szCs w:val="32"/>
        </w:rPr>
        <w:t>老旧小区、片区更新</w:t>
      </w:r>
      <w:r>
        <w:rPr>
          <w:rFonts w:hint="eastAsia" w:ascii="仿宋" w:hAnsi="仿宋" w:cs="仿宋_GB2312"/>
          <w:sz w:val="32"/>
          <w:szCs w:val="32"/>
        </w:rPr>
        <w:t>，统筹居住区公共空间视觉夜景观</w:t>
      </w:r>
      <w:r>
        <w:rPr>
          <w:rFonts w:ascii="仿宋" w:hAnsi="仿宋" w:cs="仿宋_GB2312"/>
          <w:sz w:val="32"/>
          <w:szCs w:val="32"/>
        </w:rPr>
        <w:t>提升</w:t>
      </w:r>
      <w:r>
        <w:rPr>
          <w:rFonts w:hint="eastAsia" w:ascii="仿宋" w:hAnsi="仿宋" w:cs="仿宋_GB2312"/>
          <w:sz w:val="32"/>
          <w:szCs w:val="32"/>
        </w:rPr>
        <w:t>，</w:t>
      </w:r>
      <w:r>
        <w:rPr>
          <w:rFonts w:ascii="仿宋" w:hAnsi="仿宋" w:cs="仿宋_GB2312"/>
          <w:sz w:val="32"/>
          <w:szCs w:val="32"/>
        </w:rPr>
        <w:t>美化人居环境；</w:t>
      </w:r>
      <w:r>
        <w:rPr>
          <w:rFonts w:hint="eastAsia" w:ascii="仿宋" w:hAnsi="仿宋" w:cs="仿宋_GB2312"/>
          <w:sz w:val="32"/>
          <w:szCs w:val="32"/>
        </w:rPr>
        <w:t>持续推进市区重要节点亮化工程，重点打造魅力水系、特色街区夜景观，增强泉州夜活力，其余县（市、区）参照统管区推进县城亮化提升专项行动。</w:t>
      </w:r>
    </w:p>
    <w:p w14:paraId="5FF60B4B">
      <w:pPr>
        <w:spacing w:line="540" w:lineRule="exact"/>
        <w:ind w:firstLine="643"/>
        <w:rPr>
          <w:rFonts w:ascii="仿宋" w:hAnsi="仿宋" w:cs="仿宋_GB2312"/>
          <w:sz w:val="31"/>
          <w:szCs w:val="31"/>
        </w:rPr>
      </w:pPr>
      <w:r>
        <w:rPr>
          <w:rFonts w:hint="eastAsia" w:ascii="仿宋" w:hAnsi="仿宋" w:cs="仿宋_GB2312"/>
          <w:b/>
          <w:bCs/>
          <w:sz w:val="32"/>
          <w:szCs w:val="32"/>
        </w:rPr>
        <w:t>推进城</w:t>
      </w:r>
      <w:r>
        <w:rPr>
          <w:rFonts w:ascii="仿宋" w:hAnsi="仿宋" w:cs="仿宋_GB2312"/>
          <w:b/>
          <w:bCs/>
          <w:sz w:val="32"/>
          <w:szCs w:val="32"/>
        </w:rPr>
        <w:t>市照明</w:t>
      </w:r>
      <w:r>
        <w:rPr>
          <w:rFonts w:hint="eastAsia" w:ascii="仿宋" w:hAnsi="仿宋" w:cs="仿宋_GB2312"/>
          <w:b/>
          <w:bCs/>
          <w:sz w:val="32"/>
          <w:szCs w:val="32"/>
        </w:rPr>
        <w:t>节能建设。</w:t>
      </w:r>
      <w:r>
        <w:rPr>
          <w:rFonts w:hint="eastAsia" w:ascii="仿宋" w:hAnsi="仿宋" w:cs="仿宋_GB2312"/>
          <w:sz w:val="32"/>
          <w:szCs w:val="32"/>
        </w:rPr>
        <w:t>按道路等级及重要程度建立完善</w:t>
      </w:r>
      <w:r>
        <w:rPr>
          <w:rFonts w:ascii="仿宋" w:hAnsi="仿宋" w:cs="仿宋_GB2312"/>
          <w:sz w:val="32"/>
          <w:szCs w:val="32"/>
        </w:rPr>
        <w:t>功能照明分级分类体系</w:t>
      </w:r>
      <w:r>
        <w:rPr>
          <w:rFonts w:hint="eastAsia" w:ascii="仿宋" w:hAnsi="仿宋" w:cs="仿宋_GB2312"/>
          <w:sz w:val="32"/>
          <w:szCs w:val="32"/>
        </w:rPr>
        <w:t>。推进城区道路路灯节能化智慧化改造，全面应用LED照明产品，推广单灯控制、分时分区控制等智慧照明控制技术。到2025年，新改建干路照明绿色节能光源应用率达到90%，依托新改建道路实施LED节能照明1万盏以上。</w:t>
      </w:r>
    </w:p>
    <w:p w14:paraId="37B22BDC">
      <w:pPr>
        <w:snapToGrid w:val="0"/>
        <w:spacing w:line="540" w:lineRule="exact"/>
        <w:ind w:firstLine="643"/>
        <w:outlineLvl w:val="2"/>
        <w:rPr>
          <w:rFonts w:ascii="楷体" w:hAnsi="楷体" w:eastAsia="楷体"/>
          <w:b/>
          <w:bCs/>
          <w:sz w:val="32"/>
          <w:szCs w:val="32"/>
        </w:rPr>
      </w:pPr>
      <w:bookmarkStart w:id="211" w:name="_Toc23040"/>
      <w:r>
        <w:rPr>
          <w:rFonts w:hint="eastAsia" w:ascii="楷体" w:hAnsi="楷体" w:eastAsia="楷体"/>
          <w:b/>
          <w:bCs/>
          <w:kern w:val="0"/>
          <w:sz w:val="32"/>
          <w:szCs w:val="32"/>
        </w:rPr>
        <w:t>（六）</w:t>
      </w:r>
      <w:r>
        <w:rPr>
          <w:rFonts w:hint="eastAsia" w:ascii="楷体" w:hAnsi="楷体" w:eastAsia="楷体"/>
          <w:b/>
          <w:bCs/>
          <w:sz w:val="32"/>
          <w:szCs w:val="32"/>
        </w:rPr>
        <w:t>农村住宅建设管理</w:t>
      </w:r>
      <w:bookmarkEnd w:id="211"/>
    </w:p>
    <w:p w14:paraId="630455AC">
      <w:pPr>
        <w:spacing w:line="540" w:lineRule="exact"/>
        <w:ind w:firstLine="643"/>
        <w:rPr>
          <w:rFonts w:ascii="仿宋" w:hAnsi="仿宋" w:cs="仿宋_GB2312"/>
          <w:sz w:val="32"/>
          <w:szCs w:val="32"/>
        </w:rPr>
      </w:pPr>
      <w:r>
        <w:rPr>
          <w:rFonts w:hint="eastAsia" w:ascii="仿宋" w:hAnsi="仿宋" w:cs="仿宋_GB2312"/>
          <w:b/>
          <w:sz w:val="32"/>
          <w:szCs w:val="32"/>
        </w:rPr>
        <w:t>推动农村地区集约建房。</w:t>
      </w:r>
      <w:r>
        <w:rPr>
          <w:rFonts w:hint="eastAsia" w:ascii="仿宋" w:hAnsi="仿宋" w:cs="仿宋_GB2312"/>
          <w:sz w:val="32"/>
          <w:szCs w:val="32"/>
        </w:rPr>
        <w:t>以“节约资源、提升品质”为主，推动“崇尚集约建房”移风易俗专项行动，培育集约建房新风，逐步消除农房“高大裸空”现象。2</w:t>
      </w:r>
      <w:r>
        <w:rPr>
          <w:rFonts w:ascii="仿宋" w:hAnsi="仿宋" w:cs="仿宋_GB2312"/>
          <w:sz w:val="32"/>
          <w:szCs w:val="32"/>
        </w:rPr>
        <w:t>021年，各县（市、区）启动1个以上“崇尚集约建房”示范乡镇建设，至</w:t>
      </w:r>
      <w:r>
        <w:rPr>
          <w:rFonts w:hint="eastAsia" w:ascii="仿宋" w:hAnsi="仿宋" w:cs="仿宋_GB2312"/>
          <w:sz w:val="32"/>
          <w:szCs w:val="32"/>
        </w:rPr>
        <w:t>2</w:t>
      </w:r>
      <w:r>
        <w:rPr>
          <w:rFonts w:ascii="仿宋" w:hAnsi="仿宋" w:cs="仿宋_GB2312"/>
          <w:sz w:val="32"/>
          <w:szCs w:val="32"/>
        </w:rPr>
        <w:t>025年，各县（市、区）完成不少于</w:t>
      </w:r>
      <w:r>
        <w:rPr>
          <w:rFonts w:hint="eastAsia" w:ascii="仿宋" w:hAnsi="仿宋" w:cs="仿宋_GB2312"/>
          <w:sz w:val="32"/>
          <w:szCs w:val="32"/>
        </w:rPr>
        <w:t>2个</w:t>
      </w:r>
      <w:r>
        <w:rPr>
          <w:rFonts w:ascii="仿宋" w:hAnsi="仿宋" w:cs="仿宋_GB2312"/>
          <w:sz w:val="32"/>
          <w:szCs w:val="32"/>
        </w:rPr>
        <w:t>“崇尚集约建房”示范乡镇建设</w:t>
      </w:r>
      <w:r>
        <w:rPr>
          <w:rFonts w:hint="eastAsia" w:ascii="仿宋" w:hAnsi="仿宋" w:cs="仿宋_GB2312"/>
          <w:sz w:val="32"/>
          <w:szCs w:val="32"/>
        </w:rPr>
        <w:t>。</w:t>
      </w:r>
    </w:p>
    <w:p w14:paraId="12D45B1C">
      <w:pPr>
        <w:spacing w:line="540" w:lineRule="exact"/>
        <w:ind w:firstLine="618"/>
        <w:rPr>
          <w:rFonts w:ascii="仿宋" w:hAnsi="仿宋" w:cs="仿宋_GB2312"/>
          <w:sz w:val="32"/>
          <w:szCs w:val="32"/>
        </w:rPr>
      </w:pPr>
      <w:r>
        <w:rPr>
          <w:rFonts w:hint="eastAsia" w:ascii="仿宋" w:hAnsi="仿宋" w:cs="仿宋_GB2312"/>
          <w:b/>
          <w:bCs/>
          <w:spacing w:val="-6"/>
          <w:sz w:val="32"/>
          <w:szCs w:val="32"/>
        </w:rPr>
        <w:t>加强宅基地审批和规划许可监督。</w:t>
      </w:r>
      <w:r>
        <w:rPr>
          <w:rFonts w:hint="eastAsia" w:ascii="仿宋" w:hAnsi="仿宋" w:cs="仿宋_GB2312"/>
          <w:bCs/>
          <w:spacing w:val="-6"/>
          <w:sz w:val="32"/>
          <w:szCs w:val="32"/>
        </w:rPr>
        <w:t>全面落实“一窗收件、一站服务、一次审批”的审批机制</w:t>
      </w:r>
      <w:r>
        <w:rPr>
          <w:rFonts w:hint="eastAsia" w:ascii="仿宋" w:hAnsi="仿宋" w:cs="仿宋_GB2312"/>
          <w:sz w:val="32"/>
          <w:szCs w:val="32"/>
        </w:rPr>
        <w:t>，</w:t>
      </w:r>
      <w:r>
        <w:rPr>
          <w:rFonts w:hint="eastAsia" w:ascii="仿宋" w:hAnsi="仿宋"/>
          <w:sz w:val="32"/>
          <w:szCs w:val="32"/>
        </w:rPr>
        <w:t>强化</w:t>
      </w:r>
      <w:r>
        <w:rPr>
          <w:rFonts w:hint="eastAsia" w:ascii="仿宋" w:hAnsi="仿宋" w:cs="仿宋_GB2312"/>
          <w:bCs/>
          <w:spacing w:val="-6"/>
          <w:sz w:val="32"/>
          <w:szCs w:val="32"/>
        </w:rPr>
        <w:t>“建新拆旧”和“一户一宅”管理，</w:t>
      </w:r>
      <w:r>
        <w:rPr>
          <w:rFonts w:hint="eastAsia" w:ascii="仿宋" w:hAnsi="仿宋" w:cs="仿宋_GB2312"/>
          <w:sz w:val="32"/>
          <w:szCs w:val="32"/>
        </w:rPr>
        <w:t>规范宅基地审批和乡村建设规划许可。到</w:t>
      </w:r>
      <w:r>
        <w:rPr>
          <w:rFonts w:ascii="仿宋" w:hAnsi="仿宋" w:cs="仿宋_GB2312"/>
          <w:sz w:val="32"/>
          <w:szCs w:val="32"/>
        </w:rPr>
        <w:t>2025年，农村宅基地和村民住宅</w:t>
      </w:r>
      <w:r>
        <w:rPr>
          <w:rFonts w:hint="eastAsia" w:ascii="仿宋" w:hAnsi="仿宋" w:cs="仿宋_GB2312"/>
          <w:sz w:val="32"/>
          <w:szCs w:val="32"/>
        </w:rPr>
        <w:t>规划建设管理体系全面建立。</w:t>
      </w:r>
    </w:p>
    <w:p w14:paraId="5B913AA3">
      <w:pPr>
        <w:spacing w:line="540" w:lineRule="exact"/>
        <w:ind w:firstLine="643"/>
        <w:rPr>
          <w:rFonts w:ascii="仿宋" w:hAnsi="仿宋" w:cs="仿宋_GB2312"/>
          <w:sz w:val="32"/>
          <w:szCs w:val="32"/>
        </w:rPr>
      </w:pPr>
      <w:r>
        <w:rPr>
          <w:rFonts w:hint="eastAsia" w:ascii="仿宋" w:hAnsi="仿宋" w:cs="仿宋_GB2312"/>
          <w:b/>
          <w:sz w:val="32"/>
          <w:szCs w:val="32"/>
        </w:rPr>
        <w:t>加强新建农房建筑风貌管控。</w:t>
      </w:r>
      <w:r>
        <w:rPr>
          <w:rFonts w:hint="eastAsia" w:ascii="仿宋" w:hAnsi="仿宋" w:cs="仿宋_GB2312"/>
          <w:sz w:val="32"/>
          <w:szCs w:val="32"/>
        </w:rPr>
        <w:t>全市集中开展整县、整镇、整村或整片区既有农房整治，尽可能消除农村住宅裸房现象。</w:t>
      </w:r>
      <w:r>
        <w:rPr>
          <w:rFonts w:ascii="仿宋" w:hAnsi="仿宋" w:cs="仿宋_GB2312"/>
          <w:sz w:val="32"/>
          <w:szCs w:val="32"/>
        </w:rPr>
        <w:t>至2025年底，</w:t>
      </w:r>
      <w:r>
        <w:rPr>
          <w:rFonts w:hint="eastAsia" w:ascii="仿宋" w:hAnsi="仿宋" w:cs="仿宋_GB2312"/>
          <w:sz w:val="32"/>
          <w:szCs w:val="32"/>
        </w:rPr>
        <w:t>全市既有农房风貌提升基本完成，新建农房彰显地域风貌，群众居住环境和居住品质得到明显提升。</w:t>
      </w:r>
    </w:p>
    <w:p w14:paraId="05D38EA9">
      <w:pPr>
        <w:spacing w:line="540" w:lineRule="exact"/>
        <w:ind w:firstLine="643"/>
        <w:rPr>
          <w:rFonts w:ascii="仿宋" w:hAnsi="仿宋" w:cs="仿宋_GB2312"/>
          <w:b/>
          <w:bCs/>
          <w:sz w:val="32"/>
          <w:szCs w:val="32"/>
        </w:rPr>
      </w:pPr>
      <w:r>
        <w:rPr>
          <w:rFonts w:hint="eastAsia" w:ascii="仿宋" w:hAnsi="仿宋" w:cs="仿宋_GB2312"/>
          <w:b/>
          <w:sz w:val="32"/>
          <w:szCs w:val="32"/>
        </w:rPr>
        <w:t>加强传统风貌保护。</w:t>
      </w:r>
      <w:r>
        <w:rPr>
          <w:rFonts w:hint="eastAsia" w:ascii="仿宋" w:hAnsi="仿宋" w:cs="仿宋_GB2312"/>
          <w:sz w:val="32"/>
          <w:szCs w:val="32"/>
        </w:rPr>
        <w:t>加快建立系统性、整体性、多层级的历史文化名镇名村、传统村落连片</w:t>
      </w:r>
      <w:r>
        <w:rPr>
          <w:rFonts w:hint="eastAsia" w:ascii="仿宋" w:hAnsi="仿宋"/>
          <w:sz w:val="32"/>
          <w:szCs w:val="32"/>
        </w:rPr>
        <w:t>保护</w:t>
      </w:r>
      <w:r>
        <w:rPr>
          <w:rFonts w:hint="eastAsia" w:ascii="仿宋" w:hAnsi="仿宋" w:cs="仿宋_GB2312"/>
          <w:sz w:val="32"/>
          <w:szCs w:val="32"/>
        </w:rPr>
        <w:t>体系，全面提升各级政府和人民群众的保护意识，推动全市历史文化名镇、名村、传统村落和历史建筑、传统风貌建筑得到妥善保护和合理利用。至</w:t>
      </w:r>
      <w:r>
        <w:rPr>
          <w:rFonts w:ascii="仿宋" w:hAnsi="仿宋" w:cs="仿宋_GB2312"/>
          <w:sz w:val="32"/>
          <w:szCs w:val="32"/>
        </w:rPr>
        <w:t>2025年底前，争取列入国家级传统村落集中连片保护示范市。</w:t>
      </w:r>
    </w:p>
    <w:p w14:paraId="1E2650D6">
      <w:pPr>
        <w:pStyle w:val="3"/>
        <w:spacing w:line="540" w:lineRule="exact"/>
        <w:ind w:firstLine="643"/>
        <w:rPr>
          <w:rFonts w:ascii="黑体" w:hAnsi="黑体" w:eastAsia="黑体"/>
          <w:sz w:val="32"/>
        </w:rPr>
      </w:pPr>
      <w:bookmarkStart w:id="212" w:name="_Toc32207"/>
      <w:bookmarkStart w:id="213" w:name="_Toc3377"/>
      <w:bookmarkStart w:id="214" w:name="_Toc7363"/>
      <w:bookmarkStart w:id="215" w:name="_Toc14541"/>
      <w:bookmarkStart w:id="216" w:name="_Toc18615"/>
      <w:r>
        <w:rPr>
          <w:rFonts w:hint="eastAsia" w:ascii="黑体" w:hAnsi="黑体" w:eastAsia="黑体"/>
          <w:kern w:val="0"/>
          <w:sz w:val="32"/>
        </w:rPr>
        <w:t>四、</w:t>
      </w:r>
      <w:r>
        <w:rPr>
          <w:rFonts w:hint="eastAsia" w:ascii="黑体" w:hAnsi="黑体" w:eastAsia="黑体"/>
          <w:sz w:val="32"/>
        </w:rPr>
        <w:t>供水保障工程</w:t>
      </w:r>
      <w:bookmarkEnd w:id="212"/>
      <w:bookmarkEnd w:id="213"/>
      <w:bookmarkEnd w:id="214"/>
      <w:bookmarkEnd w:id="215"/>
      <w:bookmarkEnd w:id="216"/>
    </w:p>
    <w:p w14:paraId="516E468F">
      <w:pPr>
        <w:spacing w:line="540" w:lineRule="exact"/>
        <w:ind w:firstLine="616"/>
        <w:rPr>
          <w:rFonts w:ascii="仿宋" w:hAnsi="仿宋" w:cs="仿宋_GB2312"/>
          <w:spacing w:val="-6"/>
          <w:sz w:val="32"/>
          <w:szCs w:val="32"/>
        </w:rPr>
      </w:pPr>
      <w:r>
        <w:rPr>
          <w:rFonts w:hint="eastAsia" w:ascii="仿宋" w:hAnsi="仿宋" w:cs="仿宋_GB2312"/>
          <w:spacing w:val="-6"/>
          <w:sz w:val="32"/>
          <w:szCs w:val="32"/>
        </w:rPr>
        <w:t>强化水源保护和供水过程保障，建立从“源头到龙头”全流程饮用水安全保障体系，推动供水水质持续提升，推进城乡供水一体化建设，确保人民群众喝上安全、放心、优质的饮用水。</w:t>
      </w:r>
    </w:p>
    <w:p w14:paraId="60F53D9D">
      <w:pPr>
        <w:snapToGrid w:val="0"/>
        <w:spacing w:line="540" w:lineRule="exact"/>
        <w:ind w:firstLine="643"/>
        <w:outlineLvl w:val="2"/>
        <w:rPr>
          <w:rFonts w:ascii="仿宋" w:hAnsi="仿宋"/>
          <w:b/>
          <w:bCs/>
          <w:sz w:val="32"/>
          <w:szCs w:val="32"/>
        </w:rPr>
      </w:pPr>
      <w:bookmarkStart w:id="217" w:name="_Toc19887"/>
      <w:bookmarkStart w:id="218" w:name="_Toc18534"/>
      <w:bookmarkStart w:id="219" w:name="_Toc15697"/>
      <w:bookmarkStart w:id="220" w:name="_Toc27432"/>
      <w:bookmarkStart w:id="221" w:name="_Toc32505"/>
      <w:r>
        <w:rPr>
          <w:rFonts w:hint="eastAsia" w:ascii="仿宋" w:hAnsi="仿宋"/>
          <w:b/>
          <w:bCs/>
          <w:kern w:val="0"/>
          <w:sz w:val="32"/>
          <w:szCs w:val="32"/>
        </w:rPr>
        <w:t>（一）</w:t>
      </w:r>
      <w:r>
        <w:rPr>
          <w:rFonts w:hint="eastAsia" w:ascii="仿宋" w:hAnsi="仿宋"/>
          <w:b/>
          <w:bCs/>
          <w:sz w:val="32"/>
          <w:szCs w:val="32"/>
        </w:rPr>
        <w:t>饮用水源保护建设</w:t>
      </w:r>
      <w:bookmarkEnd w:id="217"/>
      <w:bookmarkEnd w:id="218"/>
      <w:bookmarkEnd w:id="219"/>
      <w:bookmarkEnd w:id="220"/>
      <w:bookmarkEnd w:id="221"/>
    </w:p>
    <w:p w14:paraId="141C6A75">
      <w:pPr>
        <w:spacing w:line="540" w:lineRule="exact"/>
        <w:ind w:firstLine="643"/>
        <w:rPr>
          <w:rFonts w:ascii="仿宋" w:hAnsi="仿宋"/>
          <w:sz w:val="32"/>
          <w:szCs w:val="32"/>
        </w:rPr>
      </w:pPr>
      <w:r>
        <w:rPr>
          <w:rFonts w:hint="eastAsia" w:ascii="仿宋" w:hAnsi="仿宋" w:cs="仿宋"/>
          <w:b/>
          <w:sz w:val="32"/>
          <w:szCs w:val="32"/>
        </w:rPr>
        <w:t>加强水源建设。</w:t>
      </w:r>
      <w:r>
        <w:rPr>
          <w:rFonts w:hint="eastAsia" w:ascii="仿宋" w:hAnsi="仿宋" w:cs="仿宋"/>
          <w:sz w:val="32"/>
          <w:szCs w:val="32"/>
        </w:rPr>
        <w:t>优化水资源配置，继续实施泉州白濑水利枢纽工程、七库连通工程等水源工程；推进闽江北水南调（尤溪</w:t>
      </w:r>
      <w:r>
        <w:rPr>
          <w:rFonts w:hint="eastAsia" w:ascii="仿宋" w:hAnsi="仿宋" w:cs="宋体"/>
          <w:bCs/>
          <w:kern w:val="0"/>
          <w:szCs w:val="28"/>
        </w:rPr>
        <w:t>—</w:t>
      </w:r>
      <w:r>
        <w:rPr>
          <w:rFonts w:ascii="仿宋" w:hAnsi="仿宋" w:cs="仿宋"/>
          <w:sz w:val="32"/>
          <w:szCs w:val="32"/>
        </w:rPr>
        <w:t>泉州）工程实施，实现跨流域调水，提高晋江流域供水安全保障度</w:t>
      </w:r>
      <w:r>
        <w:rPr>
          <w:rFonts w:hint="eastAsia" w:ascii="仿宋" w:hAnsi="仿宋" w:cs="仿宋"/>
          <w:sz w:val="32"/>
          <w:szCs w:val="32"/>
        </w:rPr>
        <w:t>，构建“丰枯调剂、内引外调”的水网体系</w:t>
      </w:r>
      <w:r>
        <w:rPr>
          <w:rFonts w:ascii="仿宋" w:hAnsi="仿宋" w:cs="仿宋"/>
          <w:sz w:val="32"/>
          <w:szCs w:val="32"/>
        </w:rPr>
        <w:t>。</w:t>
      </w:r>
    </w:p>
    <w:p w14:paraId="129FC33A">
      <w:pPr>
        <w:spacing w:line="540" w:lineRule="exact"/>
        <w:ind w:firstLine="643"/>
        <w:rPr>
          <w:rFonts w:ascii="仿宋" w:hAnsi="仿宋"/>
          <w:sz w:val="32"/>
          <w:szCs w:val="32"/>
        </w:rPr>
      </w:pPr>
      <w:r>
        <w:rPr>
          <w:rFonts w:hint="eastAsia" w:ascii="仿宋" w:hAnsi="仿宋" w:cs="仿宋"/>
          <w:b/>
          <w:sz w:val="32"/>
          <w:szCs w:val="32"/>
        </w:rPr>
        <w:t>强化水源保护。</w:t>
      </w:r>
      <w:r>
        <w:rPr>
          <w:rFonts w:hint="eastAsia" w:ascii="仿宋" w:hAnsi="仿宋"/>
          <w:sz w:val="32"/>
          <w:szCs w:val="32"/>
        </w:rPr>
        <w:t>强化水源地保护区或保护范围监管</w:t>
      </w:r>
      <w:r>
        <w:rPr>
          <w:rFonts w:ascii="仿宋" w:hAnsi="仿宋"/>
          <w:sz w:val="32"/>
          <w:szCs w:val="32"/>
        </w:rPr>
        <w:t>,全面推进饮用水水源地摸底排查,制定“一源一策”整治方案或整改措施,完善</w:t>
      </w:r>
      <w:r>
        <w:rPr>
          <w:rFonts w:hint="eastAsia" w:ascii="仿宋" w:hAnsi="仿宋"/>
          <w:sz w:val="32"/>
          <w:szCs w:val="32"/>
        </w:rPr>
        <w:t>保护区界桩</w:t>
      </w:r>
      <w:r>
        <w:rPr>
          <w:rFonts w:ascii="仿宋" w:hAnsi="仿宋"/>
          <w:sz w:val="32"/>
          <w:szCs w:val="32"/>
        </w:rPr>
        <w:t>标志、隔离防护设施建设,加强水质监测。</w:t>
      </w:r>
      <w:r>
        <w:rPr>
          <w:rFonts w:hint="eastAsia" w:ascii="仿宋" w:hAnsi="仿宋"/>
          <w:sz w:val="32"/>
          <w:szCs w:val="32"/>
        </w:rPr>
        <w:t>重点推进泉州市金鸡拦河闸上游水环境提升工程，启动中心城区南北高干渠替代工程规划和建设，解决中心城区水资源保护、防洪排涝、补水和城市建设等多方面互相掣肘的问题。</w:t>
      </w:r>
    </w:p>
    <w:p w14:paraId="2F0031AA">
      <w:pPr>
        <w:snapToGrid w:val="0"/>
        <w:spacing w:line="540" w:lineRule="exact"/>
        <w:ind w:firstLine="643"/>
        <w:outlineLvl w:val="2"/>
        <w:rPr>
          <w:rFonts w:ascii="仿宋" w:hAnsi="仿宋"/>
          <w:b/>
          <w:bCs/>
          <w:sz w:val="32"/>
          <w:szCs w:val="32"/>
        </w:rPr>
      </w:pPr>
      <w:bookmarkStart w:id="222" w:name="_Toc26095"/>
      <w:bookmarkStart w:id="223" w:name="_Toc10197"/>
      <w:bookmarkStart w:id="224" w:name="_Toc938"/>
      <w:bookmarkStart w:id="225" w:name="_Toc29678"/>
      <w:bookmarkStart w:id="226" w:name="_Toc15975"/>
      <w:r>
        <w:rPr>
          <w:rFonts w:hint="eastAsia" w:ascii="仿宋" w:hAnsi="仿宋"/>
          <w:b/>
          <w:bCs/>
          <w:kern w:val="0"/>
          <w:sz w:val="32"/>
          <w:szCs w:val="32"/>
        </w:rPr>
        <w:t>（二）</w:t>
      </w:r>
      <w:r>
        <w:rPr>
          <w:rFonts w:hint="eastAsia" w:ascii="仿宋" w:hAnsi="仿宋"/>
          <w:b/>
          <w:bCs/>
          <w:sz w:val="32"/>
          <w:szCs w:val="32"/>
        </w:rPr>
        <w:t>城乡供水保障设施</w:t>
      </w:r>
      <w:bookmarkEnd w:id="222"/>
      <w:bookmarkEnd w:id="223"/>
      <w:bookmarkEnd w:id="224"/>
      <w:bookmarkEnd w:id="225"/>
      <w:bookmarkEnd w:id="226"/>
    </w:p>
    <w:p w14:paraId="2ABD84C7">
      <w:pPr>
        <w:spacing w:line="540" w:lineRule="exact"/>
        <w:ind w:firstLine="643"/>
        <w:rPr>
          <w:rFonts w:ascii="仿宋" w:hAnsi="仿宋"/>
          <w:sz w:val="32"/>
          <w:szCs w:val="32"/>
        </w:rPr>
      </w:pPr>
      <w:r>
        <w:rPr>
          <w:rFonts w:hint="eastAsia" w:ascii="仿宋" w:hAnsi="仿宋"/>
          <w:b/>
          <w:sz w:val="32"/>
          <w:szCs w:val="32"/>
        </w:rPr>
        <w:t>推进供水厂提升改造。</w:t>
      </w:r>
      <w:r>
        <w:rPr>
          <w:rFonts w:hint="eastAsia" w:ascii="仿宋" w:hAnsi="仿宋"/>
          <w:sz w:val="32"/>
          <w:szCs w:val="32"/>
        </w:rPr>
        <w:t>重点实施泉港区湄丰水厂扩建、南安官桥第二水厂建设工程，累计新增供水能力</w:t>
      </w:r>
      <w:r>
        <w:rPr>
          <w:rFonts w:ascii="仿宋" w:hAnsi="仿宋"/>
          <w:sz w:val="32"/>
          <w:szCs w:val="32"/>
        </w:rPr>
        <w:t>15万吨/日。</w:t>
      </w:r>
      <w:r>
        <w:rPr>
          <w:rFonts w:hint="eastAsia" w:ascii="仿宋" w:hAnsi="仿宋"/>
          <w:sz w:val="32"/>
          <w:szCs w:val="32"/>
        </w:rPr>
        <w:t>稳步推进泉州台商投资区百源水厂、北区水厂等市区现有小型水厂的提升改造工作，保障供水水质、水量安全。</w:t>
      </w:r>
    </w:p>
    <w:p w14:paraId="3C4FACB8">
      <w:pPr>
        <w:spacing w:line="540" w:lineRule="exact"/>
        <w:ind w:firstLine="643"/>
        <w:rPr>
          <w:rFonts w:ascii="仿宋" w:hAnsi="仿宋"/>
          <w:sz w:val="32"/>
          <w:szCs w:val="32"/>
        </w:rPr>
      </w:pPr>
      <w:r>
        <w:rPr>
          <w:rFonts w:hint="eastAsia" w:ascii="仿宋" w:hAnsi="仿宋"/>
          <w:b/>
          <w:sz w:val="32"/>
          <w:szCs w:val="32"/>
        </w:rPr>
        <w:t>完善供水过程保障。</w:t>
      </w:r>
      <w:r>
        <w:rPr>
          <w:rFonts w:hint="eastAsia" w:ascii="仿宋" w:hAnsi="仿宋"/>
          <w:sz w:val="32"/>
          <w:szCs w:val="32"/>
        </w:rPr>
        <w:t>加快建设连通市区和泉州台商投资区的供水主管，缓解泉州台商投资区供水压力。启动金鸡水厂配套供水主管建设，确保金鸡水厂向市区供水通道畅通。结合丰州、城东、东海、江南、洛江、泉州台商投资区开发配套建设供水管网，完善新区供水设施。巩固“国家节水型城市”创建成果，有序推进市区老旧管网排查检漏和更新改造，确保公共供水管网漏损率控制在</w:t>
      </w:r>
      <w:r>
        <w:rPr>
          <w:rFonts w:ascii="仿宋" w:hAnsi="仿宋"/>
          <w:sz w:val="32"/>
          <w:szCs w:val="32"/>
        </w:rPr>
        <w:t>8.5%以</w:t>
      </w:r>
      <w:r>
        <w:rPr>
          <w:rFonts w:hint="eastAsia" w:ascii="仿宋" w:hAnsi="仿宋"/>
          <w:sz w:val="32"/>
          <w:szCs w:val="32"/>
        </w:rPr>
        <w:t>内。全面推行市区二次供水设施统建统管，保障供水最后一公里水质。</w:t>
      </w:r>
    </w:p>
    <w:p w14:paraId="57E6BA59">
      <w:pPr>
        <w:snapToGrid w:val="0"/>
        <w:spacing w:line="540" w:lineRule="exact"/>
        <w:ind w:firstLine="643"/>
        <w:rPr>
          <w:rFonts w:ascii="仿宋" w:hAnsi="仿宋"/>
          <w:sz w:val="32"/>
          <w:szCs w:val="32"/>
        </w:rPr>
      </w:pPr>
      <w:bookmarkStart w:id="227" w:name="_Toc12736"/>
      <w:bookmarkStart w:id="228" w:name="_Toc18679"/>
      <w:bookmarkStart w:id="229" w:name="_Toc24339"/>
      <w:bookmarkStart w:id="230" w:name="_Toc15141"/>
      <w:r>
        <w:rPr>
          <w:rFonts w:hint="eastAsia" w:ascii="仿宋" w:hAnsi="仿宋"/>
          <w:b/>
          <w:sz w:val="32"/>
          <w:szCs w:val="32"/>
        </w:rPr>
        <w:t>城乡供水一体化</w:t>
      </w:r>
      <w:bookmarkEnd w:id="227"/>
      <w:bookmarkEnd w:id="228"/>
      <w:bookmarkEnd w:id="229"/>
      <w:bookmarkEnd w:id="230"/>
      <w:r>
        <w:rPr>
          <w:rFonts w:hint="eastAsia" w:ascii="仿宋" w:hAnsi="仿宋"/>
          <w:b/>
          <w:sz w:val="32"/>
          <w:szCs w:val="32"/>
        </w:rPr>
        <w:t>。</w:t>
      </w:r>
      <w:r>
        <w:rPr>
          <w:rFonts w:hint="eastAsia" w:ascii="仿宋" w:hAnsi="仿宋"/>
          <w:sz w:val="32"/>
          <w:szCs w:val="32"/>
        </w:rPr>
        <w:t>加快推进城乡供水一体化工程建设</w:t>
      </w:r>
      <w:r>
        <w:rPr>
          <w:rFonts w:ascii="仿宋" w:hAnsi="仿宋"/>
          <w:sz w:val="32"/>
          <w:szCs w:val="32"/>
        </w:rPr>
        <w:t>,坚持政府主导、</w:t>
      </w:r>
      <w:r>
        <w:rPr>
          <w:rFonts w:hint="eastAsia" w:ascii="仿宋" w:hAnsi="仿宋"/>
          <w:sz w:val="32"/>
          <w:szCs w:val="32"/>
        </w:rPr>
        <w:t>企业运作，</w:t>
      </w:r>
      <w:r>
        <w:rPr>
          <w:rFonts w:ascii="仿宋" w:hAnsi="仿宋"/>
          <w:sz w:val="32"/>
          <w:szCs w:val="32"/>
        </w:rPr>
        <w:t>加快构建投融资、工程建设、管护维养三位一体的监</w:t>
      </w:r>
      <w:r>
        <w:rPr>
          <w:rFonts w:hint="eastAsia" w:ascii="仿宋" w:hAnsi="仿宋"/>
          <w:sz w:val="32"/>
          <w:szCs w:val="32"/>
        </w:rPr>
        <w:t>管平台</w:t>
      </w:r>
      <w:r>
        <w:rPr>
          <w:rFonts w:ascii="仿宋" w:hAnsi="仿宋"/>
          <w:sz w:val="32"/>
          <w:szCs w:val="32"/>
        </w:rPr>
        <w:t>,因地制宜、分期分类,制定不同供水保障方案</w:t>
      </w:r>
      <w:r>
        <w:rPr>
          <w:rFonts w:hint="eastAsia" w:ascii="仿宋" w:hAnsi="仿宋"/>
          <w:sz w:val="32"/>
          <w:szCs w:val="32"/>
        </w:rPr>
        <w:t>，</w:t>
      </w:r>
      <w:r>
        <w:rPr>
          <w:rFonts w:ascii="仿宋" w:hAnsi="仿宋"/>
          <w:sz w:val="32"/>
          <w:szCs w:val="32"/>
        </w:rPr>
        <w:t>按照“建</w:t>
      </w:r>
      <w:r>
        <w:rPr>
          <w:rFonts w:hint="eastAsia" w:ascii="仿宋" w:hAnsi="仿宋"/>
          <w:sz w:val="32"/>
          <w:szCs w:val="32"/>
        </w:rPr>
        <w:t>大、并中、减小”的原则，推进洛江、南安、安溪、永春、惠安、泉州台商投资区等县（市、区）城乡供水一体化，</w:t>
      </w:r>
      <w:r>
        <w:rPr>
          <w:rFonts w:ascii="仿宋" w:hAnsi="仿宋"/>
          <w:sz w:val="32"/>
          <w:szCs w:val="32"/>
        </w:rPr>
        <w:t>合理确定水源、水厂、骨干管网等重</w:t>
      </w:r>
      <w:r>
        <w:rPr>
          <w:rFonts w:hint="eastAsia" w:ascii="仿宋" w:hAnsi="仿宋"/>
          <w:sz w:val="32"/>
          <w:szCs w:val="32"/>
        </w:rPr>
        <w:t>点项目库和年度工作清单。</w:t>
      </w:r>
      <w:r>
        <w:rPr>
          <w:rFonts w:ascii="仿宋" w:hAnsi="仿宋"/>
          <w:sz w:val="32"/>
          <w:szCs w:val="32"/>
        </w:rPr>
        <w:t>2025年底前基本实现城乡供水一体化</w:t>
      </w:r>
      <w:r>
        <w:rPr>
          <w:rFonts w:hint="eastAsia" w:ascii="仿宋" w:hAnsi="仿宋"/>
          <w:sz w:val="32"/>
          <w:szCs w:val="32"/>
        </w:rPr>
        <w:t>格局</w:t>
      </w:r>
      <w:r>
        <w:rPr>
          <w:rFonts w:ascii="仿宋" w:hAnsi="仿宋"/>
          <w:sz w:val="32"/>
          <w:szCs w:val="32"/>
        </w:rPr>
        <w:t>,实现城乡居民供水“同质、同服务”。</w:t>
      </w:r>
    </w:p>
    <w:p w14:paraId="507B4E20">
      <w:pPr>
        <w:keepNext/>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专栏4：</w:t>
      </w:r>
      <w:r>
        <w:rPr>
          <w:rFonts w:hint="eastAsia" w:ascii="黑体" w:hAnsi="黑体" w:eastAsia="黑体" w:cs="黑体"/>
          <w:kern w:val="0"/>
          <w:szCs w:val="28"/>
        </w:rPr>
        <w:t>供水保障工程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64C8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9CECA67">
            <w:pPr>
              <w:pStyle w:val="48"/>
              <w:spacing w:before="197" w:beforeLines="50"/>
              <w:ind w:firstLine="562"/>
              <w:rPr>
                <w:rFonts w:ascii="仿宋" w:eastAsia="仿宋"/>
                <w:color w:val="auto"/>
                <w:sz w:val="28"/>
              </w:rPr>
            </w:pPr>
            <w:r>
              <w:rPr>
                <w:rFonts w:ascii="仿宋" w:eastAsia="仿宋"/>
                <w:b/>
                <w:color w:val="auto"/>
                <w:sz w:val="28"/>
              </w:rPr>
              <w:t>1.</w:t>
            </w:r>
            <w:r>
              <w:rPr>
                <w:rFonts w:hint="eastAsia" w:ascii="仿宋" w:eastAsia="仿宋"/>
                <w:b/>
                <w:color w:val="auto"/>
                <w:sz w:val="28"/>
              </w:rPr>
              <w:t>水源保护</w:t>
            </w:r>
            <w:r>
              <w:rPr>
                <w:rFonts w:ascii="仿宋" w:eastAsia="仿宋"/>
                <w:b/>
                <w:color w:val="auto"/>
                <w:sz w:val="28"/>
              </w:rPr>
              <w:t>：</w:t>
            </w:r>
            <w:r>
              <w:rPr>
                <w:rFonts w:hint="eastAsia" w:ascii="仿宋" w:eastAsia="仿宋"/>
                <w:color w:val="auto"/>
                <w:sz w:val="28"/>
              </w:rPr>
              <w:t>建设泉州市金鸡拦河闸上游水环境提升工程（金门供水保障工程先行工程），包括护隔离网建设工程、金门供水取水口环境提升工程、取水口湿地生态修复及河岸植被缓冲带建设工程；</w:t>
            </w:r>
            <w:r>
              <w:rPr>
                <w:rFonts w:hint="eastAsia" w:ascii="仿宋" w:eastAsia="仿宋" w:cs="仿宋_GB2312"/>
                <w:color w:val="auto"/>
                <w:spacing w:val="-6"/>
                <w:sz w:val="28"/>
              </w:rPr>
              <w:t>启动中心城区南北高干渠替代工程。</w:t>
            </w:r>
          </w:p>
          <w:p w14:paraId="78F722EA">
            <w:pPr>
              <w:pStyle w:val="48"/>
              <w:ind w:firstLine="562"/>
              <w:rPr>
                <w:rFonts w:ascii="仿宋" w:eastAsia="仿宋"/>
                <w:b/>
                <w:color w:val="auto"/>
                <w:sz w:val="28"/>
              </w:rPr>
            </w:pPr>
            <w:r>
              <w:rPr>
                <w:rFonts w:ascii="仿宋" w:eastAsia="仿宋"/>
                <w:b/>
                <w:color w:val="auto"/>
                <w:sz w:val="28"/>
              </w:rPr>
              <w:t>2.</w:t>
            </w:r>
            <w:r>
              <w:rPr>
                <w:rFonts w:hint="eastAsia" w:ascii="仿宋" w:eastAsia="仿宋"/>
                <w:b/>
                <w:color w:val="auto"/>
                <w:sz w:val="28"/>
              </w:rPr>
              <w:t>城市供水设施建设</w:t>
            </w:r>
            <w:r>
              <w:rPr>
                <w:rFonts w:ascii="仿宋" w:eastAsia="仿宋"/>
                <w:b/>
                <w:color w:val="auto"/>
                <w:sz w:val="28"/>
              </w:rPr>
              <w:t>：</w:t>
            </w:r>
            <w:r>
              <w:rPr>
                <w:rFonts w:hint="eastAsia" w:ascii="仿宋" w:eastAsia="仿宋"/>
                <w:color w:val="auto"/>
                <w:sz w:val="28"/>
              </w:rPr>
              <w:t>泉港区湄丰水厂扩建及污泥处理工程（新增供水</w:t>
            </w:r>
            <w:r>
              <w:rPr>
                <w:rFonts w:ascii="仿宋" w:eastAsia="仿宋"/>
                <w:color w:val="auto"/>
                <w:sz w:val="28"/>
              </w:rPr>
              <w:t>5万吨/天）、南安市官桥镇第二自来水厂（一期）（新增供水10万吨/天）、</w:t>
            </w:r>
            <w:r>
              <w:rPr>
                <w:rFonts w:hint="eastAsia" w:ascii="仿宋" w:eastAsia="仿宋"/>
                <w:color w:val="auto"/>
                <w:sz w:val="28"/>
              </w:rPr>
              <w:t>泉州</w:t>
            </w:r>
            <w:r>
              <w:rPr>
                <w:rFonts w:ascii="仿宋" w:eastAsia="仿宋"/>
                <w:color w:val="auto"/>
                <w:sz w:val="28"/>
              </w:rPr>
              <w:t>台商投资区百源水厂提升改造工程（规模0.5万吨/天）、东海及</w:t>
            </w:r>
            <w:r>
              <w:rPr>
                <w:rFonts w:hint="eastAsia" w:ascii="仿宋" w:eastAsia="仿宋"/>
                <w:color w:val="auto"/>
                <w:sz w:val="28"/>
              </w:rPr>
              <w:t>泉州</w:t>
            </w:r>
            <w:r>
              <w:rPr>
                <w:rFonts w:ascii="仿宋" w:eastAsia="仿宋"/>
                <w:color w:val="auto"/>
                <w:sz w:val="28"/>
              </w:rPr>
              <w:t>台商投资区供水第二通道工程及厂站技改工程、洛阳桥配套建设连通市区和</w:t>
            </w:r>
            <w:r>
              <w:rPr>
                <w:rFonts w:hint="eastAsia" w:ascii="仿宋" w:eastAsia="仿宋"/>
                <w:color w:val="auto"/>
                <w:sz w:val="28"/>
              </w:rPr>
              <w:t>泉州</w:t>
            </w:r>
            <w:r>
              <w:rPr>
                <w:rFonts w:ascii="仿宋" w:eastAsia="仿宋"/>
                <w:color w:val="auto"/>
                <w:sz w:val="28"/>
              </w:rPr>
              <w:t>台商投资区的DN1000供水主管、市区住宅二次供水设施改造工程</w:t>
            </w:r>
            <w:r>
              <w:rPr>
                <w:rFonts w:hint="eastAsia" w:ascii="仿宋" w:eastAsia="仿宋"/>
                <w:color w:val="auto"/>
                <w:sz w:val="28"/>
              </w:rPr>
              <w:t>。</w:t>
            </w:r>
          </w:p>
          <w:p w14:paraId="7899A757">
            <w:pPr>
              <w:pStyle w:val="48"/>
              <w:ind w:firstLine="562"/>
              <w:rPr>
                <w:rFonts w:ascii="仿宋" w:eastAsia="仿宋"/>
                <w:bCs/>
                <w:color w:val="auto"/>
                <w:sz w:val="32"/>
                <w:szCs w:val="32"/>
              </w:rPr>
            </w:pPr>
            <w:r>
              <w:rPr>
                <w:rFonts w:ascii="仿宋" w:eastAsia="仿宋"/>
                <w:b/>
                <w:color w:val="auto"/>
                <w:sz w:val="28"/>
              </w:rPr>
              <w:t>3.</w:t>
            </w:r>
            <w:r>
              <w:rPr>
                <w:rFonts w:hint="eastAsia" w:ascii="仿宋" w:eastAsia="仿宋"/>
                <w:b/>
                <w:color w:val="auto"/>
                <w:sz w:val="28"/>
              </w:rPr>
              <w:t>城乡供水一体化</w:t>
            </w:r>
            <w:r>
              <w:rPr>
                <w:rFonts w:ascii="仿宋" w:eastAsia="仿宋"/>
                <w:b/>
                <w:color w:val="auto"/>
                <w:sz w:val="28"/>
              </w:rPr>
              <w:t>：</w:t>
            </w:r>
            <w:r>
              <w:rPr>
                <w:rFonts w:hint="eastAsia" w:ascii="仿宋" w:eastAsia="仿宋"/>
                <w:color w:val="auto"/>
                <w:sz w:val="28"/>
              </w:rPr>
              <w:t>洛江区城乡供水一体化项目、惠安县城乡供水一体化工程、德化县城乡供水一体化项目、泉州台商投资区城乡供水一体化项目。</w:t>
            </w:r>
          </w:p>
        </w:tc>
      </w:tr>
    </w:tbl>
    <w:p w14:paraId="5B797E84">
      <w:pPr>
        <w:pStyle w:val="3"/>
        <w:spacing w:line="540" w:lineRule="exact"/>
        <w:ind w:firstLine="643"/>
        <w:rPr>
          <w:rFonts w:ascii="黑体" w:hAnsi="黑体" w:eastAsia="黑体"/>
          <w:kern w:val="0"/>
          <w:sz w:val="32"/>
        </w:rPr>
      </w:pPr>
      <w:bookmarkStart w:id="231" w:name="_Toc17553"/>
      <w:bookmarkStart w:id="232" w:name="_Toc18497"/>
      <w:bookmarkStart w:id="233" w:name="_Toc31540"/>
      <w:bookmarkStart w:id="234" w:name="_Toc12563"/>
      <w:bookmarkStart w:id="235" w:name="_Toc4167"/>
      <w:r>
        <w:rPr>
          <w:rFonts w:hint="eastAsia" w:ascii="黑体" w:hAnsi="黑体" w:eastAsia="黑体"/>
          <w:kern w:val="0"/>
          <w:sz w:val="32"/>
        </w:rPr>
        <w:t>五、城乡生活污水处理</w:t>
      </w:r>
      <w:bookmarkEnd w:id="231"/>
      <w:bookmarkEnd w:id="232"/>
      <w:bookmarkEnd w:id="233"/>
      <w:bookmarkEnd w:id="234"/>
      <w:bookmarkEnd w:id="235"/>
    </w:p>
    <w:p w14:paraId="3D883D7A">
      <w:pPr>
        <w:spacing w:line="540" w:lineRule="exact"/>
        <w:ind w:firstLine="640"/>
        <w:rPr>
          <w:rFonts w:ascii="仿宋" w:hAnsi="仿宋"/>
          <w:sz w:val="32"/>
          <w:szCs w:val="32"/>
        </w:rPr>
      </w:pPr>
      <w:r>
        <w:rPr>
          <w:rFonts w:hint="eastAsia" w:ascii="仿宋" w:hAnsi="仿宋"/>
          <w:sz w:val="32"/>
          <w:szCs w:val="32"/>
        </w:rPr>
        <w:t>大力落实“两江一带”生态保护行动，持续推进污水处理提质增效，统筹水环境、水生态治理，系统推进城乡污水治理。补齐污水处理能力短板，完善城市污水收集系统，全面提升城市水环境质量，积极开展再生水利用。加强农村生活污水处理，基本实现乡镇生活污水处理以县域为单位捆绑打包市场化全覆盖。</w:t>
      </w:r>
    </w:p>
    <w:p w14:paraId="3749001E">
      <w:pPr>
        <w:snapToGrid w:val="0"/>
        <w:spacing w:line="540" w:lineRule="exact"/>
        <w:ind w:firstLine="643"/>
        <w:outlineLvl w:val="2"/>
        <w:rPr>
          <w:rFonts w:ascii="仿宋" w:hAnsi="仿宋"/>
          <w:b/>
          <w:bCs/>
          <w:sz w:val="32"/>
          <w:szCs w:val="32"/>
        </w:rPr>
      </w:pPr>
      <w:bookmarkStart w:id="236" w:name="_Toc24846"/>
      <w:bookmarkStart w:id="237" w:name="_Toc23"/>
      <w:bookmarkStart w:id="238" w:name="_Toc3660"/>
      <w:bookmarkStart w:id="239" w:name="_Toc15486"/>
      <w:bookmarkStart w:id="240" w:name="_Toc16398"/>
      <w:r>
        <w:rPr>
          <w:rFonts w:hint="eastAsia" w:ascii="仿宋" w:hAnsi="仿宋"/>
          <w:b/>
          <w:bCs/>
          <w:kern w:val="0"/>
          <w:sz w:val="32"/>
          <w:szCs w:val="32"/>
        </w:rPr>
        <w:t>（一）</w:t>
      </w:r>
      <w:r>
        <w:rPr>
          <w:rFonts w:hint="eastAsia" w:ascii="仿宋" w:hAnsi="仿宋"/>
          <w:b/>
          <w:bCs/>
          <w:sz w:val="32"/>
          <w:szCs w:val="32"/>
        </w:rPr>
        <w:t>城市生活污水处理</w:t>
      </w:r>
      <w:bookmarkEnd w:id="236"/>
      <w:bookmarkEnd w:id="237"/>
      <w:bookmarkEnd w:id="238"/>
      <w:bookmarkEnd w:id="239"/>
      <w:bookmarkEnd w:id="240"/>
    </w:p>
    <w:p w14:paraId="03CA3D62">
      <w:pPr>
        <w:spacing w:line="540" w:lineRule="exact"/>
        <w:ind w:firstLine="640"/>
        <w:rPr>
          <w:rFonts w:ascii="仿宋" w:hAnsi="仿宋"/>
          <w:sz w:val="32"/>
          <w:szCs w:val="32"/>
        </w:rPr>
      </w:pPr>
      <w:r>
        <w:rPr>
          <w:rFonts w:hint="eastAsia" w:ascii="仿宋" w:hAnsi="仿宋"/>
          <w:sz w:val="32"/>
          <w:szCs w:val="32"/>
        </w:rPr>
        <w:t>扩建已满负荷的生活污水处理厂，补齐城区污水处理能力不足的短板。实施城东污水厂、东海污水厂、惠南污水厂、晋江南港污水厂二期等新改扩建工程，新增污水处理能力</w:t>
      </w:r>
      <w:r>
        <w:rPr>
          <w:rFonts w:ascii="仿宋" w:hAnsi="仿宋"/>
          <w:sz w:val="32"/>
          <w:szCs w:val="32"/>
        </w:rPr>
        <w:t>23.5万吨/日以上，</w:t>
      </w:r>
      <w:r>
        <w:rPr>
          <w:rFonts w:hint="eastAsia" w:ascii="仿宋" w:hAnsi="仿宋"/>
          <w:sz w:val="32"/>
          <w:szCs w:val="32"/>
        </w:rPr>
        <w:t>实现片区污水就近处理，促进城区污水收集处理提质增效。改变“重水清泥”的污水治理思路，补齐污泥处置短板，大力开展污泥安全处置和资源利用。到</w:t>
      </w:r>
      <w:r>
        <w:rPr>
          <w:rFonts w:ascii="仿宋" w:hAnsi="仿宋"/>
          <w:sz w:val="32"/>
          <w:szCs w:val="32"/>
        </w:rPr>
        <w:t>2025年，城市污泥无害化处置率达到99%以上。</w:t>
      </w:r>
    </w:p>
    <w:p w14:paraId="73D351CE">
      <w:pPr>
        <w:snapToGrid w:val="0"/>
        <w:spacing w:line="540" w:lineRule="exact"/>
        <w:ind w:firstLine="643"/>
        <w:outlineLvl w:val="2"/>
        <w:rPr>
          <w:rFonts w:ascii="仿宋" w:hAnsi="仿宋"/>
          <w:b/>
          <w:bCs/>
          <w:sz w:val="32"/>
          <w:szCs w:val="32"/>
        </w:rPr>
      </w:pPr>
      <w:bookmarkStart w:id="241" w:name="_Toc16296"/>
      <w:bookmarkStart w:id="242" w:name="_Toc16023"/>
      <w:bookmarkStart w:id="243" w:name="_Toc5453"/>
      <w:bookmarkStart w:id="244" w:name="_Toc11657"/>
      <w:bookmarkStart w:id="245" w:name="_Toc17941"/>
      <w:r>
        <w:rPr>
          <w:rFonts w:hint="eastAsia" w:ascii="仿宋" w:hAnsi="仿宋"/>
          <w:b/>
          <w:bCs/>
          <w:kern w:val="0"/>
          <w:sz w:val="32"/>
          <w:szCs w:val="32"/>
        </w:rPr>
        <w:t>（二）</w:t>
      </w:r>
      <w:r>
        <w:rPr>
          <w:rFonts w:hint="eastAsia" w:ascii="仿宋" w:hAnsi="仿宋"/>
          <w:b/>
          <w:bCs/>
          <w:sz w:val="32"/>
          <w:szCs w:val="32"/>
        </w:rPr>
        <w:t>城市污水收集系统完善</w:t>
      </w:r>
      <w:bookmarkEnd w:id="241"/>
      <w:bookmarkEnd w:id="242"/>
      <w:bookmarkEnd w:id="243"/>
      <w:bookmarkEnd w:id="244"/>
      <w:bookmarkEnd w:id="245"/>
    </w:p>
    <w:p w14:paraId="634E0F4D">
      <w:pPr>
        <w:spacing w:line="540" w:lineRule="exact"/>
        <w:ind w:firstLine="640"/>
        <w:rPr>
          <w:rFonts w:ascii="仿宋" w:hAnsi="仿宋"/>
          <w:sz w:val="32"/>
          <w:szCs w:val="32"/>
        </w:rPr>
      </w:pPr>
      <w:r>
        <w:rPr>
          <w:rFonts w:hint="eastAsia" w:ascii="仿宋" w:hAnsi="仿宋"/>
          <w:sz w:val="32"/>
          <w:szCs w:val="32"/>
        </w:rPr>
        <w:t>严格落实城镇污水提质增效方案，结合老旧小区改造等工程，大力开展城区雨污分流改造，消除污水直排口，消除老旧城区和城乡结合部污水管网空白区，在深入开展管道排查（普查）工作基础上，持续开展问题管、混接管、病害点的消除工作，提高污水集中收集率。持续推进污水泵站新、改建工作，保障污水顺利收集。构建污水管网在线监测系统，实施管网可视化信息管理。结合片区更新建设改造及市政道路建设改造，配套建设污水管网。到2025年，全市新建改造污水管网500公里以上，城市建成区实现污水管网全覆盖，市区生活污水集中收集率达60%。</w:t>
      </w:r>
    </w:p>
    <w:p w14:paraId="6A4291F7">
      <w:pPr>
        <w:snapToGrid w:val="0"/>
        <w:spacing w:line="540" w:lineRule="exact"/>
        <w:ind w:firstLine="643"/>
        <w:outlineLvl w:val="2"/>
        <w:rPr>
          <w:rFonts w:ascii="仿宋" w:hAnsi="仿宋"/>
          <w:b/>
          <w:bCs/>
          <w:sz w:val="32"/>
          <w:szCs w:val="32"/>
        </w:rPr>
      </w:pPr>
      <w:bookmarkStart w:id="246" w:name="_Toc1029"/>
      <w:bookmarkStart w:id="247" w:name="_Toc18473"/>
      <w:bookmarkStart w:id="248" w:name="_Toc31645"/>
      <w:bookmarkStart w:id="249" w:name="_Toc1739"/>
      <w:bookmarkStart w:id="250" w:name="_Toc4023"/>
      <w:r>
        <w:rPr>
          <w:rFonts w:hint="eastAsia" w:ascii="仿宋" w:hAnsi="仿宋"/>
          <w:b/>
          <w:bCs/>
          <w:kern w:val="0"/>
          <w:sz w:val="32"/>
          <w:szCs w:val="32"/>
        </w:rPr>
        <w:t>（三）</w:t>
      </w:r>
      <w:r>
        <w:rPr>
          <w:rFonts w:hint="eastAsia" w:ascii="仿宋" w:hAnsi="仿宋"/>
          <w:b/>
          <w:bCs/>
          <w:sz w:val="32"/>
          <w:szCs w:val="32"/>
        </w:rPr>
        <w:t>水环境综合整治提升</w:t>
      </w:r>
      <w:bookmarkEnd w:id="246"/>
      <w:bookmarkEnd w:id="247"/>
      <w:bookmarkEnd w:id="248"/>
      <w:bookmarkEnd w:id="249"/>
      <w:bookmarkEnd w:id="250"/>
    </w:p>
    <w:p w14:paraId="62AA57D5">
      <w:pPr>
        <w:spacing w:line="540" w:lineRule="exact"/>
        <w:ind w:firstLine="640"/>
        <w:rPr>
          <w:rFonts w:ascii="仿宋" w:hAnsi="仿宋"/>
          <w:sz w:val="32"/>
          <w:szCs w:val="32"/>
        </w:rPr>
      </w:pPr>
      <w:r>
        <w:rPr>
          <w:rFonts w:hint="eastAsia" w:ascii="仿宋" w:hAnsi="仿宋"/>
          <w:sz w:val="32"/>
          <w:szCs w:val="32"/>
        </w:rPr>
        <w:t>坚持“重在保护、要在治理”的理念，大力实施“两江一带”生态保护行动。强化水岸一体，统筹开展市区内河水系综合治理，进一步提升城市水环境质量，打造水清岸绿堤美、可及可亲可游的生态空间。上下游联动，以控源截污、生态修复为重点，全面启动晋江、洛阳江流域生态修复工程，全面开展入河（湖）排水口排查，开展排水口水质监测，实施排水口分类整治。到</w:t>
      </w:r>
      <w:r>
        <w:rPr>
          <w:rFonts w:ascii="仿宋" w:hAnsi="仿宋"/>
          <w:sz w:val="32"/>
          <w:szCs w:val="32"/>
        </w:rPr>
        <w:t>2025年，基本</w:t>
      </w:r>
      <w:r>
        <w:rPr>
          <w:rFonts w:hint="eastAsia" w:ascii="仿宋" w:hAnsi="仿宋"/>
          <w:sz w:val="32"/>
          <w:szCs w:val="32"/>
        </w:rPr>
        <w:t>完成晋江干流、洛阳江及重要支流、重点湖泊排污口“查、测、溯、治、管”五项主要任务。</w:t>
      </w:r>
    </w:p>
    <w:p w14:paraId="54877376">
      <w:pPr>
        <w:snapToGrid w:val="0"/>
        <w:spacing w:line="540" w:lineRule="exact"/>
        <w:ind w:firstLine="643"/>
        <w:outlineLvl w:val="2"/>
        <w:rPr>
          <w:rFonts w:ascii="仿宋" w:hAnsi="仿宋"/>
          <w:b/>
          <w:bCs/>
          <w:sz w:val="32"/>
          <w:szCs w:val="32"/>
        </w:rPr>
      </w:pPr>
      <w:bookmarkStart w:id="251" w:name="_Toc11544"/>
      <w:bookmarkStart w:id="252" w:name="_Toc26174"/>
      <w:bookmarkStart w:id="253" w:name="_Toc18940"/>
      <w:bookmarkStart w:id="254" w:name="_Toc9148"/>
      <w:bookmarkStart w:id="255" w:name="_Toc2235"/>
      <w:r>
        <w:rPr>
          <w:rFonts w:hint="eastAsia" w:ascii="仿宋" w:hAnsi="仿宋"/>
          <w:b/>
          <w:bCs/>
          <w:kern w:val="0"/>
          <w:sz w:val="32"/>
          <w:szCs w:val="32"/>
        </w:rPr>
        <w:t>（四）</w:t>
      </w:r>
      <w:r>
        <w:rPr>
          <w:rFonts w:hint="eastAsia" w:ascii="仿宋" w:hAnsi="仿宋"/>
          <w:b/>
          <w:bCs/>
          <w:sz w:val="32"/>
          <w:szCs w:val="32"/>
        </w:rPr>
        <w:t>乡镇及农村污水收集与处理提升</w:t>
      </w:r>
      <w:bookmarkEnd w:id="251"/>
      <w:bookmarkEnd w:id="252"/>
      <w:bookmarkEnd w:id="253"/>
      <w:bookmarkEnd w:id="254"/>
      <w:bookmarkEnd w:id="255"/>
    </w:p>
    <w:p w14:paraId="3142F827">
      <w:pPr>
        <w:spacing w:line="540" w:lineRule="exact"/>
        <w:ind w:firstLine="640"/>
        <w:rPr>
          <w:rFonts w:ascii="仿宋" w:hAnsi="仿宋"/>
          <w:sz w:val="32"/>
          <w:szCs w:val="32"/>
        </w:rPr>
      </w:pPr>
      <w:r>
        <w:rPr>
          <w:rFonts w:hint="eastAsia" w:ascii="仿宋" w:hAnsi="仿宋"/>
          <w:sz w:val="32"/>
          <w:szCs w:val="32"/>
        </w:rPr>
        <w:t>加快实施乡镇生活污水处理设施提升改造和管网完善，同步推进建制镇污泥无害化处理处置，逐步建立起乡镇污水处理设施运行监控机制。提升农村水环境质量，重点推进集中式饮用水水源保护区、农村黑臭水体区域、重要海湾沿岸及旅游重点村、乡村振兴试点村等农村污水处理设施建设。到</w:t>
      </w:r>
      <w:r>
        <w:rPr>
          <w:rFonts w:ascii="仿宋" w:hAnsi="仿宋"/>
          <w:sz w:val="32"/>
          <w:szCs w:val="32"/>
        </w:rPr>
        <w:t>2025年，</w:t>
      </w:r>
      <w:r>
        <w:rPr>
          <w:rFonts w:hint="eastAsia" w:ascii="仿宋" w:hAnsi="仿宋"/>
          <w:sz w:val="32"/>
          <w:szCs w:val="32"/>
        </w:rPr>
        <w:t>全市</w:t>
      </w:r>
      <w:r>
        <w:rPr>
          <w:rFonts w:ascii="仿宋" w:hAnsi="仿宋"/>
          <w:sz w:val="32"/>
          <w:szCs w:val="32"/>
        </w:rPr>
        <w:t>以县域为单位捆绑打包实施乡镇生活污水建设运营市场化全覆盖，农村生活污水治理率达到78%以上，设施稳定运行率达90%以上。</w:t>
      </w:r>
    </w:p>
    <w:p w14:paraId="3D668057">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专栏5：</w:t>
      </w:r>
      <w:r>
        <w:rPr>
          <w:rFonts w:hint="eastAsia" w:ascii="黑体" w:hAnsi="黑体" w:eastAsia="黑体" w:cs="黑体"/>
          <w:kern w:val="0"/>
          <w:szCs w:val="28"/>
        </w:rPr>
        <w:t>城乡生活污水处理工程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62A1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AE7BD24">
            <w:pPr>
              <w:pStyle w:val="48"/>
              <w:spacing w:before="197" w:beforeLines="50"/>
              <w:ind w:firstLine="562"/>
              <w:rPr>
                <w:rFonts w:ascii="仿宋" w:eastAsia="仿宋"/>
                <w:color w:val="auto"/>
                <w:sz w:val="28"/>
              </w:rPr>
            </w:pPr>
            <w:r>
              <w:rPr>
                <w:rFonts w:ascii="仿宋" w:eastAsia="仿宋"/>
                <w:b/>
                <w:color w:val="auto"/>
                <w:sz w:val="28"/>
              </w:rPr>
              <w:t>1.</w:t>
            </w:r>
            <w:r>
              <w:rPr>
                <w:rFonts w:hint="eastAsia" w:ascii="仿宋" w:eastAsia="仿宋"/>
                <w:b/>
                <w:color w:val="auto"/>
                <w:sz w:val="28"/>
              </w:rPr>
              <w:t>城市污水厂站建设</w:t>
            </w:r>
            <w:r>
              <w:rPr>
                <w:rFonts w:ascii="仿宋" w:eastAsia="仿宋"/>
                <w:b/>
                <w:color w:val="auto"/>
                <w:sz w:val="28"/>
              </w:rPr>
              <w:t>：</w:t>
            </w:r>
            <w:r>
              <w:rPr>
                <w:rFonts w:hint="eastAsia" w:ascii="仿宋" w:eastAsia="仿宋"/>
                <w:color w:val="auto"/>
                <w:sz w:val="28"/>
              </w:rPr>
              <w:t>泉州市城东污水处理厂扩建工程（扩建规模</w:t>
            </w:r>
            <w:r>
              <w:rPr>
                <w:rFonts w:ascii="仿宋" w:eastAsia="仿宋"/>
                <w:color w:val="auto"/>
                <w:sz w:val="28"/>
              </w:rPr>
              <w:t>4.5万吨/天）、泉州市东海污水处理厂扩建工程（扩建规模</w:t>
            </w:r>
            <w:r>
              <w:rPr>
                <w:rFonts w:hint="eastAsia" w:ascii="仿宋" w:eastAsia="仿宋"/>
                <w:color w:val="auto"/>
                <w:sz w:val="28"/>
              </w:rPr>
              <w:t>2</w:t>
            </w:r>
            <w:r>
              <w:rPr>
                <w:rFonts w:ascii="仿宋" w:eastAsia="仿宋"/>
                <w:color w:val="auto"/>
                <w:sz w:val="28"/>
              </w:rPr>
              <w:t>.5万吨/天）、河市西片区污水处理厂（新建规模4万吨/天）、晋江南港污水处理厂二期扩建工程（扩建规模5万吨/天）</w:t>
            </w:r>
            <w:r>
              <w:rPr>
                <w:rFonts w:hint="eastAsia" w:ascii="仿宋" w:eastAsia="仿宋"/>
                <w:color w:val="auto"/>
                <w:sz w:val="28"/>
              </w:rPr>
              <w:t>。</w:t>
            </w:r>
          </w:p>
          <w:p w14:paraId="18C0F849">
            <w:pPr>
              <w:pStyle w:val="48"/>
              <w:ind w:firstLine="562"/>
              <w:rPr>
                <w:rFonts w:ascii="仿宋" w:eastAsia="仿宋"/>
                <w:color w:val="auto"/>
                <w:sz w:val="28"/>
              </w:rPr>
            </w:pPr>
            <w:r>
              <w:rPr>
                <w:rFonts w:ascii="仿宋" w:eastAsia="仿宋"/>
                <w:b/>
                <w:color w:val="auto"/>
                <w:sz w:val="28"/>
              </w:rPr>
              <w:t>2.</w:t>
            </w:r>
            <w:r>
              <w:rPr>
                <w:rFonts w:hint="eastAsia" w:ascii="仿宋" w:eastAsia="仿宋"/>
                <w:b/>
                <w:color w:val="auto"/>
                <w:sz w:val="28"/>
              </w:rPr>
              <w:t>城市污水收集系统建设</w:t>
            </w:r>
            <w:r>
              <w:rPr>
                <w:rFonts w:ascii="仿宋" w:eastAsia="仿宋"/>
                <w:b/>
                <w:color w:val="auto"/>
                <w:sz w:val="28"/>
              </w:rPr>
              <w:t>：</w:t>
            </w:r>
            <w:r>
              <w:rPr>
                <w:rFonts w:hint="eastAsia" w:ascii="仿宋" w:eastAsia="仿宋"/>
                <w:color w:val="auto"/>
                <w:sz w:val="28"/>
              </w:rPr>
              <w:t>持续推进市区雨污分流改造工作，推动小区、城中村、农贸市场、企事业单位等进行源头雨污分流改造，改造市区雨污混接点；完成古城污水管网建设改造</w:t>
            </w:r>
            <w:r>
              <w:rPr>
                <w:rFonts w:ascii="仿宋" w:eastAsia="仿宋"/>
                <w:color w:val="auto"/>
                <w:sz w:val="28"/>
              </w:rPr>
              <w:t>13公里以上；开展市区雨污管网清淤排查及修复工作</w:t>
            </w:r>
            <w:r>
              <w:rPr>
                <w:rFonts w:hint="eastAsia" w:ascii="仿宋" w:eastAsia="仿宋"/>
                <w:color w:val="auto"/>
                <w:sz w:val="28"/>
              </w:rPr>
              <w:t>；</w:t>
            </w:r>
            <w:r>
              <w:rPr>
                <w:rFonts w:ascii="仿宋" w:eastAsia="仿宋"/>
                <w:color w:val="auto"/>
                <w:sz w:val="28"/>
              </w:rPr>
              <w:t>完善水质监测点，</w:t>
            </w:r>
            <w:r>
              <w:rPr>
                <w:rFonts w:hint="eastAsia" w:ascii="仿宋" w:eastAsia="仿宋"/>
                <w:color w:val="auto"/>
                <w:sz w:val="28"/>
              </w:rPr>
              <w:t>构建污水管网在线监测系统</w:t>
            </w:r>
            <w:r>
              <w:rPr>
                <w:rFonts w:ascii="仿宋" w:eastAsia="仿宋"/>
                <w:color w:val="auto"/>
                <w:sz w:val="28"/>
              </w:rPr>
              <w:t>。</w:t>
            </w:r>
          </w:p>
          <w:p w14:paraId="49306620">
            <w:pPr>
              <w:pStyle w:val="48"/>
              <w:ind w:firstLine="562"/>
              <w:rPr>
                <w:rFonts w:ascii="仿宋" w:eastAsia="仿宋"/>
                <w:b/>
                <w:color w:val="auto"/>
                <w:sz w:val="28"/>
              </w:rPr>
            </w:pPr>
            <w:r>
              <w:rPr>
                <w:rFonts w:ascii="仿宋" w:eastAsia="仿宋"/>
                <w:b/>
                <w:color w:val="auto"/>
                <w:sz w:val="28"/>
              </w:rPr>
              <w:t>3.</w:t>
            </w:r>
            <w:r>
              <w:rPr>
                <w:rFonts w:hint="eastAsia" w:ascii="仿宋" w:eastAsia="仿宋"/>
                <w:b/>
                <w:color w:val="auto"/>
                <w:sz w:val="28"/>
              </w:rPr>
              <w:t>水环境综合整治提升</w:t>
            </w:r>
            <w:r>
              <w:rPr>
                <w:rFonts w:ascii="仿宋" w:eastAsia="仿宋"/>
                <w:b/>
                <w:color w:val="auto"/>
                <w:sz w:val="28"/>
              </w:rPr>
              <w:t>：</w:t>
            </w:r>
            <w:r>
              <w:rPr>
                <w:rFonts w:hint="eastAsia" w:ascii="仿宋" w:eastAsia="仿宋"/>
                <w:color w:val="auto"/>
                <w:sz w:val="28"/>
              </w:rPr>
              <w:t>晋江下游河道生态修复工程，对金鸡拦河闸至入海口河段进行河道疏浚、岸滩生态修复、景观提升等；洛阳江流域综合整治，以洛阳江西埭桥至福厦高速桥段和河市西溪段为主，整治工程包括河道工程、防洪工程、截污、清淤、河岸生态景观、管线迁改、水土保持及交通疏解等；市区内沟河综合整治，根据污水提质方案开展市区内河截污系统建设改造等。</w:t>
            </w:r>
          </w:p>
          <w:p w14:paraId="507EFDD8">
            <w:pPr>
              <w:pStyle w:val="48"/>
              <w:ind w:firstLine="562"/>
              <w:rPr>
                <w:rFonts w:ascii="仿宋" w:eastAsia="仿宋"/>
                <w:bCs/>
                <w:color w:val="auto"/>
                <w:sz w:val="28"/>
              </w:rPr>
            </w:pPr>
            <w:r>
              <w:rPr>
                <w:rFonts w:ascii="仿宋" w:eastAsia="仿宋"/>
                <w:b/>
                <w:color w:val="auto"/>
                <w:sz w:val="28"/>
              </w:rPr>
              <w:t>4.</w:t>
            </w:r>
            <w:r>
              <w:rPr>
                <w:rFonts w:hint="eastAsia" w:ascii="仿宋" w:eastAsia="仿宋"/>
                <w:b/>
                <w:color w:val="auto"/>
                <w:sz w:val="28"/>
              </w:rPr>
              <w:t>乡镇与农村污水</w:t>
            </w:r>
            <w:r>
              <w:rPr>
                <w:rFonts w:ascii="仿宋" w:eastAsia="仿宋"/>
                <w:b/>
                <w:color w:val="auto"/>
                <w:sz w:val="28"/>
              </w:rPr>
              <w:t>：</w:t>
            </w:r>
            <w:r>
              <w:rPr>
                <w:rFonts w:hint="eastAsia" w:ascii="仿宋" w:eastAsia="仿宋"/>
                <w:color w:val="auto"/>
                <w:sz w:val="28"/>
              </w:rPr>
              <w:t>德化县乡镇污水管网建设改造、惠安县农村生活污水治理</w:t>
            </w:r>
            <w:r>
              <w:rPr>
                <w:rFonts w:ascii="仿宋" w:eastAsia="仿宋"/>
                <w:color w:val="auto"/>
                <w:sz w:val="28"/>
              </w:rPr>
              <w:t>PPP项目、重点流域沿线农村生活污水处理项目</w:t>
            </w:r>
            <w:r>
              <w:rPr>
                <w:rFonts w:hint="eastAsia" w:ascii="仿宋" w:eastAsia="仿宋"/>
                <w:color w:val="auto"/>
                <w:sz w:val="28"/>
              </w:rPr>
              <w:t>。</w:t>
            </w:r>
          </w:p>
        </w:tc>
      </w:tr>
    </w:tbl>
    <w:p w14:paraId="7727B1CF">
      <w:pPr>
        <w:pStyle w:val="3"/>
        <w:spacing w:line="540" w:lineRule="exact"/>
        <w:ind w:firstLine="643"/>
        <w:rPr>
          <w:rFonts w:ascii="黑体" w:hAnsi="黑体" w:eastAsia="黑体"/>
          <w:sz w:val="32"/>
        </w:rPr>
      </w:pPr>
      <w:bookmarkStart w:id="256" w:name="_Toc25249"/>
      <w:bookmarkStart w:id="257" w:name="_Toc4526"/>
      <w:bookmarkStart w:id="258" w:name="_Toc24863"/>
      <w:bookmarkStart w:id="259" w:name="_Toc5810"/>
      <w:bookmarkStart w:id="260" w:name="_Toc18360"/>
      <w:r>
        <w:rPr>
          <w:rFonts w:hint="eastAsia" w:ascii="黑体" w:hAnsi="黑体" w:eastAsia="黑体"/>
          <w:kern w:val="0"/>
          <w:sz w:val="32"/>
        </w:rPr>
        <w:t>六、</w:t>
      </w:r>
      <w:r>
        <w:rPr>
          <w:rFonts w:hint="eastAsia" w:ascii="黑体" w:hAnsi="黑体" w:eastAsia="黑体"/>
          <w:sz w:val="32"/>
        </w:rPr>
        <w:t>城乡环境卫生</w:t>
      </w:r>
      <w:bookmarkEnd w:id="256"/>
      <w:bookmarkEnd w:id="257"/>
      <w:bookmarkEnd w:id="258"/>
      <w:bookmarkEnd w:id="259"/>
      <w:bookmarkEnd w:id="260"/>
    </w:p>
    <w:p w14:paraId="1D473014">
      <w:pPr>
        <w:spacing w:line="540" w:lineRule="exact"/>
        <w:ind w:firstLine="640"/>
        <w:rPr>
          <w:sz w:val="32"/>
          <w:szCs w:val="32"/>
        </w:rPr>
      </w:pPr>
      <w:r>
        <w:rPr>
          <w:rFonts w:hint="eastAsia" w:ascii="仿宋" w:hAnsi="仿宋"/>
          <w:sz w:val="32"/>
          <w:szCs w:val="32"/>
        </w:rPr>
        <w:t>完善垃圾分类制度和城乡生活垃圾收运处理体系，启动环卫一体化改革，加快生活垃圾焚烧发电设施和餐厨垃圾处理设施建设，基本实现原生生活垃圾“零填埋”</w:t>
      </w:r>
      <w:r>
        <w:rPr>
          <w:rFonts w:hint="eastAsia" w:ascii="仿宋" w:hAnsi="仿宋" w:cs="仿宋"/>
          <w:sz w:val="32"/>
          <w:szCs w:val="32"/>
        </w:rPr>
        <w:t>和餐厨垃圾处理设施全覆盖；进一步巩固“厕所革命”成果，</w:t>
      </w:r>
      <w:r>
        <w:rPr>
          <w:rFonts w:hint="eastAsia"/>
          <w:sz w:val="32"/>
          <w:szCs w:val="32"/>
        </w:rPr>
        <w:t>健全公厕日常管理长效机制。</w:t>
      </w:r>
    </w:p>
    <w:p w14:paraId="762E7B62">
      <w:pPr>
        <w:snapToGrid w:val="0"/>
        <w:spacing w:line="540" w:lineRule="exact"/>
        <w:ind w:firstLine="643"/>
        <w:outlineLvl w:val="2"/>
        <w:rPr>
          <w:rFonts w:ascii="楷体" w:hAnsi="楷体" w:eastAsia="楷体"/>
          <w:b/>
          <w:bCs/>
          <w:sz w:val="32"/>
          <w:szCs w:val="32"/>
        </w:rPr>
      </w:pPr>
      <w:bookmarkStart w:id="261" w:name="_Toc22794"/>
      <w:bookmarkStart w:id="262" w:name="_Toc27598"/>
      <w:bookmarkStart w:id="263" w:name="_Toc9268"/>
      <w:bookmarkStart w:id="264" w:name="_Toc25482"/>
      <w:bookmarkStart w:id="265" w:name="_Toc26120"/>
      <w:r>
        <w:rPr>
          <w:rFonts w:hint="eastAsia" w:ascii="楷体" w:hAnsi="楷体" w:eastAsia="楷体"/>
          <w:b/>
          <w:bCs/>
          <w:kern w:val="0"/>
          <w:sz w:val="32"/>
          <w:szCs w:val="32"/>
        </w:rPr>
        <w:t>（一）</w:t>
      </w:r>
      <w:r>
        <w:rPr>
          <w:rFonts w:hint="eastAsia" w:ascii="楷体" w:hAnsi="楷体" w:eastAsia="楷体"/>
          <w:b/>
          <w:bCs/>
          <w:sz w:val="32"/>
          <w:szCs w:val="32"/>
        </w:rPr>
        <w:t>推进生活垃圾分类处理</w:t>
      </w:r>
      <w:bookmarkEnd w:id="261"/>
      <w:bookmarkEnd w:id="262"/>
      <w:bookmarkEnd w:id="263"/>
      <w:bookmarkEnd w:id="264"/>
      <w:bookmarkEnd w:id="265"/>
    </w:p>
    <w:p w14:paraId="2D0EB840">
      <w:pPr>
        <w:spacing w:line="540" w:lineRule="exact"/>
        <w:ind w:firstLine="643"/>
        <w:rPr>
          <w:sz w:val="32"/>
          <w:szCs w:val="32"/>
        </w:rPr>
      </w:pPr>
      <w:r>
        <w:rPr>
          <w:rFonts w:hint="eastAsia"/>
          <w:b/>
          <w:bCs/>
          <w:sz w:val="32"/>
          <w:szCs w:val="32"/>
        </w:rPr>
        <w:t>完善生活垃圾分类体系。</w:t>
      </w:r>
      <w:r>
        <w:rPr>
          <w:rFonts w:hint="eastAsia"/>
          <w:sz w:val="32"/>
          <w:szCs w:val="32"/>
        </w:rPr>
        <w:t>加强制度体系建设，加快出台《泉州市生活垃圾分类管理办法》。按照“点面结合、示范带动、整体推进”的原则，持续开展生活垃圾分类示范小区、片区建设，省、市级示范片区不少于</w:t>
      </w:r>
      <w:r>
        <w:rPr>
          <w:rFonts w:ascii="Times New Roman" w:hAnsi="Times New Roman"/>
          <w:sz w:val="32"/>
          <w:szCs w:val="32"/>
        </w:rPr>
        <w:t>15个，市级示范居住小区不少于150个，形成一批可复制、可推广的泉州模式。市区建成区全面建成、县城基本建成生活垃圾分类投放、分类收集、分类运输、分类处理系统，农村基本建立有机垃圾生态处理机制。城市生活垃圾资源化利用率达80%</w:t>
      </w:r>
      <w:r>
        <w:rPr>
          <w:sz w:val="32"/>
          <w:szCs w:val="32"/>
        </w:rPr>
        <w:t>以上</w:t>
      </w:r>
      <w:r>
        <w:rPr>
          <w:rFonts w:hint="eastAsia"/>
          <w:sz w:val="32"/>
          <w:szCs w:val="32"/>
        </w:rPr>
        <w:t>，</w:t>
      </w:r>
      <w:r>
        <w:rPr>
          <w:sz w:val="32"/>
          <w:szCs w:val="32"/>
        </w:rPr>
        <w:t>居民普遍形成生活垃圾分类习惯。</w:t>
      </w:r>
    </w:p>
    <w:p w14:paraId="762A6D4D">
      <w:pPr>
        <w:spacing w:line="540" w:lineRule="exact"/>
        <w:ind w:firstLine="643"/>
        <w:rPr>
          <w:rFonts w:ascii="Times New Roman" w:hAnsi="Times New Roman"/>
          <w:sz w:val="32"/>
          <w:szCs w:val="32"/>
        </w:rPr>
      </w:pPr>
      <w:r>
        <w:rPr>
          <w:rFonts w:hint="eastAsia"/>
          <w:b/>
          <w:sz w:val="32"/>
          <w:szCs w:val="32"/>
        </w:rPr>
        <w:t>健全“户分类、村收集、镇转运、县处理”的城乡生活垃圾收运处理体系。</w:t>
      </w:r>
      <w:r>
        <w:rPr>
          <w:rFonts w:hint="eastAsia" w:ascii="仿宋" w:hAnsi="仿宋" w:cs="仿宋"/>
          <w:sz w:val="32"/>
          <w:szCs w:val="32"/>
        </w:rPr>
        <w:t>市本级推进建成泉州江南片区大型垃圾转运站，并配套生活垃圾转运车辆；加快实施城东、双阳等片区小型垃圾转运站设备更新改造、晋江市城市垃圾收运系统改造提升工程和惠安生活垃圾转运系统建设项目。根据四分</w:t>
      </w:r>
      <w:r>
        <w:rPr>
          <w:rFonts w:hint="eastAsia" w:ascii="Times New Roman" w:hAnsi="Times New Roman"/>
          <w:sz w:val="32"/>
          <w:szCs w:val="32"/>
        </w:rPr>
        <w:t>类垃圾的收集量，适时增加车辆，确保运输能力与分类收集量相匹配，到</w:t>
      </w:r>
      <w:r>
        <w:rPr>
          <w:rFonts w:ascii="Times New Roman" w:hAnsi="Times New Roman"/>
          <w:sz w:val="32"/>
          <w:szCs w:val="32"/>
        </w:rPr>
        <w:t>2025年，计划更新转运车辆453辆。</w:t>
      </w:r>
      <w:r>
        <w:rPr>
          <w:rFonts w:hint="eastAsia" w:ascii="Times New Roman" w:hAnsi="Times New Roman"/>
          <w:sz w:val="32"/>
          <w:szCs w:val="32"/>
        </w:rPr>
        <w:t>推广以县域为单位打捆村庄保洁、垃圾转运、农村公厕管护等，进行市场化运营管理。</w:t>
      </w:r>
    </w:p>
    <w:p w14:paraId="081D6746">
      <w:pPr>
        <w:spacing w:line="540" w:lineRule="exact"/>
        <w:ind w:firstLine="643"/>
        <w:rPr>
          <w:sz w:val="32"/>
          <w:szCs w:val="32"/>
        </w:rPr>
      </w:pPr>
      <w:r>
        <w:rPr>
          <w:rFonts w:hint="eastAsia"/>
          <w:b/>
          <w:bCs/>
          <w:sz w:val="32"/>
          <w:szCs w:val="32"/>
        </w:rPr>
        <w:t>推进环卫一体化改革。</w:t>
      </w:r>
      <w:r>
        <w:rPr>
          <w:rFonts w:hint="eastAsia"/>
          <w:sz w:val="32"/>
          <w:szCs w:val="32"/>
        </w:rPr>
        <w:t>巩固石狮市区域环卫一体化作业，南安城乡环卫一体化，惠安垃圾中转站市场化；推进鲤城区、丰泽区环卫一体化改革，将鲤城区、丰泽区环境卫生、市政设施、园林绿化、停车场运营、物业服务、户外广告等业务整体委托市属国有企业运作，形成标准化作业，精细化管理；其余各县（市、区）适时启动环卫一体化改革工作。</w:t>
      </w:r>
    </w:p>
    <w:p w14:paraId="6B32DE87">
      <w:pPr>
        <w:spacing w:line="540" w:lineRule="exact"/>
        <w:ind w:firstLine="643"/>
        <w:rPr>
          <w:rFonts w:ascii="仿宋" w:hAnsi="仿宋" w:cs="仿宋"/>
          <w:sz w:val="32"/>
          <w:szCs w:val="32"/>
        </w:rPr>
      </w:pPr>
      <w:r>
        <w:rPr>
          <w:rFonts w:hint="eastAsia"/>
          <w:b/>
          <w:bCs/>
          <w:sz w:val="32"/>
          <w:szCs w:val="32"/>
        </w:rPr>
        <w:t>提升生活垃圾处理能力。</w:t>
      </w:r>
      <w:r>
        <w:rPr>
          <w:rFonts w:hint="eastAsia"/>
          <w:sz w:val="32"/>
          <w:szCs w:val="32"/>
        </w:rPr>
        <w:t>完善垃圾处理设施的建设，构建以焚烧为主、生</w:t>
      </w:r>
      <w:r>
        <w:rPr>
          <w:rFonts w:hint="eastAsia" w:ascii="仿宋" w:hAnsi="仿宋" w:cs="仿宋"/>
          <w:sz w:val="32"/>
          <w:szCs w:val="32"/>
        </w:rPr>
        <w:t>物为辅、应急填埋为补充的生活垃圾终端处理体系，基本实现原生生活垃圾“零填埋”。加快永春县、德化县生活垃圾焚烧发电项目建设，到</w:t>
      </w:r>
      <w:r>
        <w:rPr>
          <w:rFonts w:ascii="仿宋" w:hAnsi="仿宋" w:cs="仿宋"/>
          <w:sz w:val="32"/>
          <w:szCs w:val="32"/>
        </w:rPr>
        <w:t>2025年，全市城乡（含县城）生活垃圾无害化处理率维持100%，生活垃圾焚烧处理能力达9950吨/日以上，焚烧处理能力满足处</w:t>
      </w:r>
      <w:r>
        <w:rPr>
          <w:rFonts w:hint="eastAsia"/>
          <w:sz w:val="32"/>
          <w:szCs w:val="32"/>
        </w:rPr>
        <w:t>理需</w:t>
      </w:r>
      <w:r>
        <w:rPr>
          <w:rFonts w:hint="eastAsia" w:ascii="仿宋" w:hAnsi="仿宋" w:cs="仿宋"/>
          <w:sz w:val="32"/>
          <w:szCs w:val="32"/>
        </w:rPr>
        <w:t>求且适度超前，实现全市生活垃圾全域焚烧零填埋。城市、县城、所有乡镇（集镇区）生活垃圾日产日清，清运率达</w:t>
      </w:r>
      <w:r>
        <w:rPr>
          <w:rFonts w:ascii="仿宋" w:hAnsi="仿宋" w:cs="仿宋"/>
          <w:sz w:val="32"/>
          <w:szCs w:val="32"/>
        </w:rPr>
        <w:t>100%。利用5</w:t>
      </w:r>
      <w:r>
        <w:rPr>
          <w:rFonts w:hint="eastAsia" w:ascii="Times New Roman" w:hAnsi="Times New Roman"/>
          <w:sz w:val="32"/>
          <w:szCs w:val="32"/>
        </w:rPr>
        <w:t>~</w:t>
      </w:r>
      <w:r>
        <w:rPr>
          <w:rFonts w:ascii="仿宋" w:hAnsi="仿宋" w:cs="仿宋"/>
          <w:sz w:val="32"/>
          <w:szCs w:val="32"/>
        </w:rPr>
        <w:t>10年时间逐步将室仔前填埋场垃圾重新开挖处置，对填埋场及周边土壤环境进行治理，部分库区（约200万立方米）重新按现行规范进行防渗</w:t>
      </w:r>
      <w:r>
        <w:rPr>
          <w:rFonts w:hint="eastAsia" w:ascii="仿宋" w:hAnsi="仿宋" w:cs="仿宋"/>
          <w:sz w:val="32"/>
          <w:szCs w:val="32"/>
        </w:rPr>
        <w:t>处理</w:t>
      </w:r>
      <w:r>
        <w:rPr>
          <w:rFonts w:ascii="仿宋" w:hAnsi="仿宋" w:cs="仿宋"/>
          <w:sz w:val="32"/>
          <w:szCs w:val="32"/>
        </w:rPr>
        <w:t>作为市区应急填埋场。</w:t>
      </w:r>
    </w:p>
    <w:p w14:paraId="2380D146">
      <w:pPr>
        <w:spacing w:line="540" w:lineRule="exact"/>
        <w:ind w:firstLine="643"/>
        <w:rPr>
          <w:sz w:val="32"/>
          <w:szCs w:val="32"/>
        </w:rPr>
      </w:pPr>
      <w:r>
        <w:rPr>
          <w:rFonts w:hint="eastAsia"/>
          <w:b/>
          <w:bCs/>
          <w:sz w:val="32"/>
          <w:szCs w:val="32"/>
        </w:rPr>
        <w:t>实现餐厨垃圾处理设施全覆盖。</w:t>
      </w:r>
      <w:r>
        <w:rPr>
          <w:rFonts w:hint="eastAsia"/>
          <w:sz w:val="32"/>
          <w:szCs w:val="32"/>
        </w:rPr>
        <w:t>加快石狮市、晋江市、惠安县、安溪县、永春县、德化县餐厨垃圾</w:t>
      </w:r>
      <w:r>
        <w:rPr>
          <w:rFonts w:hint="eastAsia" w:ascii="仿宋" w:hAnsi="仿宋" w:cs="仿宋"/>
          <w:sz w:val="32"/>
          <w:szCs w:val="32"/>
        </w:rPr>
        <w:t>处理设施建设工作，餐厨垃圾处理能力达</w:t>
      </w:r>
      <w:r>
        <w:rPr>
          <w:rFonts w:ascii="仿宋" w:hAnsi="仿宋" w:cs="仿宋"/>
          <w:sz w:val="32"/>
          <w:szCs w:val="32"/>
        </w:rPr>
        <w:t>400</w:t>
      </w:r>
      <w:r>
        <w:rPr>
          <w:rFonts w:hint="eastAsia" w:ascii="仿宋" w:hAnsi="仿宋" w:cs="仿宋"/>
          <w:sz w:val="32"/>
          <w:szCs w:val="32"/>
        </w:rPr>
        <w:t>吨</w:t>
      </w:r>
      <w:r>
        <w:rPr>
          <w:rFonts w:ascii="仿宋" w:hAnsi="仿宋" w:cs="仿宋"/>
          <w:sz w:val="32"/>
          <w:szCs w:val="32"/>
        </w:rPr>
        <w:t>/</w:t>
      </w:r>
      <w:r>
        <w:rPr>
          <w:rFonts w:hint="eastAsia" w:ascii="仿宋" w:hAnsi="仿宋" w:cs="仿宋"/>
          <w:sz w:val="32"/>
          <w:szCs w:val="32"/>
        </w:rPr>
        <w:t>日以上</w:t>
      </w:r>
      <w:r>
        <w:rPr>
          <w:rFonts w:ascii="仿宋" w:hAnsi="仿宋" w:cs="仿宋"/>
          <w:sz w:val="32"/>
          <w:szCs w:val="32"/>
        </w:rPr>
        <w:t>。市本级餐厨垃圾依托周边县</w:t>
      </w:r>
      <w:r>
        <w:rPr>
          <w:rFonts w:hint="eastAsia" w:ascii="仿宋" w:hAnsi="仿宋" w:cs="仿宋"/>
          <w:sz w:val="32"/>
          <w:szCs w:val="32"/>
        </w:rPr>
        <w:t>（</w:t>
      </w:r>
      <w:r>
        <w:rPr>
          <w:rFonts w:ascii="仿宋" w:hAnsi="仿宋" w:cs="仿宋"/>
          <w:sz w:val="32"/>
          <w:szCs w:val="32"/>
        </w:rPr>
        <w:t>市</w:t>
      </w:r>
      <w:r>
        <w:rPr>
          <w:rFonts w:hint="eastAsia" w:ascii="仿宋" w:hAnsi="仿宋" w:cs="仿宋"/>
          <w:sz w:val="32"/>
          <w:szCs w:val="32"/>
        </w:rPr>
        <w:t>）</w:t>
      </w:r>
      <w:r>
        <w:rPr>
          <w:rFonts w:ascii="仿宋" w:hAnsi="仿宋" w:cs="仿宋"/>
          <w:sz w:val="32"/>
          <w:szCs w:val="32"/>
        </w:rPr>
        <w:t>进行处理。到2025年，市本级、各县（市、区）实现餐厨垃圾有效处理,</w:t>
      </w:r>
      <w:r>
        <w:rPr>
          <w:rFonts w:hint="eastAsia" w:ascii="仿宋" w:hAnsi="仿宋" w:cs="仿宋"/>
          <w:sz w:val="32"/>
          <w:szCs w:val="32"/>
        </w:rPr>
        <w:t>同时鲤城区、丰泽区、泉州开发区启动</w:t>
      </w:r>
      <w:r>
        <w:rPr>
          <w:rFonts w:ascii="仿宋" w:hAnsi="仿宋" w:cs="仿宋"/>
          <w:sz w:val="32"/>
          <w:szCs w:val="32"/>
        </w:rPr>
        <w:t>8</w:t>
      </w:r>
      <w:r>
        <w:rPr>
          <w:rFonts w:hint="eastAsia" w:ascii="仿宋" w:hAnsi="仿宋" w:cs="仿宋"/>
          <w:sz w:val="32"/>
          <w:szCs w:val="32"/>
        </w:rPr>
        <w:t>条厨余垃圾直运线路，各县（市、区）全面推行厨余垃圾直运。</w:t>
      </w:r>
    </w:p>
    <w:p w14:paraId="2EFC6583">
      <w:pPr>
        <w:snapToGrid w:val="0"/>
        <w:spacing w:line="540" w:lineRule="exact"/>
        <w:ind w:firstLine="643"/>
        <w:outlineLvl w:val="2"/>
        <w:rPr>
          <w:rFonts w:ascii="楷体" w:hAnsi="楷体" w:eastAsia="楷体"/>
          <w:b/>
          <w:bCs/>
          <w:sz w:val="32"/>
          <w:szCs w:val="32"/>
        </w:rPr>
      </w:pPr>
      <w:bookmarkStart w:id="266" w:name="_Toc11823"/>
      <w:bookmarkStart w:id="267" w:name="_Toc15858"/>
      <w:bookmarkStart w:id="268" w:name="_Toc28118"/>
      <w:bookmarkStart w:id="269" w:name="_Toc23287"/>
      <w:bookmarkStart w:id="270" w:name="_Toc17195"/>
      <w:r>
        <w:rPr>
          <w:rFonts w:hint="eastAsia" w:ascii="楷体" w:hAnsi="楷体" w:eastAsia="楷体"/>
          <w:b/>
          <w:bCs/>
          <w:kern w:val="0"/>
          <w:sz w:val="32"/>
          <w:szCs w:val="32"/>
        </w:rPr>
        <w:t>（二）</w:t>
      </w:r>
      <w:r>
        <w:rPr>
          <w:rFonts w:hint="eastAsia" w:ascii="楷体" w:hAnsi="楷体" w:eastAsia="楷体"/>
          <w:b/>
          <w:bCs/>
          <w:sz w:val="32"/>
          <w:szCs w:val="32"/>
        </w:rPr>
        <w:t>推动城市保洁和村庄清洁</w:t>
      </w:r>
      <w:bookmarkEnd w:id="266"/>
      <w:bookmarkEnd w:id="267"/>
      <w:bookmarkEnd w:id="268"/>
      <w:bookmarkEnd w:id="269"/>
      <w:bookmarkEnd w:id="270"/>
    </w:p>
    <w:p w14:paraId="55008CB5">
      <w:pPr>
        <w:spacing w:line="540" w:lineRule="exact"/>
        <w:ind w:firstLine="640"/>
        <w:rPr>
          <w:sz w:val="32"/>
          <w:szCs w:val="32"/>
        </w:rPr>
      </w:pPr>
      <w:r>
        <w:rPr>
          <w:rFonts w:hint="eastAsia"/>
          <w:sz w:val="32"/>
          <w:szCs w:val="32"/>
        </w:rPr>
        <w:t>推行</w:t>
      </w:r>
      <w:r>
        <w:rPr>
          <w:rFonts w:hint="eastAsia" w:ascii="仿宋" w:hAnsi="仿宋" w:cs="仿宋"/>
          <w:sz w:val="32"/>
          <w:szCs w:val="32"/>
        </w:rPr>
        <w:t>城市道路清扫保洁机械化作业方式，开展背街小巷环境卫生综合整治，提高道路保洁质量和效率。到</w:t>
      </w:r>
      <w:r>
        <w:rPr>
          <w:rFonts w:ascii="仿宋" w:hAnsi="仿宋" w:cs="仿宋"/>
          <w:sz w:val="32"/>
          <w:szCs w:val="32"/>
        </w:rPr>
        <w:t>2025年，</w:t>
      </w:r>
      <w:r>
        <w:rPr>
          <w:rFonts w:hint="eastAsia" w:ascii="仿宋" w:hAnsi="仿宋" w:cs="仿宋"/>
          <w:sz w:val="32"/>
          <w:szCs w:val="32"/>
        </w:rPr>
        <w:t>市区建成区道路机械化清扫率达80%以上，县（市）城市建成区达70%以上。拓展优化“三清一改”内容，由“清脏”向“治乱”“美化”拓展，由“一时清脏”向“长期清洁”拓展。加大村庄公共环境整治力度，定期组织群众开展各具特色的主题清洁活动，推动村庄清洁行动常态化、制度化、持续化。</w:t>
      </w:r>
    </w:p>
    <w:p w14:paraId="7B2B187D">
      <w:pPr>
        <w:snapToGrid w:val="0"/>
        <w:spacing w:line="540" w:lineRule="exact"/>
        <w:ind w:firstLine="643"/>
        <w:outlineLvl w:val="2"/>
        <w:rPr>
          <w:rFonts w:ascii="楷体" w:hAnsi="楷体" w:eastAsia="楷体"/>
          <w:b/>
          <w:bCs/>
          <w:sz w:val="32"/>
          <w:szCs w:val="32"/>
        </w:rPr>
      </w:pPr>
      <w:bookmarkStart w:id="271" w:name="_Toc4442"/>
      <w:bookmarkStart w:id="272" w:name="_Toc23207"/>
      <w:bookmarkStart w:id="273" w:name="_Toc4675"/>
      <w:bookmarkStart w:id="274" w:name="_Toc27015"/>
      <w:bookmarkStart w:id="275" w:name="_Toc4200"/>
      <w:r>
        <w:rPr>
          <w:rFonts w:hint="eastAsia" w:ascii="楷体" w:hAnsi="楷体" w:eastAsia="楷体"/>
          <w:b/>
          <w:bCs/>
          <w:kern w:val="0"/>
          <w:sz w:val="32"/>
          <w:szCs w:val="32"/>
        </w:rPr>
        <w:t>（三）</w:t>
      </w:r>
      <w:r>
        <w:rPr>
          <w:rFonts w:hint="eastAsia" w:ascii="楷体" w:hAnsi="楷体" w:eastAsia="楷体"/>
          <w:b/>
          <w:bCs/>
          <w:sz w:val="32"/>
          <w:szCs w:val="32"/>
        </w:rPr>
        <w:t>加强公厕建设管理</w:t>
      </w:r>
      <w:bookmarkEnd w:id="271"/>
      <w:bookmarkEnd w:id="272"/>
      <w:bookmarkEnd w:id="273"/>
      <w:bookmarkEnd w:id="274"/>
      <w:bookmarkEnd w:id="275"/>
    </w:p>
    <w:p w14:paraId="082A5F44">
      <w:pPr>
        <w:spacing w:line="540" w:lineRule="exact"/>
        <w:ind w:firstLine="643"/>
        <w:rPr>
          <w:rFonts w:ascii="仿宋" w:hAnsi="仿宋" w:cs="仿宋"/>
          <w:sz w:val="32"/>
          <w:szCs w:val="32"/>
        </w:rPr>
      </w:pPr>
      <w:r>
        <w:rPr>
          <w:rFonts w:hint="eastAsia"/>
          <w:b/>
          <w:bCs/>
          <w:sz w:val="32"/>
          <w:szCs w:val="32"/>
        </w:rPr>
        <w:t>巩固“公厕革命”。</w:t>
      </w:r>
      <w:r>
        <w:rPr>
          <w:rFonts w:hint="eastAsia" w:ascii="仿宋" w:hAnsi="仿宋" w:cs="仿宋"/>
          <w:sz w:val="32"/>
          <w:szCs w:val="32"/>
        </w:rPr>
        <w:t>市区城市公厕按照《泉州市中心市区城市公厕布局规划》进行规划建设，新区规划建设配套公厕15座，并对建设年代久远、建设标准低的25座公厕进行改造。在摸排乡镇和农村公厕分布的基础上，对人口密度较大，公厕数量不足的区域，再新建一批农村公厕。到</w:t>
      </w:r>
      <w:r>
        <w:rPr>
          <w:rFonts w:ascii="仿宋" w:hAnsi="仿宋" w:cs="仿宋"/>
          <w:sz w:val="32"/>
          <w:szCs w:val="32"/>
        </w:rPr>
        <w:t>2025年,继续保持“城区每万人有3</w:t>
      </w:r>
      <w:r>
        <w:rPr>
          <w:rFonts w:hint="eastAsia" w:ascii="Times New Roman" w:hAnsi="Times New Roman"/>
          <w:sz w:val="32"/>
          <w:szCs w:val="32"/>
        </w:rPr>
        <w:t>~</w:t>
      </w:r>
      <w:r>
        <w:rPr>
          <w:rFonts w:ascii="仿宋" w:hAnsi="仿宋" w:cs="仿宋"/>
          <w:sz w:val="32"/>
          <w:szCs w:val="32"/>
        </w:rPr>
        <w:t>4座，步行15分钟左右有1座公厕、乡镇所在地公厕全覆盖，镇区每万人3</w:t>
      </w:r>
      <w:r>
        <w:rPr>
          <w:rFonts w:hint="eastAsia" w:ascii="Times New Roman" w:hAnsi="Times New Roman"/>
          <w:sz w:val="32"/>
          <w:szCs w:val="32"/>
        </w:rPr>
        <w:t>~</w:t>
      </w:r>
      <w:r>
        <w:rPr>
          <w:rFonts w:ascii="仿宋" w:hAnsi="仿宋" w:cs="仿宋"/>
          <w:sz w:val="32"/>
          <w:szCs w:val="32"/>
        </w:rPr>
        <w:t>4座水冲式公厕、行政村村村都有一个水冲式公厕”的标准。</w:t>
      </w:r>
    </w:p>
    <w:p w14:paraId="27E8F240">
      <w:pPr>
        <w:spacing w:line="540" w:lineRule="exact"/>
        <w:ind w:firstLine="643"/>
        <w:rPr>
          <w:sz w:val="32"/>
          <w:szCs w:val="32"/>
        </w:rPr>
      </w:pPr>
      <w:r>
        <w:rPr>
          <w:rFonts w:hint="eastAsia"/>
          <w:b/>
          <w:bCs/>
          <w:sz w:val="32"/>
          <w:szCs w:val="32"/>
        </w:rPr>
        <w:t>完善公厕管理。</w:t>
      </w:r>
      <w:r>
        <w:rPr>
          <w:rFonts w:hint="eastAsia"/>
          <w:sz w:val="32"/>
          <w:szCs w:val="32"/>
        </w:rPr>
        <w:t>进一步健全公厕日常管理长效机制，市区社区自管城市公厕收归区级统一管理，改造提升后实行市场化运营。农村公厕纳入村庄日常保洁，新建农村公厕</w:t>
      </w:r>
      <w:r>
        <w:rPr>
          <w:rFonts w:hint="eastAsia" w:ascii="仿宋" w:hAnsi="仿宋"/>
          <w:sz w:val="32"/>
          <w:szCs w:val="32"/>
        </w:rPr>
        <w:t>落实</w:t>
      </w:r>
      <w:r>
        <w:rPr>
          <w:rFonts w:hint="eastAsia"/>
          <w:sz w:val="32"/>
          <w:szCs w:val="32"/>
        </w:rPr>
        <w:t>“一长两员”（公厕长、管理员、保洁人员）及联系方式和管理制度上墙。</w:t>
      </w:r>
    </w:p>
    <w:p w14:paraId="7285AA78">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专栏6：</w:t>
      </w:r>
      <w:r>
        <w:rPr>
          <w:rFonts w:hint="eastAsia" w:ascii="黑体" w:hAnsi="黑体" w:eastAsia="黑体" w:cs="黑体"/>
          <w:kern w:val="0"/>
          <w:szCs w:val="28"/>
        </w:rPr>
        <w:t>城乡环境卫生提升工程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06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C6A887E">
            <w:pPr>
              <w:pStyle w:val="48"/>
              <w:spacing w:before="197" w:beforeLines="50"/>
              <w:ind w:firstLine="562"/>
              <w:rPr>
                <w:rFonts w:ascii="仿宋" w:eastAsia="仿宋"/>
                <w:color w:val="auto"/>
                <w:sz w:val="28"/>
              </w:rPr>
            </w:pPr>
            <w:r>
              <w:rPr>
                <w:rFonts w:ascii="仿宋" w:eastAsia="仿宋"/>
                <w:b/>
                <w:color w:val="auto"/>
                <w:sz w:val="28"/>
              </w:rPr>
              <w:t>1.</w:t>
            </w:r>
            <w:r>
              <w:rPr>
                <w:rFonts w:hint="eastAsia" w:ascii="仿宋" w:eastAsia="仿宋"/>
                <w:b/>
                <w:color w:val="auto"/>
                <w:sz w:val="28"/>
              </w:rPr>
              <w:t>推进生活垃圾分类：</w:t>
            </w:r>
            <w:r>
              <w:rPr>
                <w:rFonts w:hint="eastAsia" w:ascii="仿宋" w:eastAsia="仿宋"/>
                <w:color w:val="auto"/>
                <w:sz w:val="28"/>
              </w:rPr>
              <w:t>推进石狮市垃圾分类乡镇试点项目，永春县外山乡垃圾干湿分类项目，德化县浔中镇垃圾分类项目。</w:t>
            </w:r>
          </w:p>
          <w:p w14:paraId="6C398A18">
            <w:pPr>
              <w:pStyle w:val="48"/>
              <w:ind w:firstLine="562"/>
              <w:rPr>
                <w:rFonts w:ascii="仿宋" w:eastAsia="仿宋"/>
                <w:color w:val="auto"/>
                <w:sz w:val="28"/>
              </w:rPr>
            </w:pPr>
            <w:r>
              <w:rPr>
                <w:rFonts w:ascii="仿宋" w:eastAsia="仿宋"/>
                <w:b/>
                <w:color w:val="auto"/>
                <w:sz w:val="28"/>
              </w:rPr>
              <w:t>2.</w:t>
            </w:r>
            <w:r>
              <w:rPr>
                <w:rFonts w:hint="eastAsia" w:ascii="仿宋" w:eastAsia="仿宋"/>
                <w:b/>
                <w:color w:val="auto"/>
                <w:sz w:val="28"/>
              </w:rPr>
              <w:t>城乡生活垃圾收运处理体系</w:t>
            </w:r>
            <w:r>
              <w:rPr>
                <w:rFonts w:ascii="仿宋" w:eastAsia="仿宋"/>
                <w:b/>
                <w:color w:val="auto"/>
                <w:sz w:val="28"/>
              </w:rPr>
              <w:t>：</w:t>
            </w:r>
            <w:r>
              <w:rPr>
                <w:rFonts w:hint="eastAsia" w:ascii="仿宋" w:eastAsia="仿宋"/>
                <w:color w:val="auto"/>
                <w:sz w:val="28"/>
              </w:rPr>
              <w:t>建成泉州江</w:t>
            </w:r>
            <w:r>
              <w:rPr>
                <w:rFonts w:ascii="仿宋" w:eastAsia="仿宋"/>
                <w:color w:val="auto"/>
                <w:sz w:val="28"/>
              </w:rPr>
              <w:t>南片区大型垃圾</w:t>
            </w:r>
            <w:r>
              <w:rPr>
                <w:rFonts w:hint="eastAsia" w:ascii="仿宋" w:eastAsia="仿宋"/>
                <w:color w:val="auto"/>
                <w:sz w:val="28"/>
              </w:rPr>
              <w:t>转</w:t>
            </w:r>
            <w:r>
              <w:rPr>
                <w:rFonts w:ascii="仿宋" w:eastAsia="仿宋"/>
                <w:color w:val="auto"/>
                <w:sz w:val="28"/>
              </w:rPr>
              <w:t>运站</w:t>
            </w:r>
            <w:r>
              <w:rPr>
                <w:rFonts w:hint="eastAsia" w:ascii="仿宋" w:eastAsia="仿宋"/>
                <w:color w:val="auto"/>
                <w:sz w:val="28"/>
              </w:rPr>
              <w:t>，推动城东、双阳片区小型垃圾转运站设备更新改造，建设惠安生活垃圾转运系统，推进泉港区农村生活垃圾治理市场化项目和鲤城区、丰泽区环卫一体化</w:t>
            </w:r>
            <w:r>
              <w:rPr>
                <w:rFonts w:ascii="仿宋" w:eastAsia="仿宋"/>
                <w:color w:val="auto"/>
                <w:sz w:val="28"/>
              </w:rPr>
              <w:t>。</w:t>
            </w:r>
            <w:r>
              <w:rPr>
                <w:rFonts w:hint="eastAsia" w:ascii="仿宋" w:eastAsia="仿宋"/>
                <w:color w:val="auto"/>
                <w:sz w:val="28"/>
              </w:rPr>
              <w:t>建设石狮市大件垃圾（含园林垃圾）综合处理站，推进南安再生资源回收体系建设项目。</w:t>
            </w:r>
          </w:p>
          <w:p w14:paraId="75407348">
            <w:pPr>
              <w:pStyle w:val="48"/>
              <w:ind w:firstLine="562"/>
              <w:rPr>
                <w:rFonts w:ascii="仿宋" w:eastAsia="仿宋"/>
                <w:b/>
                <w:color w:val="auto"/>
                <w:sz w:val="28"/>
              </w:rPr>
            </w:pPr>
            <w:r>
              <w:rPr>
                <w:rFonts w:ascii="仿宋" w:eastAsia="仿宋"/>
                <w:b/>
                <w:color w:val="auto"/>
                <w:sz w:val="28"/>
              </w:rPr>
              <w:t>3.</w:t>
            </w:r>
            <w:r>
              <w:rPr>
                <w:rFonts w:hint="eastAsia" w:ascii="仿宋" w:eastAsia="仿宋"/>
                <w:b/>
                <w:color w:val="auto"/>
                <w:sz w:val="28"/>
              </w:rPr>
              <w:t>生活垃圾焚烧发电项目</w:t>
            </w:r>
            <w:r>
              <w:rPr>
                <w:rFonts w:ascii="仿宋" w:eastAsia="仿宋"/>
                <w:b/>
                <w:color w:val="auto"/>
                <w:sz w:val="28"/>
              </w:rPr>
              <w:t>：</w:t>
            </w:r>
            <w:r>
              <w:rPr>
                <w:rFonts w:hint="eastAsia" w:ascii="仿宋" w:eastAsia="仿宋"/>
                <w:color w:val="auto"/>
                <w:sz w:val="28"/>
              </w:rPr>
              <w:t>永春县生活垃圾焚烧发电项目、德化县生活垃圾焚烧发电项目。</w:t>
            </w:r>
          </w:p>
          <w:p w14:paraId="61CAFA90">
            <w:pPr>
              <w:pStyle w:val="48"/>
              <w:ind w:firstLine="562"/>
              <w:rPr>
                <w:rFonts w:ascii="仿宋" w:eastAsia="仿宋"/>
                <w:color w:val="auto"/>
                <w:sz w:val="28"/>
              </w:rPr>
            </w:pPr>
            <w:r>
              <w:rPr>
                <w:rFonts w:ascii="仿宋" w:eastAsia="仿宋"/>
                <w:b/>
                <w:color w:val="auto"/>
                <w:sz w:val="28"/>
              </w:rPr>
              <w:t>4.</w:t>
            </w:r>
            <w:r>
              <w:rPr>
                <w:rFonts w:hint="eastAsia" w:ascii="仿宋" w:eastAsia="仿宋"/>
                <w:b/>
                <w:color w:val="auto"/>
                <w:sz w:val="28"/>
              </w:rPr>
              <w:t>餐厨垃圾处理设施</w:t>
            </w:r>
            <w:r>
              <w:rPr>
                <w:rFonts w:ascii="仿宋" w:eastAsia="仿宋"/>
                <w:b/>
                <w:color w:val="auto"/>
                <w:sz w:val="28"/>
              </w:rPr>
              <w:t>：</w:t>
            </w:r>
            <w:r>
              <w:rPr>
                <w:rFonts w:hint="eastAsia" w:ascii="仿宋" w:eastAsia="仿宋"/>
                <w:color w:val="auto"/>
                <w:sz w:val="28"/>
              </w:rPr>
              <w:t>建设石狮市、晋江市、惠安县、安溪县、永春县、德化县餐厨垃圾处理设施</w:t>
            </w:r>
            <w:r>
              <w:rPr>
                <w:rFonts w:ascii="仿宋" w:eastAsia="仿宋"/>
                <w:color w:val="auto"/>
                <w:sz w:val="28"/>
              </w:rPr>
              <w:t>。</w:t>
            </w:r>
          </w:p>
          <w:p w14:paraId="526238BF">
            <w:pPr>
              <w:pStyle w:val="48"/>
              <w:ind w:firstLine="562"/>
              <w:rPr>
                <w:color w:val="auto"/>
                <w:sz w:val="28"/>
              </w:rPr>
            </w:pPr>
            <w:r>
              <w:rPr>
                <w:rFonts w:ascii="仿宋" w:eastAsia="仿宋"/>
                <w:b/>
                <w:bCs/>
                <w:color w:val="auto"/>
                <w:sz w:val="28"/>
              </w:rPr>
              <w:t>5.</w:t>
            </w:r>
            <w:r>
              <w:rPr>
                <w:rFonts w:hint="eastAsia" w:ascii="仿宋" w:eastAsia="仿宋"/>
                <w:b/>
                <w:bCs/>
                <w:color w:val="auto"/>
                <w:sz w:val="28"/>
              </w:rPr>
              <w:t>巩固“公厕革命”</w:t>
            </w:r>
            <w:r>
              <w:rPr>
                <w:rFonts w:ascii="仿宋" w:eastAsia="仿宋"/>
                <w:b/>
                <w:bCs/>
                <w:color w:val="auto"/>
                <w:sz w:val="28"/>
              </w:rPr>
              <w:t>:</w:t>
            </w:r>
            <w:r>
              <w:rPr>
                <w:rFonts w:ascii="仿宋" w:eastAsia="仿宋"/>
                <w:color w:val="auto"/>
                <w:sz w:val="28"/>
              </w:rPr>
              <w:t xml:space="preserve"> 新区规划建设配套公厕</w:t>
            </w:r>
            <w:r>
              <w:rPr>
                <w:rFonts w:hint="eastAsia" w:ascii="仿宋" w:eastAsia="仿宋"/>
                <w:color w:val="auto"/>
                <w:sz w:val="28"/>
              </w:rPr>
              <w:t>15</w:t>
            </w:r>
            <w:r>
              <w:rPr>
                <w:rFonts w:ascii="仿宋" w:eastAsia="仿宋"/>
                <w:color w:val="auto"/>
                <w:sz w:val="28"/>
              </w:rPr>
              <w:t>座，改造建设年代久远，建设标准低的</w:t>
            </w:r>
            <w:r>
              <w:rPr>
                <w:rFonts w:hint="eastAsia" w:ascii="仿宋" w:eastAsia="仿宋"/>
                <w:color w:val="auto"/>
                <w:sz w:val="28"/>
              </w:rPr>
              <w:t>25</w:t>
            </w:r>
            <w:r>
              <w:rPr>
                <w:rFonts w:ascii="仿宋" w:eastAsia="仿宋"/>
                <w:color w:val="auto"/>
                <w:sz w:val="28"/>
              </w:rPr>
              <w:t>座公厕</w:t>
            </w:r>
            <w:r>
              <w:rPr>
                <w:rFonts w:hint="eastAsia" w:ascii="仿宋" w:eastAsia="仿宋"/>
                <w:color w:val="auto"/>
                <w:sz w:val="28"/>
              </w:rPr>
              <w:t>。</w:t>
            </w:r>
          </w:p>
        </w:tc>
      </w:tr>
    </w:tbl>
    <w:p w14:paraId="04BFACE3">
      <w:pPr>
        <w:pStyle w:val="3"/>
        <w:spacing w:line="540" w:lineRule="exact"/>
        <w:ind w:firstLine="643"/>
        <w:rPr>
          <w:rFonts w:ascii="黑体" w:hAnsi="黑体" w:eastAsia="黑体"/>
          <w:sz w:val="32"/>
        </w:rPr>
      </w:pPr>
      <w:bookmarkStart w:id="276" w:name="_Toc3616"/>
      <w:bookmarkStart w:id="277" w:name="_Toc6166"/>
      <w:bookmarkStart w:id="278" w:name="_Toc16940"/>
      <w:bookmarkStart w:id="279" w:name="_Toc14818"/>
      <w:bookmarkStart w:id="280" w:name="_Toc25135"/>
      <w:r>
        <w:rPr>
          <w:rFonts w:hint="eastAsia" w:ascii="黑体" w:hAnsi="黑体" w:eastAsia="黑体"/>
          <w:kern w:val="0"/>
          <w:sz w:val="32"/>
        </w:rPr>
        <w:t>七、</w:t>
      </w:r>
      <w:r>
        <w:rPr>
          <w:rFonts w:hint="eastAsia" w:ascii="黑体" w:hAnsi="黑体" w:eastAsia="黑体"/>
          <w:sz w:val="32"/>
        </w:rPr>
        <w:t>城镇燃气工程</w:t>
      </w:r>
      <w:bookmarkEnd w:id="276"/>
      <w:bookmarkEnd w:id="277"/>
      <w:bookmarkEnd w:id="278"/>
      <w:bookmarkEnd w:id="279"/>
      <w:bookmarkEnd w:id="280"/>
    </w:p>
    <w:p w14:paraId="4355A145">
      <w:pPr>
        <w:spacing w:line="540" w:lineRule="exact"/>
        <w:ind w:firstLine="640"/>
        <w:rPr>
          <w:rFonts w:ascii="仿宋" w:hAnsi="仿宋"/>
          <w:sz w:val="32"/>
          <w:szCs w:val="32"/>
        </w:rPr>
      </w:pPr>
      <w:r>
        <w:rPr>
          <w:rFonts w:hint="eastAsia" w:ascii="仿宋" w:hAnsi="仿宋"/>
          <w:sz w:val="32"/>
          <w:szCs w:val="32"/>
        </w:rPr>
        <w:t>加快燃气管网及基础设施建设，完善“两气一网”格局，推动天然气管道“县县通”。加快城镇餐饮集中区“瓶改管”和燃气管道建设，稳妥推动燃气下乡，开展农村集中村居管道供气试点，形成以天然气为主、液化石油气为辅的城镇燃气气源多元化供应格局。</w:t>
      </w:r>
    </w:p>
    <w:p w14:paraId="1E6FAEDB">
      <w:pPr>
        <w:snapToGrid w:val="0"/>
        <w:spacing w:line="540" w:lineRule="exact"/>
        <w:ind w:firstLine="643"/>
        <w:outlineLvl w:val="2"/>
        <w:rPr>
          <w:rFonts w:ascii="楷体" w:hAnsi="楷体" w:eastAsia="楷体"/>
          <w:b/>
          <w:bCs/>
          <w:sz w:val="32"/>
          <w:szCs w:val="32"/>
        </w:rPr>
      </w:pPr>
      <w:bookmarkStart w:id="281" w:name="_Toc11678"/>
      <w:bookmarkStart w:id="282" w:name="_Toc22704"/>
      <w:bookmarkStart w:id="283" w:name="_Toc10175"/>
      <w:bookmarkStart w:id="284" w:name="_Toc22195"/>
      <w:bookmarkStart w:id="285" w:name="_Toc31403"/>
      <w:r>
        <w:rPr>
          <w:rFonts w:hint="eastAsia" w:ascii="楷体" w:hAnsi="楷体" w:eastAsia="楷体"/>
          <w:b/>
          <w:bCs/>
          <w:kern w:val="0"/>
          <w:sz w:val="32"/>
          <w:szCs w:val="32"/>
        </w:rPr>
        <w:t>（一）</w:t>
      </w:r>
      <w:r>
        <w:rPr>
          <w:rFonts w:hint="eastAsia" w:ascii="楷体" w:hAnsi="楷体" w:eastAsia="楷体"/>
          <w:b/>
          <w:bCs/>
          <w:sz w:val="32"/>
          <w:szCs w:val="32"/>
        </w:rPr>
        <w:t>天然气对接保障建设</w:t>
      </w:r>
      <w:bookmarkEnd w:id="281"/>
      <w:bookmarkEnd w:id="282"/>
      <w:bookmarkEnd w:id="283"/>
      <w:bookmarkEnd w:id="284"/>
      <w:bookmarkEnd w:id="285"/>
    </w:p>
    <w:p w14:paraId="3D3E8179">
      <w:pPr>
        <w:spacing w:line="540" w:lineRule="exact"/>
        <w:ind w:firstLine="640"/>
      </w:pPr>
      <w:r>
        <w:rPr>
          <w:rFonts w:hint="eastAsia" w:ascii="仿宋" w:hAnsi="仿宋"/>
          <w:kern w:val="0"/>
          <w:sz w:val="32"/>
          <w:szCs w:val="32"/>
        </w:rPr>
        <w:t>加强地市支线管网与主干管网联系，持续加大天然气能源供应规模，统筹规划天然气支线管网建设，结合工业区用气需求，加大支线管网投资力度，建设天然气配套管网，实现主要用气区域管道燃气的覆盖。继续推动国家管网西三线天然气对接工程建设，做好海西二期德化支线对接工程建设，推动泉港、石狮、惠安等支线管网建设，同时开展与莆田市、厦门市支线管网互联互通工程。</w:t>
      </w:r>
    </w:p>
    <w:p w14:paraId="330D38C3">
      <w:pPr>
        <w:snapToGrid w:val="0"/>
        <w:spacing w:line="540" w:lineRule="exact"/>
        <w:ind w:firstLine="643"/>
        <w:outlineLvl w:val="2"/>
        <w:rPr>
          <w:rFonts w:ascii="楷体" w:hAnsi="楷体" w:eastAsia="楷体"/>
          <w:b/>
          <w:bCs/>
          <w:sz w:val="32"/>
          <w:szCs w:val="32"/>
        </w:rPr>
      </w:pPr>
      <w:bookmarkStart w:id="286" w:name="_Toc1124"/>
      <w:bookmarkStart w:id="287" w:name="_Toc28270"/>
      <w:bookmarkStart w:id="288" w:name="_Toc29214"/>
      <w:bookmarkStart w:id="289" w:name="_Toc16756"/>
      <w:bookmarkStart w:id="290" w:name="_Toc30889"/>
      <w:r>
        <w:rPr>
          <w:rFonts w:hint="eastAsia" w:ascii="楷体" w:hAnsi="楷体" w:eastAsia="楷体"/>
          <w:b/>
          <w:bCs/>
          <w:kern w:val="0"/>
          <w:sz w:val="32"/>
          <w:szCs w:val="32"/>
        </w:rPr>
        <w:t>（二）</w:t>
      </w:r>
      <w:r>
        <w:rPr>
          <w:rFonts w:hint="eastAsia" w:ascii="楷体" w:hAnsi="楷体" w:eastAsia="楷体"/>
          <w:b/>
          <w:bCs/>
          <w:sz w:val="32"/>
          <w:szCs w:val="32"/>
        </w:rPr>
        <w:t>完善天然气管道建设</w:t>
      </w:r>
      <w:bookmarkEnd w:id="286"/>
      <w:bookmarkEnd w:id="287"/>
      <w:bookmarkEnd w:id="288"/>
      <w:bookmarkEnd w:id="289"/>
      <w:bookmarkEnd w:id="290"/>
    </w:p>
    <w:p w14:paraId="425DDEAC">
      <w:pPr>
        <w:spacing w:line="540" w:lineRule="exact"/>
        <w:ind w:firstLine="640"/>
        <w:rPr>
          <w:rFonts w:ascii="仿宋" w:hAnsi="仿宋"/>
          <w:sz w:val="32"/>
        </w:rPr>
      </w:pPr>
      <w:r>
        <w:rPr>
          <w:rFonts w:hint="eastAsia" w:ascii="仿宋" w:hAnsi="仿宋"/>
          <w:sz w:val="32"/>
          <w:szCs w:val="32"/>
        </w:rPr>
        <w:t>推广天然气高效利用，完成天然气高压管网利用工程等重点项目，完善“两气一网”格局，实现安溪、永春、德化管道天然气的接入；对天然气</w:t>
      </w:r>
      <w:r>
        <w:rPr>
          <w:rFonts w:ascii="仿宋" w:hAnsi="仿宋"/>
          <w:sz w:val="32"/>
          <w:szCs w:val="32"/>
        </w:rPr>
        <w:t>管网未覆盖的地区LNG</w:t>
      </w:r>
      <w:r>
        <w:rPr>
          <w:rFonts w:hint="eastAsia" w:ascii="仿宋" w:hAnsi="仿宋"/>
          <w:sz w:val="32"/>
          <w:szCs w:val="32"/>
        </w:rPr>
        <w:t>直</w:t>
      </w:r>
      <w:r>
        <w:rPr>
          <w:rFonts w:ascii="仿宋" w:hAnsi="仿宋"/>
          <w:sz w:val="32"/>
          <w:szCs w:val="32"/>
        </w:rPr>
        <w:t>供，</w:t>
      </w:r>
      <w:r>
        <w:rPr>
          <w:rFonts w:hint="eastAsia" w:ascii="仿宋" w:hAnsi="仿宋"/>
          <w:sz w:val="32"/>
          <w:szCs w:val="32"/>
        </w:rPr>
        <w:t>努力</w:t>
      </w:r>
      <w:r>
        <w:rPr>
          <w:rFonts w:ascii="仿宋" w:hAnsi="仿宋"/>
          <w:sz w:val="32"/>
          <w:szCs w:val="32"/>
        </w:rPr>
        <w:t>提升城镇管网覆盖率，打通</w:t>
      </w:r>
      <w:r>
        <w:rPr>
          <w:rFonts w:hint="eastAsia" w:ascii="仿宋" w:hAnsi="仿宋"/>
          <w:sz w:val="32"/>
          <w:szCs w:val="32"/>
        </w:rPr>
        <w:t>天然气</w:t>
      </w:r>
      <w:r>
        <w:rPr>
          <w:rFonts w:ascii="仿宋" w:hAnsi="仿宋"/>
          <w:sz w:val="32"/>
          <w:szCs w:val="32"/>
        </w:rPr>
        <w:t>“</w:t>
      </w:r>
      <w:r>
        <w:rPr>
          <w:rFonts w:hint="eastAsia" w:ascii="仿宋" w:hAnsi="仿宋"/>
          <w:sz w:val="32"/>
          <w:szCs w:val="32"/>
        </w:rPr>
        <w:t>最后</w:t>
      </w:r>
      <w:r>
        <w:rPr>
          <w:rFonts w:ascii="仿宋" w:hAnsi="仿宋"/>
          <w:sz w:val="32"/>
          <w:szCs w:val="32"/>
        </w:rPr>
        <w:t>一公里”</w:t>
      </w:r>
      <w:r>
        <w:rPr>
          <w:rFonts w:hint="eastAsia" w:ascii="仿宋" w:hAnsi="仿宋"/>
          <w:sz w:val="32"/>
          <w:szCs w:val="32"/>
        </w:rPr>
        <w:t>，实现管道天然气“县县通”。</w:t>
      </w:r>
      <w:r>
        <w:rPr>
          <w:rFonts w:ascii="仿宋" w:hAnsi="仿宋"/>
          <w:sz w:val="32"/>
          <w:szCs w:val="32"/>
        </w:rPr>
        <w:t>“</w:t>
      </w:r>
      <w:r>
        <w:rPr>
          <w:rFonts w:hint="eastAsia" w:ascii="仿宋" w:hAnsi="仿宋"/>
          <w:sz w:val="32"/>
          <w:szCs w:val="32"/>
        </w:rPr>
        <w:t>十四五</w:t>
      </w:r>
      <w:r>
        <w:rPr>
          <w:rFonts w:ascii="仿宋" w:hAnsi="仿宋"/>
          <w:sz w:val="32"/>
          <w:szCs w:val="32"/>
        </w:rPr>
        <w:t>”</w:t>
      </w:r>
      <w:r>
        <w:rPr>
          <w:rFonts w:hint="eastAsia" w:ascii="仿宋" w:hAnsi="仿宋"/>
          <w:sz w:val="32"/>
          <w:szCs w:val="32"/>
        </w:rPr>
        <w:t>期间，新建中石油</w:t>
      </w:r>
      <w:r>
        <w:rPr>
          <w:rFonts w:ascii="仿宋" w:hAnsi="仿宋"/>
          <w:sz w:val="32"/>
          <w:szCs w:val="32"/>
        </w:rPr>
        <w:t>西三线</w:t>
      </w:r>
      <w:r>
        <w:rPr>
          <w:rFonts w:hint="eastAsia" w:ascii="仿宋" w:hAnsi="仿宋"/>
          <w:sz w:val="32"/>
          <w:szCs w:val="32"/>
        </w:rPr>
        <w:t>泉州台商投资区</w:t>
      </w:r>
      <w:r>
        <w:rPr>
          <w:rFonts w:ascii="仿宋" w:hAnsi="仿宋"/>
          <w:sz w:val="32"/>
          <w:szCs w:val="32"/>
        </w:rPr>
        <w:t>调压站、洪濑门站等3</w:t>
      </w:r>
      <w:r>
        <w:rPr>
          <w:rFonts w:hint="eastAsia" w:ascii="仿宋" w:hAnsi="仿宋"/>
          <w:sz w:val="32"/>
          <w:szCs w:val="32"/>
        </w:rPr>
        <w:t>座场站，新建高压输气管线</w:t>
      </w:r>
      <w:r>
        <w:rPr>
          <w:rFonts w:ascii="仿宋" w:hAnsi="仿宋"/>
          <w:sz w:val="32"/>
          <w:szCs w:val="32"/>
        </w:rPr>
        <w:t>6条共170</w:t>
      </w:r>
      <w:r>
        <w:rPr>
          <w:rFonts w:hint="eastAsia" w:ascii="仿宋" w:hAnsi="仿宋"/>
          <w:sz w:val="32"/>
          <w:szCs w:val="32"/>
        </w:rPr>
        <w:t>公里；新建中海油天然气德化支线南安</w:t>
      </w:r>
      <w:r>
        <w:rPr>
          <w:rFonts w:ascii="仿宋" w:hAnsi="仿宋"/>
          <w:sz w:val="32"/>
          <w:szCs w:val="32"/>
        </w:rPr>
        <w:t>诗山门站、安溪门站4</w:t>
      </w:r>
      <w:r>
        <w:rPr>
          <w:rFonts w:hint="eastAsia" w:ascii="仿宋" w:hAnsi="仿宋"/>
          <w:sz w:val="32"/>
          <w:szCs w:val="32"/>
        </w:rPr>
        <w:t>座场站及附属设施，新建高压</w:t>
      </w:r>
      <w:r>
        <w:rPr>
          <w:rFonts w:ascii="仿宋" w:hAnsi="仿宋"/>
          <w:sz w:val="32"/>
          <w:szCs w:val="32"/>
        </w:rPr>
        <w:t>输气管线2条共25公里</w:t>
      </w:r>
      <w:r>
        <w:rPr>
          <w:rFonts w:hint="eastAsia" w:ascii="仿宋" w:hAnsi="仿宋"/>
          <w:sz w:val="32"/>
          <w:szCs w:val="32"/>
        </w:rPr>
        <w:t>；新建城镇燃气中压管道400公里。</w:t>
      </w:r>
    </w:p>
    <w:p w14:paraId="4AC15B1E">
      <w:pPr>
        <w:snapToGrid w:val="0"/>
        <w:spacing w:line="540" w:lineRule="exact"/>
        <w:ind w:firstLine="643"/>
        <w:outlineLvl w:val="2"/>
        <w:rPr>
          <w:rFonts w:ascii="楷体" w:hAnsi="楷体" w:eastAsia="楷体"/>
          <w:b/>
          <w:bCs/>
          <w:kern w:val="0"/>
          <w:sz w:val="32"/>
          <w:szCs w:val="32"/>
        </w:rPr>
      </w:pPr>
      <w:bookmarkStart w:id="291" w:name="_Toc3806"/>
      <w:bookmarkStart w:id="292" w:name="_Toc21813"/>
      <w:bookmarkStart w:id="293" w:name="_Toc20832"/>
      <w:bookmarkStart w:id="294" w:name="_Toc11701"/>
      <w:bookmarkStart w:id="295" w:name="_Toc7256"/>
      <w:r>
        <w:rPr>
          <w:rFonts w:hint="eastAsia" w:ascii="楷体" w:hAnsi="楷体" w:eastAsia="楷体"/>
          <w:b/>
          <w:bCs/>
          <w:kern w:val="0"/>
          <w:sz w:val="32"/>
          <w:szCs w:val="32"/>
        </w:rPr>
        <w:t>（三）积极稳妥推动燃气下乡</w:t>
      </w:r>
      <w:bookmarkEnd w:id="291"/>
      <w:bookmarkEnd w:id="292"/>
      <w:bookmarkEnd w:id="293"/>
      <w:bookmarkEnd w:id="294"/>
      <w:bookmarkEnd w:id="295"/>
    </w:p>
    <w:p w14:paraId="1E9C1FF5">
      <w:pPr>
        <w:spacing w:line="540" w:lineRule="exact"/>
        <w:ind w:firstLine="640"/>
        <w:rPr>
          <w:rFonts w:ascii="仿宋" w:hAnsi="仿宋"/>
          <w:sz w:val="32"/>
          <w:szCs w:val="32"/>
        </w:rPr>
      </w:pPr>
      <w:r>
        <w:rPr>
          <w:rFonts w:hint="eastAsia" w:ascii="仿宋" w:hAnsi="仿宋"/>
          <w:sz w:val="32"/>
          <w:szCs w:val="32"/>
        </w:rPr>
        <w:t>加快</w:t>
      </w:r>
      <w:r>
        <w:rPr>
          <w:rFonts w:ascii="仿宋" w:hAnsi="仿宋"/>
          <w:sz w:val="32"/>
          <w:szCs w:val="32"/>
        </w:rPr>
        <w:t>城乡燃气协调发展，</w:t>
      </w:r>
      <w:r>
        <w:rPr>
          <w:rFonts w:hint="eastAsia" w:ascii="仿宋" w:hAnsi="仿宋"/>
          <w:sz w:val="32"/>
          <w:szCs w:val="32"/>
        </w:rPr>
        <w:t>采用管道气、压缩天然气、液化天然气、液化石油气储配站等多种形式，宜管则管、宜罐则罐，</w:t>
      </w:r>
      <w:r>
        <w:rPr>
          <w:rFonts w:ascii="仿宋" w:hAnsi="仿宋"/>
          <w:sz w:val="32"/>
          <w:szCs w:val="32"/>
        </w:rPr>
        <w:t>提</w:t>
      </w:r>
      <w:r>
        <w:rPr>
          <w:rFonts w:hint="eastAsia" w:ascii="仿宋" w:hAnsi="仿宋"/>
          <w:sz w:val="32"/>
          <w:szCs w:val="32"/>
        </w:rPr>
        <w:t>高</w:t>
      </w:r>
      <w:r>
        <w:rPr>
          <w:rFonts w:ascii="仿宋" w:hAnsi="仿宋"/>
          <w:sz w:val="32"/>
          <w:szCs w:val="32"/>
        </w:rPr>
        <w:t>天然气普遍服务水平，推动</w:t>
      </w:r>
      <w:r>
        <w:rPr>
          <w:rFonts w:hint="eastAsia" w:ascii="仿宋" w:hAnsi="仿宋"/>
          <w:sz w:val="32"/>
          <w:szCs w:val="32"/>
        </w:rPr>
        <w:t>城乡</w:t>
      </w:r>
      <w:r>
        <w:rPr>
          <w:rFonts w:ascii="仿宋" w:hAnsi="仿宋"/>
          <w:sz w:val="32"/>
          <w:szCs w:val="32"/>
        </w:rPr>
        <w:t>公共服务均等化</w:t>
      </w:r>
      <w:r>
        <w:rPr>
          <w:rFonts w:hint="eastAsia" w:ascii="仿宋" w:hAnsi="仿宋"/>
          <w:sz w:val="32"/>
          <w:szCs w:val="32"/>
        </w:rPr>
        <w:t>。</w:t>
      </w:r>
      <w:r>
        <w:rPr>
          <w:rFonts w:ascii="仿宋" w:hAnsi="仿宋"/>
          <w:sz w:val="32"/>
          <w:szCs w:val="32"/>
        </w:rPr>
        <w:t>实施天然气下乡工程，</w:t>
      </w:r>
      <w:r>
        <w:rPr>
          <w:rFonts w:hint="eastAsia" w:ascii="仿宋" w:hAnsi="仿宋"/>
          <w:sz w:val="32"/>
          <w:szCs w:val="32"/>
        </w:rPr>
        <w:t>加大</w:t>
      </w:r>
      <w:r>
        <w:rPr>
          <w:rFonts w:ascii="仿宋" w:hAnsi="仿宋"/>
          <w:sz w:val="32"/>
          <w:szCs w:val="32"/>
        </w:rPr>
        <w:t>推广天然气在新农村建设中的利用</w:t>
      </w:r>
      <w:r>
        <w:rPr>
          <w:rFonts w:hint="eastAsia" w:ascii="仿宋" w:hAnsi="仿宋"/>
          <w:sz w:val="32"/>
          <w:szCs w:val="32"/>
        </w:rPr>
        <w:t>，在镇乡中心村、人口较大村或“新农村建设”集中安置点等启动建设安全可靠的乡村储气罐站和微管网供气系统，提高农村地区管道燃气通达能力。</w:t>
      </w:r>
    </w:p>
    <w:p w14:paraId="595388B8">
      <w:pPr>
        <w:snapToGrid w:val="0"/>
        <w:spacing w:line="540" w:lineRule="exact"/>
        <w:ind w:firstLine="803" w:firstLineChars="250"/>
        <w:outlineLvl w:val="2"/>
        <w:rPr>
          <w:rFonts w:ascii="楷体" w:hAnsi="楷体" w:eastAsia="楷体"/>
          <w:b/>
          <w:bCs/>
          <w:kern w:val="0"/>
          <w:sz w:val="32"/>
          <w:szCs w:val="32"/>
        </w:rPr>
      </w:pPr>
      <w:bookmarkStart w:id="296" w:name="_Toc31794"/>
      <w:bookmarkStart w:id="297" w:name="_Toc25445"/>
      <w:bookmarkStart w:id="298" w:name="_Toc10638"/>
      <w:bookmarkStart w:id="299" w:name="_Toc23783"/>
      <w:bookmarkStart w:id="300" w:name="_Toc10046"/>
      <w:r>
        <w:rPr>
          <w:rFonts w:hint="eastAsia" w:ascii="楷体" w:hAnsi="楷体" w:eastAsia="楷体"/>
          <w:b/>
          <w:bCs/>
          <w:kern w:val="0"/>
          <w:sz w:val="32"/>
          <w:szCs w:val="32"/>
        </w:rPr>
        <w:t>（四）提升燃气安全水平</w:t>
      </w:r>
      <w:bookmarkEnd w:id="296"/>
      <w:bookmarkEnd w:id="297"/>
      <w:bookmarkEnd w:id="298"/>
      <w:bookmarkEnd w:id="299"/>
      <w:bookmarkEnd w:id="300"/>
    </w:p>
    <w:p w14:paraId="20544557">
      <w:pPr>
        <w:spacing w:line="540" w:lineRule="exact"/>
        <w:ind w:firstLine="640"/>
        <w:rPr>
          <w:rFonts w:ascii="仿宋" w:hAnsi="仿宋"/>
          <w:sz w:val="32"/>
          <w:szCs w:val="32"/>
        </w:rPr>
      </w:pPr>
      <w:r>
        <w:rPr>
          <w:rFonts w:hint="eastAsia" w:ascii="仿宋" w:hAnsi="仿宋"/>
          <w:sz w:val="32"/>
          <w:szCs w:val="32"/>
        </w:rPr>
        <w:t>燃气企业对标现行燃气及相关标准，实施燃气场站设施提标，同步完成智能化、信息化改造。推动“瓶改管”工作，推广使用具备自闭、过流功能的调压器，具有熄火保护功能的灶具，具有防脱落、耐老化、防剪切特性的燃气专用金属软管等设备，积极推广使用泄漏报警等安防产品。全面实施瓶装燃气销售实名制，如实记录进、销、存等信息。</w:t>
      </w:r>
    </w:p>
    <w:p w14:paraId="302F6E10">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专栏7：</w:t>
      </w:r>
      <w:r>
        <w:rPr>
          <w:rFonts w:hint="eastAsia" w:ascii="黑体" w:hAnsi="黑体" w:eastAsia="黑体" w:cs="黑体"/>
          <w:kern w:val="0"/>
          <w:szCs w:val="28"/>
        </w:rPr>
        <w:t>天然气保障重点</w:t>
      </w:r>
      <w:r>
        <w:rPr>
          <w:rFonts w:ascii="黑体" w:hAnsi="黑体" w:eastAsia="黑体" w:cs="黑体"/>
          <w:kern w:val="0"/>
          <w:szCs w:val="28"/>
        </w:rPr>
        <w:t>工程</w:t>
      </w:r>
    </w:p>
    <w:tbl>
      <w:tblPr>
        <w:tblStyle w:val="23"/>
        <w:tblW w:w="91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1"/>
      </w:tblGrid>
      <w:tr w14:paraId="050C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1" w:type="dxa"/>
            <w:shd w:val="clear" w:color="auto" w:fill="auto"/>
          </w:tcPr>
          <w:p w14:paraId="07E9DE56">
            <w:pPr>
              <w:pStyle w:val="48"/>
              <w:spacing w:before="197" w:beforeLines="50"/>
              <w:ind w:firstLine="562"/>
              <w:rPr>
                <w:rFonts w:ascii="仿宋" w:eastAsia="仿宋" w:cs="仿宋_GB2312"/>
                <w:color w:val="auto"/>
                <w:sz w:val="28"/>
              </w:rPr>
            </w:pPr>
            <w:r>
              <w:rPr>
                <w:rFonts w:ascii="仿宋" w:eastAsia="仿宋" w:cs="仿宋_GB2312"/>
                <w:b/>
                <w:bCs/>
                <w:color w:val="auto"/>
                <w:sz w:val="28"/>
              </w:rPr>
              <w:t>1.中石油西三线天然气对接工程：</w:t>
            </w:r>
            <w:r>
              <w:rPr>
                <w:rFonts w:hint="eastAsia" w:ascii="仿宋" w:eastAsia="仿宋" w:cs="仿宋_GB2312"/>
                <w:color w:val="auto"/>
                <w:sz w:val="28"/>
              </w:rPr>
              <w:t>新建泉州台商投资区调压站、洪濑门站、泉港门站</w:t>
            </w:r>
            <w:r>
              <w:rPr>
                <w:rFonts w:ascii="仿宋" w:eastAsia="仿宋" w:cs="仿宋_GB2312"/>
                <w:color w:val="auto"/>
                <w:sz w:val="28"/>
              </w:rPr>
              <w:t>3座场站及附属设施，新建高压输气管线6条共170公里，即霞美门站至</w:t>
            </w:r>
            <w:r>
              <w:rPr>
                <w:rFonts w:hint="eastAsia" w:ascii="仿宋" w:eastAsia="仿宋" w:cs="仿宋_GB2312"/>
                <w:color w:val="auto"/>
                <w:sz w:val="28"/>
              </w:rPr>
              <w:t>泉州</w:t>
            </w:r>
            <w:r>
              <w:rPr>
                <w:rFonts w:ascii="仿宋" w:eastAsia="仿宋" w:cs="仿宋_GB2312"/>
                <w:color w:val="auto"/>
                <w:sz w:val="28"/>
              </w:rPr>
              <w:t>台商投资区调压站高压管线36公里、</w:t>
            </w:r>
            <w:r>
              <w:rPr>
                <w:rFonts w:hint="eastAsia" w:ascii="仿宋" w:eastAsia="仿宋" w:cs="仿宋_GB2312"/>
                <w:color w:val="auto"/>
                <w:sz w:val="28"/>
              </w:rPr>
              <w:t>泉州台商投资区</w:t>
            </w:r>
            <w:r>
              <w:rPr>
                <w:rFonts w:ascii="仿宋" w:eastAsia="仿宋" w:cs="仿宋_GB2312"/>
                <w:color w:val="auto"/>
                <w:sz w:val="28"/>
              </w:rPr>
              <w:t>调压站至泉港门站高压管线40公里、</w:t>
            </w:r>
            <w:r>
              <w:rPr>
                <w:rFonts w:hint="eastAsia" w:ascii="仿宋" w:eastAsia="仿宋" w:cs="仿宋_GB2312"/>
                <w:color w:val="auto"/>
                <w:sz w:val="28"/>
              </w:rPr>
              <w:t>泉州台商投资区</w:t>
            </w:r>
            <w:r>
              <w:rPr>
                <w:rFonts w:ascii="仿宋" w:eastAsia="仿宋" w:cs="仿宋_GB2312"/>
                <w:color w:val="auto"/>
                <w:sz w:val="28"/>
              </w:rPr>
              <w:t>调压站至张坂调压站高压管线20公里、张坂调压站至中化调压站高压管线22公里</w:t>
            </w:r>
            <w:r>
              <w:rPr>
                <w:rFonts w:hint="eastAsia" w:ascii="仿宋" w:eastAsia="仿宋" w:cs="仿宋_GB2312"/>
                <w:color w:val="auto"/>
                <w:sz w:val="28"/>
              </w:rPr>
              <w:t>、</w:t>
            </w:r>
            <w:r>
              <w:rPr>
                <w:rFonts w:ascii="仿宋" w:eastAsia="仿宋" w:cs="仿宋_GB2312"/>
                <w:color w:val="auto"/>
                <w:sz w:val="28"/>
              </w:rPr>
              <w:t>洪濑门站至惠安门站高压管线40公里、惠安门站至中化调压站高压管线12公里。</w:t>
            </w:r>
          </w:p>
          <w:p w14:paraId="60F2851D">
            <w:pPr>
              <w:pStyle w:val="48"/>
              <w:ind w:firstLine="562"/>
              <w:rPr>
                <w:rFonts w:ascii="仿宋" w:eastAsia="仿宋" w:cs="仿宋_GB2312"/>
                <w:color w:val="auto"/>
                <w:sz w:val="28"/>
              </w:rPr>
            </w:pPr>
            <w:r>
              <w:rPr>
                <w:rFonts w:ascii="仿宋" w:eastAsia="仿宋" w:cs="仿宋_GB2312"/>
                <w:b/>
                <w:bCs/>
                <w:color w:val="auto"/>
                <w:sz w:val="28"/>
              </w:rPr>
              <w:t>2.中海油天然气德化支线对接工程：</w:t>
            </w:r>
            <w:r>
              <w:rPr>
                <w:rFonts w:hint="eastAsia" w:ascii="仿宋" w:eastAsia="仿宋" w:cs="仿宋_GB2312"/>
                <w:color w:val="auto"/>
                <w:sz w:val="28"/>
              </w:rPr>
              <w:t>新建南安诗山门站、安溪门站、永春门站、德化门站</w:t>
            </w:r>
            <w:r>
              <w:rPr>
                <w:rFonts w:ascii="仿宋" w:eastAsia="仿宋" w:cs="仿宋_GB2312"/>
                <w:color w:val="auto"/>
                <w:sz w:val="28"/>
              </w:rPr>
              <w:t>4座场站及附属设施，新建输气管线2条共25公里。</w:t>
            </w:r>
          </w:p>
          <w:p w14:paraId="4B692AD5">
            <w:pPr>
              <w:pStyle w:val="48"/>
              <w:ind w:firstLine="562"/>
              <w:rPr>
                <w:rFonts w:ascii="仿宋" w:eastAsia="仿宋" w:cs="仿宋_GB2312"/>
                <w:color w:val="auto"/>
                <w:sz w:val="28"/>
              </w:rPr>
            </w:pPr>
            <w:r>
              <w:rPr>
                <w:rFonts w:ascii="仿宋" w:eastAsia="仿宋" w:cs="仿宋_GB2312"/>
                <w:b/>
                <w:bCs/>
                <w:color w:val="auto"/>
                <w:sz w:val="28"/>
              </w:rPr>
              <w:t>3.</w:t>
            </w:r>
            <w:r>
              <w:rPr>
                <w:rFonts w:hint="eastAsia" w:ascii="仿宋" w:eastAsia="仿宋" w:cs="仿宋_GB2312"/>
                <w:b/>
                <w:bCs/>
                <w:color w:val="auto"/>
                <w:sz w:val="28"/>
              </w:rPr>
              <w:t>应急储备：</w:t>
            </w:r>
            <w:r>
              <w:rPr>
                <w:rFonts w:hint="eastAsia" w:ascii="仿宋" w:eastAsia="仿宋" w:cs="仿宋_GB2312"/>
                <w:color w:val="auto"/>
                <w:sz w:val="28"/>
              </w:rPr>
              <w:t>建设泉州市LNG应急储备中心，储罐总储气能力达到40万立方米，同步建设LNG灌装设备、天然气外输高压管线，配套建设LNG运输船舶接卸码头。</w:t>
            </w:r>
          </w:p>
        </w:tc>
      </w:tr>
    </w:tbl>
    <w:p w14:paraId="6328B5F7">
      <w:pPr>
        <w:pStyle w:val="3"/>
        <w:spacing w:line="540" w:lineRule="exact"/>
        <w:ind w:firstLine="643"/>
        <w:rPr>
          <w:rFonts w:ascii="黑体" w:hAnsi="黑体" w:eastAsia="黑体"/>
          <w:sz w:val="32"/>
        </w:rPr>
      </w:pPr>
      <w:bookmarkStart w:id="301" w:name="_Toc14246"/>
      <w:bookmarkStart w:id="302" w:name="_Toc32753"/>
      <w:bookmarkStart w:id="303" w:name="_Toc4449"/>
      <w:bookmarkStart w:id="304" w:name="_Toc10724"/>
      <w:bookmarkStart w:id="305" w:name="_Toc23576"/>
      <w:r>
        <w:rPr>
          <w:rFonts w:hint="eastAsia" w:ascii="黑体" w:hAnsi="黑体" w:eastAsia="黑体"/>
          <w:kern w:val="0"/>
          <w:sz w:val="32"/>
        </w:rPr>
        <w:t>八、</w:t>
      </w:r>
      <w:r>
        <w:rPr>
          <w:rFonts w:hint="eastAsia" w:ascii="黑体" w:hAnsi="黑体" w:eastAsia="黑体"/>
          <w:sz w:val="32"/>
        </w:rPr>
        <w:t>安全保障工程</w:t>
      </w:r>
      <w:bookmarkEnd w:id="301"/>
      <w:bookmarkEnd w:id="302"/>
      <w:bookmarkEnd w:id="303"/>
      <w:bookmarkEnd w:id="304"/>
      <w:bookmarkEnd w:id="305"/>
    </w:p>
    <w:p w14:paraId="25EC6F85">
      <w:pPr>
        <w:spacing w:line="540" w:lineRule="exact"/>
        <w:ind w:firstLine="640"/>
        <w:rPr>
          <w:rFonts w:ascii="楷体" w:hAnsi="楷体" w:eastAsia="楷体"/>
          <w:b/>
          <w:bCs/>
          <w:kern w:val="0"/>
          <w:sz w:val="32"/>
          <w:szCs w:val="32"/>
        </w:rPr>
      </w:pPr>
      <w:r>
        <w:rPr>
          <w:rFonts w:hint="eastAsia" w:ascii="仿宋" w:hAnsi="仿宋"/>
          <w:sz w:val="32"/>
          <w:szCs w:val="32"/>
        </w:rPr>
        <w:t>持续推进晋江、洛阳江流域及沿海防洪防潮工程建设，开展泉州市市区水系联排联调，健全城市防洪排涝设施体系，系统提高雨水管网排水能力，全面推进海绵城市建设，基本完成市区易涝点整治。开展地下空间设施隐患排查及安全运营，强化供水、燃气应急等配套设施储备，整治病害桥梁，提高城市安全韧性。</w:t>
      </w:r>
    </w:p>
    <w:p w14:paraId="50EF8727">
      <w:pPr>
        <w:snapToGrid w:val="0"/>
        <w:spacing w:line="540" w:lineRule="exact"/>
        <w:ind w:firstLine="643"/>
        <w:outlineLvl w:val="2"/>
        <w:rPr>
          <w:rFonts w:ascii="仿宋" w:hAnsi="仿宋"/>
          <w:b/>
          <w:bCs/>
          <w:sz w:val="32"/>
          <w:szCs w:val="32"/>
        </w:rPr>
      </w:pPr>
      <w:bookmarkStart w:id="306" w:name="_Toc24038"/>
      <w:bookmarkStart w:id="307" w:name="_Toc22703"/>
      <w:bookmarkStart w:id="308" w:name="_Toc13136"/>
      <w:bookmarkStart w:id="309" w:name="_Toc14236"/>
      <w:bookmarkStart w:id="310" w:name="_Toc32276"/>
      <w:r>
        <w:rPr>
          <w:rFonts w:hint="eastAsia" w:ascii="楷体" w:hAnsi="楷体" w:eastAsia="楷体"/>
          <w:b/>
          <w:bCs/>
          <w:kern w:val="0"/>
          <w:sz w:val="32"/>
          <w:szCs w:val="32"/>
        </w:rPr>
        <w:t>（</w:t>
      </w:r>
      <w:r>
        <w:rPr>
          <w:rFonts w:hint="eastAsia" w:ascii="仿宋" w:hAnsi="仿宋"/>
          <w:b/>
          <w:bCs/>
          <w:kern w:val="0"/>
          <w:sz w:val="32"/>
          <w:szCs w:val="32"/>
        </w:rPr>
        <w:t>一）</w:t>
      </w:r>
      <w:r>
        <w:rPr>
          <w:rFonts w:hint="eastAsia" w:ascii="仿宋" w:hAnsi="仿宋"/>
          <w:b/>
          <w:bCs/>
          <w:sz w:val="32"/>
          <w:szCs w:val="32"/>
        </w:rPr>
        <w:t>完善排水防涝</w:t>
      </w:r>
      <w:bookmarkEnd w:id="306"/>
      <w:bookmarkEnd w:id="307"/>
      <w:bookmarkEnd w:id="308"/>
      <w:bookmarkEnd w:id="309"/>
      <w:r>
        <w:rPr>
          <w:rFonts w:hint="eastAsia" w:ascii="仿宋" w:hAnsi="仿宋"/>
          <w:b/>
          <w:bCs/>
          <w:sz w:val="32"/>
          <w:szCs w:val="32"/>
        </w:rPr>
        <w:t>设施</w:t>
      </w:r>
      <w:bookmarkEnd w:id="310"/>
    </w:p>
    <w:p w14:paraId="1F7D2FCA">
      <w:pPr>
        <w:spacing w:line="540" w:lineRule="exact"/>
        <w:ind w:firstLine="643"/>
        <w:rPr>
          <w:rFonts w:ascii="仿宋" w:hAnsi="仿宋"/>
          <w:sz w:val="32"/>
          <w:szCs w:val="32"/>
        </w:rPr>
      </w:pPr>
      <w:r>
        <w:rPr>
          <w:rFonts w:hint="eastAsia" w:ascii="仿宋" w:hAnsi="仿宋"/>
          <w:b/>
          <w:sz w:val="32"/>
          <w:szCs w:val="32"/>
        </w:rPr>
        <w:t>提升沿江沿海防洪能力。</w:t>
      </w:r>
      <w:r>
        <w:rPr>
          <w:rFonts w:hint="eastAsia" w:ascii="仿宋" w:hAnsi="仿宋"/>
          <w:sz w:val="32"/>
          <w:szCs w:val="32"/>
        </w:rPr>
        <w:t>推进晋江防洪工程二期、闽江防洪工程德化段</w:t>
      </w:r>
      <w:r>
        <w:rPr>
          <w:rFonts w:ascii="仿宋" w:hAnsi="仿宋"/>
          <w:sz w:val="32"/>
          <w:szCs w:val="32"/>
        </w:rPr>
        <w:t>(二期)等“五江</w:t>
      </w:r>
      <w:r>
        <w:rPr>
          <w:rFonts w:hint="eastAsia" w:ascii="仿宋" w:hAnsi="仿宋"/>
          <w:sz w:val="32"/>
          <w:szCs w:val="32"/>
        </w:rPr>
        <w:t>一溪”防洪治理</w:t>
      </w:r>
      <w:r>
        <w:rPr>
          <w:rFonts w:ascii="仿宋" w:hAnsi="仿宋"/>
          <w:sz w:val="32"/>
          <w:szCs w:val="32"/>
        </w:rPr>
        <w:t>,增强江河洪水调蓄能力,优化晋江防洪布局, 实施中小河流治理,提升江河堤防达标率, 提高城乡防洪能力。实施海提除险加固,积极推进</w:t>
      </w:r>
      <w:r>
        <w:rPr>
          <w:rFonts w:hint="eastAsia" w:ascii="仿宋" w:hAnsi="仿宋"/>
          <w:sz w:val="32"/>
          <w:szCs w:val="32"/>
        </w:rPr>
        <w:t>泉州</w:t>
      </w:r>
      <w:r>
        <w:rPr>
          <w:rFonts w:ascii="仿宋" w:hAnsi="仿宋"/>
          <w:sz w:val="32"/>
          <w:szCs w:val="32"/>
        </w:rPr>
        <w:t>台商投</w:t>
      </w:r>
      <w:r>
        <w:rPr>
          <w:rFonts w:hint="eastAsia" w:ascii="仿宋" w:hAnsi="仿宋"/>
          <w:sz w:val="32"/>
          <w:szCs w:val="32"/>
        </w:rPr>
        <w:t>资区七一海堤、石狮市蚶江海堤生态化改造</w:t>
      </w:r>
      <w:r>
        <w:rPr>
          <w:rFonts w:ascii="仿宋" w:hAnsi="仿宋"/>
          <w:sz w:val="32"/>
          <w:szCs w:val="32"/>
        </w:rPr>
        <w:t>,进一步完善沿海地</w:t>
      </w:r>
      <w:r>
        <w:rPr>
          <w:rFonts w:hint="eastAsia" w:ascii="仿宋" w:hAnsi="仿宋"/>
          <w:sz w:val="32"/>
          <w:szCs w:val="32"/>
        </w:rPr>
        <w:t>区防潮减灾体系</w:t>
      </w:r>
      <w:r>
        <w:rPr>
          <w:rFonts w:ascii="仿宋" w:hAnsi="仿宋"/>
          <w:sz w:val="32"/>
          <w:szCs w:val="32"/>
        </w:rPr>
        <w:t>,构建集物理、生态和文化功能于一体的生态海堤。</w:t>
      </w:r>
    </w:p>
    <w:p w14:paraId="2D6B271C">
      <w:pPr>
        <w:spacing w:line="540" w:lineRule="exact"/>
        <w:ind w:firstLine="643"/>
        <w:rPr>
          <w:rFonts w:ascii="仿宋" w:hAnsi="仿宋"/>
          <w:sz w:val="32"/>
          <w:szCs w:val="32"/>
        </w:rPr>
      </w:pPr>
      <w:r>
        <w:rPr>
          <w:rFonts w:hint="eastAsia" w:ascii="仿宋" w:hAnsi="仿宋"/>
          <w:b/>
          <w:sz w:val="32"/>
          <w:szCs w:val="32"/>
        </w:rPr>
        <w:t>完善市区防洪排涝系统。</w:t>
      </w:r>
      <w:r>
        <w:rPr>
          <w:rFonts w:ascii="仿宋" w:hAnsi="仿宋"/>
          <w:sz w:val="32"/>
          <w:szCs w:val="32"/>
        </w:rPr>
        <w:t>积极推进</w:t>
      </w:r>
      <w:r>
        <w:rPr>
          <w:rFonts w:hint="eastAsia" w:ascii="仿宋" w:hAnsi="仿宋"/>
          <w:sz w:val="32"/>
          <w:szCs w:val="32"/>
        </w:rPr>
        <w:t>市区</w:t>
      </w:r>
      <w:r>
        <w:rPr>
          <w:rFonts w:ascii="仿宋" w:hAnsi="仿宋"/>
          <w:sz w:val="32"/>
          <w:szCs w:val="32"/>
        </w:rPr>
        <w:t>水系</w:t>
      </w:r>
      <w:r>
        <w:rPr>
          <w:rFonts w:hint="eastAsia" w:ascii="仿宋" w:hAnsi="仿宋"/>
          <w:sz w:val="32"/>
          <w:szCs w:val="32"/>
        </w:rPr>
        <w:t>联排联调</w:t>
      </w:r>
      <w:r>
        <w:rPr>
          <w:rFonts w:ascii="仿宋" w:hAnsi="仿宋"/>
          <w:sz w:val="32"/>
          <w:szCs w:val="32"/>
        </w:rPr>
        <w:t>,打造城市智慧排涝防涝系统,通过科学调度,实现城</w:t>
      </w:r>
      <w:r>
        <w:rPr>
          <w:rFonts w:hint="eastAsia" w:ascii="仿宋" w:hAnsi="仿宋"/>
          <w:sz w:val="32"/>
          <w:szCs w:val="32"/>
        </w:rPr>
        <w:t>市库、湖、河、闸、站联排联调</w:t>
      </w:r>
      <w:r>
        <w:rPr>
          <w:rFonts w:ascii="仿宋" w:hAnsi="仿宋"/>
          <w:sz w:val="32"/>
          <w:szCs w:val="32"/>
        </w:rPr>
        <w:t>,最大限度发挥现有工程措施的</w:t>
      </w:r>
      <w:r>
        <w:rPr>
          <w:rFonts w:hint="eastAsia" w:ascii="仿宋" w:hAnsi="仿宋"/>
          <w:sz w:val="32"/>
          <w:szCs w:val="32"/>
        </w:rPr>
        <w:t>效益。构建完整的</w:t>
      </w:r>
      <w:r>
        <w:rPr>
          <w:rFonts w:ascii="仿宋" w:hAnsi="仿宋"/>
          <w:sz w:val="32"/>
          <w:szCs w:val="32"/>
        </w:rPr>
        <w:t>城市滞洪区、</w:t>
      </w:r>
      <w:r>
        <w:rPr>
          <w:rFonts w:hint="eastAsia" w:ascii="仿宋" w:hAnsi="仿宋"/>
          <w:sz w:val="32"/>
          <w:szCs w:val="32"/>
        </w:rPr>
        <w:t>排涝渠道和泵站等防洪排涝体系，重点实施西华洋片区排洪设施体系和乌石山滞洪区排涝系统建设，开展城东浔美滞洪湖、仙堂滞洪区等工程建设，新增滞洪区1000亩</w:t>
      </w:r>
      <w:r>
        <w:rPr>
          <w:rFonts w:ascii="仿宋" w:hAnsi="仿宋"/>
          <w:sz w:val="32"/>
          <w:szCs w:val="32"/>
        </w:rPr>
        <w:t>以上。</w:t>
      </w:r>
      <w:r>
        <w:rPr>
          <w:rFonts w:hint="eastAsia" w:ascii="仿宋" w:hAnsi="仿宋"/>
          <w:sz w:val="32"/>
          <w:szCs w:val="32"/>
        </w:rPr>
        <w:t>实施霞洲排涝站、法石排涝站、石狮水头排涝枢纽工程等</w:t>
      </w:r>
      <w:r>
        <w:rPr>
          <w:rFonts w:ascii="仿宋" w:hAnsi="仿宋"/>
          <w:sz w:val="32"/>
          <w:szCs w:val="32"/>
        </w:rPr>
        <w:t>排涝站建设，</w:t>
      </w:r>
      <w:r>
        <w:rPr>
          <w:rFonts w:hint="eastAsia" w:ascii="仿宋" w:hAnsi="仿宋"/>
          <w:sz w:val="32"/>
          <w:szCs w:val="32"/>
        </w:rPr>
        <w:t>推动实施霞洲引港、繁荣渠等</w:t>
      </w:r>
      <w:r>
        <w:rPr>
          <w:rFonts w:ascii="仿宋" w:hAnsi="仿宋"/>
          <w:sz w:val="32"/>
          <w:szCs w:val="32"/>
        </w:rPr>
        <w:t>排洪渠</w:t>
      </w:r>
      <w:r>
        <w:rPr>
          <w:rFonts w:hint="eastAsia" w:ascii="仿宋" w:hAnsi="仿宋"/>
          <w:sz w:val="32"/>
          <w:szCs w:val="32"/>
        </w:rPr>
        <w:t>系</w:t>
      </w:r>
      <w:r>
        <w:rPr>
          <w:rFonts w:ascii="仿宋" w:hAnsi="仿宋"/>
          <w:sz w:val="32"/>
          <w:szCs w:val="32"/>
        </w:rPr>
        <w:t>建设</w:t>
      </w:r>
      <w:r>
        <w:rPr>
          <w:rFonts w:hint="eastAsia" w:ascii="仿宋" w:hAnsi="仿宋"/>
          <w:sz w:val="32"/>
          <w:szCs w:val="32"/>
        </w:rPr>
        <w:t>，总长</w:t>
      </w:r>
      <w:r>
        <w:rPr>
          <w:rFonts w:ascii="仿宋" w:hAnsi="仿宋"/>
          <w:sz w:val="32"/>
          <w:szCs w:val="32"/>
        </w:rPr>
        <w:t>15公里以上。</w:t>
      </w:r>
    </w:p>
    <w:p w14:paraId="269089B7">
      <w:pPr>
        <w:spacing w:line="540" w:lineRule="exact"/>
        <w:ind w:firstLine="643"/>
        <w:rPr>
          <w:rFonts w:ascii="仿宋" w:hAnsi="仿宋"/>
          <w:sz w:val="32"/>
          <w:szCs w:val="32"/>
        </w:rPr>
      </w:pPr>
      <w:r>
        <w:rPr>
          <w:rFonts w:hint="eastAsia" w:ascii="仿宋" w:hAnsi="仿宋"/>
          <w:b/>
          <w:sz w:val="32"/>
          <w:szCs w:val="32"/>
        </w:rPr>
        <w:t>健全城市雨水排水设施体系。</w:t>
      </w:r>
      <w:r>
        <w:rPr>
          <w:rFonts w:hint="eastAsia" w:ascii="仿宋" w:hAnsi="仿宋"/>
          <w:sz w:val="32"/>
          <w:szCs w:val="32"/>
        </w:rPr>
        <w:t>结合北峰、东海、城东、江南、洛江区、泉州台商投资区、晋江市等开发配套建设雨水管网，开展市区排洪沟及雨水管涵清淤、病害修复、雨污分流，系统提高雨水管网排水能力。到</w:t>
      </w:r>
      <w:r>
        <w:rPr>
          <w:rFonts w:ascii="仿宋" w:hAnsi="仿宋"/>
          <w:sz w:val="32"/>
          <w:szCs w:val="32"/>
        </w:rPr>
        <w:t>2025年，</w:t>
      </w:r>
      <w:r>
        <w:rPr>
          <w:rFonts w:hint="eastAsia" w:ascii="仿宋" w:hAnsi="仿宋"/>
          <w:sz w:val="32"/>
          <w:szCs w:val="32"/>
        </w:rPr>
        <w:t>全市</w:t>
      </w:r>
      <w:r>
        <w:rPr>
          <w:rFonts w:ascii="仿宋" w:hAnsi="仿宋"/>
          <w:sz w:val="32"/>
          <w:szCs w:val="32"/>
        </w:rPr>
        <w:t>新建改造雨水管网300公里</w:t>
      </w:r>
      <w:r>
        <w:rPr>
          <w:rFonts w:hint="eastAsia" w:ascii="仿宋" w:hAnsi="仿宋"/>
          <w:sz w:val="32"/>
          <w:szCs w:val="32"/>
        </w:rPr>
        <w:t>以上</w:t>
      </w:r>
      <w:r>
        <w:rPr>
          <w:rFonts w:ascii="仿宋" w:hAnsi="仿宋"/>
          <w:sz w:val="32"/>
          <w:szCs w:val="32"/>
        </w:rPr>
        <w:t>，累计清淤长度达到450公里</w:t>
      </w:r>
      <w:r>
        <w:rPr>
          <w:rFonts w:hint="eastAsia" w:ascii="仿宋" w:hAnsi="仿宋"/>
          <w:sz w:val="32"/>
          <w:szCs w:val="32"/>
        </w:rPr>
        <w:t>以上</w:t>
      </w:r>
      <w:r>
        <w:rPr>
          <w:rFonts w:ascii="仿宋" w:hAnsi="仿宋"/>
          <w:sz w:val="32"/>
          <w:szCs w:val="32"/>
        </w:rPr>
        <w:t>。</w:t>
      </w:r>
    </w:p>
    <w:p w14:paraId="63ECA735">
      <w:pPr>
        <w:spacing w:line="540" w:lineRule="exact"/>
        <w:ind w:firstLine="643"/>
        <w:rPr>
          <w:rFonts w:ascii="仿宋" w:hAnsi="仿宋"/>
          <w:sz w:val="32"/>
          <w:szCs w:val="32"/>
        </w:rPr>
      </w:pPr>
      <w:r>
        <w:rPr>
          <w:rFonts w:hint="eastAsia" w:ascii="仿宋" w:hAnsi="仿宋"/>
          <w:b/>
          <w:sz w:val="32"/>
          <w:szCs w:val="32"/>
        </w:rPr>
        <w:t>加快推进海绵城市建设</w:t>
      </w:r>
      <w:r>
        <w:rPr>
          <w:rFonts w:hint="eastAsia" w:ascii="仿宋" w:hAnsi="仿宋"/>
          <w:sz w:val="32"/>
          <w:szCs w:val="32"/>
        </w:rPr>
        <w:t>。开展海绵城市专项规划修编，编制中心城区海绵城市系统化方案，强化新改建项目海绵措施建设监管，系统化推进海绵城市建设，以申报国家海绵城市试点为主要抓手，争取国家资金，支持排水防涝系统提升改造、滞洪区建设、水系综合整治、生态环境改善等项目。</w:t>
      </w:r>
    </w:p>
    <w:p w14:paraId="028FB1C5">
      <w:pPr>
        <w:snapToGrid w:val="0"/>
        <w:spacing w:line="540" w:lineRule="exact"/>
        <w:ind w:firstLine="643"/>
        <w:outlineLvl w:val="2"/>
        <w:rPr>
          <w:rFonts w:ascii="仿宋" w:hAnsi="仿宋"/>
          <w:b/>
          <w:bCs/>
          <w:sz w:val="32"/>
          <w:szCs w:val="32"/>
        </w:rPr>
      </w:pPr>
      <w:bookmarkStart w:id="311" w:name="_Toc32336"/>
      <w:bookmarkStart w:id="312" w:name="_Toc25385"/>
      <w:bookmarkStart w:id="313" w:name="_Toc30491"/>
      <w:bookmarkStart w:id="314" w:name="_Toc27136"/>
      <w:bookmarkStart w:id="315" w:name="_Toc5641"/>
      <w:r>
        <w:rPr>
          <w:rFonts w:hint="eastAsia" w:ascii="仿宋" w:hAnsi="仿宋"/>
          <w:b/>
          <w:bCs/>
          <w:kern w:val="0"/>
          <w:sz w:val="32"/>
          <w:szCs w:val="32"/>
        </w:rPr>
        <w:t>（二）</w:t>
      </w:r>
      <w:r>
        <w:rPr>
          <w:rFonts w:hint="eastAsia" w:ascii="仿宋" w:hAnsi="仿宋"/>
          <w:b/>
          <w:bCs/>
          <w:sz w:val="32"/>
          <w:szCs w:val="32"/>
        </w:rPr>
        <w:t>加强应急设施建设</w:t>
      </w:r>
      <w:bookmarkEnd w:id="311"/>
      <w:bookmarkEnd w:id="312"/>
      <w:bookmarkEnd w:id="313"/>
      <w:bookmarkEnd w:id="314"/>
      <w:bookmarkEnd w:id="315"/>
    </w:p>
    <w:p w14:paraId="7D2585F1">
      <w:pPr>
        <w:spacing w:line="540" w:lineRule="exact"/>
        <w:ind w:firstLine="640"/>
        <w:rPr>
          <w:rFonts w:ascii="仿宋" w:hAnsi="仿宋" w:cs="仿宋"/>
          <w:sz w:val="32"/>
          <w:szCs w:val="32"/>
        </w:rPr>
      </w:pPr>
      <w:r>
        <w:rPr>
          <w:rFonts w:hint="eastAsia" w:ascii="仿宋" w:hAnsi="仿宋" w:cs="仿宋"/>
          <w:sz w:val="32"/>
          <w:szCs w:val="32"/>
        </w:rPr>
        <w:t>县（市、区）完成双水源或应急备用水源建设</w:t>
      </w:r>
      <w:r>
        <w:rPr>
          <w:rFonts w:ascii="仿宋" w:hAnsi="仿宋" w:cs="仿宋"/>
          <w:sz w:val="32"/>
          <w:szCs w:val="32"/>
        </w:rPr>
        <w:t>,推进江河湖库水系连通,提升水源</w:t>
      </w:r>
      <w:r>
        <w:rPr>
          <w:rFonts w:hint="eastAsia" w:ascii="仿宋" w:hAnsi="仿宋" w:cs="仿宋"/>
          <w:sz w:val="32"/>
          <w:szCs w:val="32"/>
        </w:rPr>
        <w:t>可靠度。建立排水防涝应急调度体系</w:t>
      </w:r>
      <w:r>
        <w:rPr>
          <w:rFonts w:ascii="仿宋" w:hAnsi="仿宋" w:cs="仿宋"/>
          <w:sz w:val="32"/>
          <w:szCs w:val="32"/>
        </w:rPr>
        <w:t>,强化区域应急抢险物</w:t>
      </w:r>
      <w:r>
        <w:rPr>
          <w:rFonts w:hint="eastAsia" w:ascii="仿宋" w:hAnsi="仿宋" w:cs="仿宋"/>
          <w:sz w:val="32"/>
          <w:szCs w:val="32"/>
        </w:rPr>
        <w:t>资储备调度</w:t>
      </w:r>
      <w:r>
        <w:rPr>
          <w:rFonts w:ascii="仿宋" w:hAnsi="仿宋" w:cs="仿宋"/>
          <w:sz w:val="32"/>
          <w:szCs w:val="32"/>
        </w:rPr>
        <w:t>。</w:t>
      </w:r>
      <w:r>
        <w:rPr>
          <w:rFonts w:hint="eastAsia" w:ascii="仿宋" w:hAnsi="仿宋" w:cs="仿宋"/>
          <w:sz w:val="32"/>
          <w:szCs w:val="32"/>
        </w:rPr>
        <w:t>提升城镇燃气应急气源储备能力，加快推进泉州市</w:t>
      </w:r>
      <w:r>
        <w:rPr>
          <w:rFonts w:ascii="仿宋" w:hAnsi="仿宋" w:cs="仿宋"/>
          <w:sz w:val="32"/>
          <w:szCs w:val="32"/>
        </w:rPr>
        <w:t>LNG应急储备中心前期工作，适时启动建设，同步建设运输船舶接收码头、外输天然气管线等配套设施；同时增强液化石油气储备能力，力争达到城市燃气企业5%年供气量的储气能力要求。建立布局合理的避难场所体系,老旧小区、公园、绿地、体育场、</w:t>
      </w:r>
      <w:r>
        <w:rPr>
          <w:rFonts w:hint="eastAsia" w:ascii="仿宋" w:hAnsi="仿宋"/>
          <w:sz w:val="32"/>
          <w:szCs w:val="32"/>
        </w:rPr>
        <w:t>大专院校</w:t>
      </w:r>
      <w:r>
        <w:rPr>
          <w:rFonts w:hint="eastAsia" w:ascii="仿宋" w:hAnsi="仿宋" w:cs="仿宋"/>
          <w:sz w:val="32"/>
          <w:szCs w:val="32"/>
        </w:rPr>
        <w:t>等的公共服务用房以及预留空间充分考虑“平疫结合、平灾结合”应急储备需求，各类应急避难场所预留水电通信等基础设施接口，满足防疫防灾等紧急状态使用要求。</w:t>
      </w:r>
    </w:p>
    <w:p w14:paraId="5BD968F3">
      <w:pPr>
        <w:snapToGrid w:val="0"/>
        <w:spacing w:line="540" w:lineRule="exact"/>
        <w:ind w:firstLine="643"/>
        <w:outlineLvl w:val="2"/>
        <w:rPr>
          <w:rFonts w:ascii="仿宋" w:hAnsi="仿宋"/>
          <w:b/>
          <w:bCs/>
          <w:kern w:val="0"/>
          <w:sz w:val="32"/>
          <w:szCs w:val="32"/>
        </w:rPr>
      </w:pPr>
      <w:bookmarkStart w:id="316" w:name="_Toc28070"/>
      <w:bookmarkStart w:id="317" w:name="_Toc18240"/>
      <w:bookmarkStart w:id="318" w:name="_Toc3010"/>
      <w:bookmarkStart w:id="319" w:name="_Toc24920"/>
      <w:bookmarkStart w:id="320" w:name="_Toc20235"/>
      <w:r>
        <w:rPr>
          <w:rFonts w:hint="eastAsia" w:ascii="仿宋" w:hAnsi="仿宋"/>
          <w:b/>
          <w:bCs/>
          <w:kern w:val="0"/>
          <w:sz w:val="32"/>
          <w:szCs w:val="32"/>
        </w:rPr>
        <w:t>（三）地下市政管网安全运营管理</w:t>
      </w:r>
      <w:bookmarkEnd w:id="316"/>
      <w:bookmarkEnd w:id="317"/>
      <w:bookmarkEnd w:id="318"/>
      <w:bookmarkEnd w:id="319"/>
      <w:bookmarkEnd w:id="320"/>
    </w:p>
    <w:p w14:paraId="52AB28BC">
      <w:pPr>
        <w:spacing w:line="540" w:lineRule="exact"/>
        <w:ind w:firstLine="640"/>
        <w:rPr>
          <w:rFonts w:ascii="仿宋" w:hAnsi="仿宋" w:cs="仿宋"/>
          <w:sz w:val="32"/>
          <w:szCs w:val="32"/>
        </w:rPr>
      </w:pPr>
      <w:r>
        <w:rPr>
          <w:rFonts w:hint="eastAsia" w:ascii="仿宋" w:hAnsi="仿宋" w:cs="仿宋"/>
          <w:sz w:val="32"/>
          <w:szCs w:val="32"/>
        </w:rPr>
        <w:t>联合排水、供水、燃气等相关管线管理部门，开展地下管线普查建档工作，完善数据库建设，实现跨业务、跨部门地下管线数据的集成管理。构建地下综合管线平台，建立面向各类专业管线数据的集成、共享、交换及发布机制，提供面向各类管理的服务和组件。到</w:t>
      </w:r>
      <w:r>
        <w:rPr>
          <w:rFonts w:ascii="仿宋" w:hAnsi="仿宋" w:cs="仿宋"/>
          <w:sz w:val="32"/>
          <w:szCs w:val="32"/>
        </w:rPr>
        <w:t>2025年，城市市政管网普查建档率应达90%，基本实现对市区地下综合管线的存储、查询、分析、定位、业务应用、三维可视化等</w:t>
      </w:r>
      <w:r>
        <w:rPr>
          <w:rFonts w:hint="eastAsia" w:ascii="仿宋" w:hAnsi="仿宋" w:cs="仿宋"/>
          <w:sz w:val="32"/>
          <w:szCs w:val="32"/>
        </w:rPr>
        <w:t>功能</w:t>
      </w:r>
      <w:r>
        <w:rPr>
          <w:rFonts w:ascii="仿宋" w:hAnsi="仿宋" w:cs="仿宋"/>
          <w:sz w:val="32"/>
          <w:szCs w:val="32"/>
        </w:rPr>
        <w:t>。</w:t>
      </w:r>
    </w:p>
    <w:p w14:paraId="46CADC73">
      <w:pPr>
        <w:snapToGrid w:val="0"/>
        <w:spacing w:line="540" w:lineRule="exact"/>
        <w:ind w:firstLine="643"/>
        <w:outlineLvl w:val="2"/>
        <w:rPr>
          <w:rFonts w:ascii="仿宋" w:hAnsi="仿宋"/>
          <w:b/>
          <w:bCs/>
          <w:kern w:val="0"/>
          <w:sz w:val="32"/>
          <w:szCs w:val="32"/>
        </w:rPr>
      </w:pPr>
      <w:bookmarkStart w:id="321" w:name="_Toc29061"/>
      <w:bookmarkStart w:id="322" w:name="_Toc13310"/>
      <w:bookmarkStart w:id="323" w:name="_Toc10102"/>
      <w:bookmarkStart w:id="324" w:name="_Toc2963"/>
      <w:bookmarkStart w:id="325" w:name="_Toc24714"/>
      <w:r>
        <w:rPr>
          <w:rFonts w:hint="eastAsia" w:ascii="仿宋" w:hAnsi="仿宋"/>
          <w:b/>
          <w:bCs/>
          <w:kern w:val="0"/>
          <w:sz w:val="32"/>
          <w:szCs w:val="32"/>
        </w:rPr>
        <w:t>（四）病害桥梁加固改造</w:t>
      </w:r>
      <w:bookmarkEnd w:id="321"/>
      <w:bookmarkEnd w:id="322"/>
      <w:bookmarkEnd w:id="323"/>
      <w:bookmarkEnd w:id="324"/>
      <w:bookmarkEnd w:id="325"/>
    </w:p>
    <w:p w14:paraId="5748D878">
      <w:pPr>
        <w:spacing w:line="540" w:lineRule="exact"/>
        <w:ind w:firstLine="640"/>
        <w:rPr>
          <w:rFonts w:ascii="仿宋" w:hAnsi="仿宋" w:cs="仿宋"/>
          <w:sz w:val="32"/>
          <w:szCs w:val="32"/>
        </w:rPr>
      </w:pPr>
      <w:r>
        <w:rPr>
          <w:rFonts w:hint="eastAsia" w:ascii="仿宋" w:hAnsi="仿宋" w:cs="仿宋"/>
          <w:sz w:val="32"/>
          <w:szCs w:val="32"/>
        </w:rPr>
        <w:t>完成泉州大桥旧桥、后渚大桥等城市桥梁（隧道）的结构定期检测。完善电子档案，探索特大桥、结构复杂桥梁的动态监控。基本完成全域</w:t>
      </w:r>
      <w:r>
        <w:rPr>
          <w:rFonts w:ascii="仿宋" w:hAnsi="仿宋" w:cs="仿宋"/>
          <w:sz w:val="32"/>
          <w:szCs w:val="32"/>
        </w:rPr>
        <w:t>D级、E级城市桥梁和病害隧道的加固改造。</w:t>
      </w:r>
    </w:p>
    <w:p w14:paraId="4CB21AEE">
      <w:pPr>
        <w:pStyle w:val="45"/>
        <w:spacing w:line="500" w:lineRule="exact"/>
        <w:rPr>
          <w:rFonts w:ascii="黑体" w:hAnsi="黑体" w:cs="黑体"/>
          <w:b w:val="0"/>
          <w:kern w:val="0"/>
          <w:sz w:val="28"/>
          <w:szCs w:val="28"/>
        </w:rPr>
      </w:pPr>
      <w:r>
        <w:rPr>
          <w:rFonts w:hint="eastAsia" w:ascii="黑体" w:hAnsi="黑体" w:cs="黑体"/>
          <w:b w:val="0"/>
          <w:kern w:val="0"/>
          <w:sz w:val="28"/>
          <w:szCs w:val="28"/>
        </w:rPr>
        <w:t>专栏</w:t>
      </w:r>
      <w:r>
        <w:rPr>
          <w:rFonts w:ascii="黑体" w:hAnsi="黑体" w:cs="黑体"/>
          <w:b w:val="0"/>
          <w:kern w:val="0"/>
          <w:sz w:val="28"/>
          <w:szCs w:val="28"/>
        </w:rPr>
        <w:t>8：“安全保障工程”重点</w:t>
      </w:r>
      <w:r>
        <w:rPr>
          <w:rFonts w:hint="eastAsia" w:ascii="黑体" w:hAnsi="黑体" w:cs="黑体"/>
          <w:b w:val="0"/>
          <w:kern w:val="0"/>
          <w:sz w:val="28"/>
          <w:szCs w:val="28"/>
        </w:rPr>
        <w:t>项目</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CC6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31F3CAB">
            <w:pPr>
              <w:pStyle w:val="48"/>
              <w:spacing w:before="197" w:beforeLines="50"/>
              <w:ind w:firstLine="562"/>
              <w:rPr>
                <w:rFonts w:ascii="仿宋" w:eastAsia="仿宋" w:cs="仿宋"/>
                <w:color w:val="auto"/>
                <w:sz w:val="28"/>
              </w:rPr>
            </w:pPr>
            <w:r>
              <w:rPr>
                <w:rFonts w:ascii="仿宋" w:eastAsia="仿宋" w:cs="仿宋"/>
                <w:b/>
                <w:color w:val="auto"/>
                <w:sz w:val="28"/>
              </w:rPr>
              <w:t>1.防洪、防潮工程设施建设：</w:t>
            </w:r>
            <w:r>
              <w:rPr>
                <w:rFonts w:hint="eastAsia" w:ascii="仿宋" w:eastAsia="仿宋" w:cs="仿宋"/>
                <w:color w:val="auto"/>
                <w:sz w:val="28"/>
              </w:rPr>
              <w:t>晋江防洪工程二期、闽江防洪工程德化段</w:t>
            </w:r>
            <w:r>
              <w:rPr>
                <w:rFonts w:ascii="仿宋" w:eastAsia="仿宋" w:cs="仿宋"/>
                <w:color w:val="auto"/>
                <w:sz w:val="28"/>
              </w:rPr>
              <w:t>(二期)、</w:t>
            </w:r>
            <w:r>
              <w:rPr>
                <w:rFonts w:hint="eastAsia" w:ascii="仿宋" w:eastAsia="仿宋" w:cs="仿宋"/>
                <w:color w:val="auto"/>
                <w:sz w:val="28"/>
              </w:rPr>
              <w:t>泉州</w:t>
            </w:r>
            <w:r>
              <w:rPr>
                <w:rFonts w:ascii="仿宋" w:eastAsia="仿宋" w:cs="仿宋"/>
                <w:color w:val="auto"/>
                <w:sz w:val="28"/>
              </w:rPr>
              <w:t>台商投资区七一海堤生态化改造、石狮市蚶江海堤生态化改造。</w:t>
            </w:r>
          </w:p>
          <w:p w14:paraId="12BF0F05">
            <w:pPr>
              <w:pStyle w:val="48"/>
              <w:ind w:firstLine="562"/>
              <w:rPr>
                <w:rFonts w:ascii="仿宋" w:eastAsia="仿宋" w:cs="仿宋"/>
                <w:color w:val="auto"/>
                <w:sz w:val="28"/>
              </w:rPr>
            </w:pPr>
            <w:r>
              <w:rPr>
                <w:rFonts w:ascii="仿宋" w:eastAsia="仿宋" w:cs="仿宋"/>
                <w:b/>
                <w:color w:val="auto"/>
                <w:sz w:val="28"/>
              </w:rPr>
              <w:t>2.城市防洪排涝：</w:t>
            </w:r>
            <w:r>
              <w:rPr>
                <w:rFonts w:hint="eastAsia" w:ascii="仿宋" w:eastAsia="仿宋" w:cs="仿宋"/>
                <w:color w:val="auto"/>
                <w:sz w:val="28"/>
              </w:rPr>
              <w:t>市区水系联排联调、西华洋滞洪区及相关水系的设施建设、乌石山滞洪区及相关水系的设施建设、仙堂滞洪区一期工程、洛阳江流域综合整治—城东浔美滞洪湖景观公园（续建）。</w:t>
            </w:r>
          </w:p>
          <w:p w14:paraId="22887E7B">
            <w:pPr>
              <w:pStyle w:val="48"/>
              <w:ind w:firstLine="562"/>
              <w:rPr>
                <w:rFonts w:ascii="仿宋" w:eastAsia="仿宋" w:cs="仿宋"/>
                <w:b/>
                <w:color w:val="auto"/>
                <w:sz w:val="28"/>
              </w:rPr>
            </w:pPr>
            <w:r>
              <w:rPr>
                <w:rFonts w:ascii="仿宋" w:eastAsia="仿宋" w:cs="仿宋"/>
                <w:b/>
                <w:color w:val="auto"/>
                <w:sz w:val="28"/>
              </w:rPr>
              <w:t>3.雨水管网建设改造与积水点消除：</w:t>
            </w:r>
            <w:r>
              <w:rPr>
                <w:rFonts w:hint="eastAsia" w:ascii="仿宋" w:eastAsia="仿宋" w:cs="仿宋"/>
                <w:color w:val="auto"/>
                <w:sz w:val="28"/>
              </w:rPr>
              <w:t>结合片区开发建设，全市新改建雨水管道</w:t>
            </w:r>
            <w:r>
              <w:rPr>
                <w:rFonts w:ascii="仿宋" w:eastAsia="仿宋" w:cs="仿宋"/>
                <w:color w:val="auto"/>
                <w:sz w:val="28"/>
              </w:rPr>
              <w:t>300公里以上；持续开展</w:t>
            </w:r>
            <w:r>
              <w:rPr>
                <w:rFonts w:hint="eastAsia" w:ascii="仿宋" w:eastAsia="仿宋" w:cs="仿宋"/>
                <w:color w:val="auto"/>
                <w:sz w:val="28"/>
              </w:rPr>
              <w:t>城市</w:t>
            </w:r>
            <w:r>
              <w:rPr>
                <w:rFonts w:ascii="仿宋" w:eastAsia="仿宋" w:cs="仿宋"/>
                <w:color w:val="auto"/>
                <w:sz w:val="28"/>
              </w:rPr>
              <w:t>雨水管涵清淤、病害修复工作，累计清淤长度450公里以上；基本完</w:t>
            </w:r>
            <w:r>
              <w:rPr>
                <w:rFonts w:hint="eastAsia" w:ascii="仿宋" w:eastAsia="仿宋" w:cs="仿宋"/>
                <w:color w:val="auto"/>
                <w:sz w:val="28"/>
              </w:rPr>
              <w:t>成</w:t>
            </w:r>
            <w:r>
              <w:rPr>
                <w:rFonts w:ascii="仿宋" w:eastAsia="仿宋" w:cs="仿宋"/>
                <w:color w:val="auto"/>
                <w:sz w:val="28"/>
              </w:rPr>
              <w:t>现有积水点改造。</w:t>
            </w:r>
          </w:p>
          <w:p w14:paraId="024C06F1">
            <w:pPr>
              <w:pStyle w:val="48"/>
              <w:ind w:firstLine="562"/>
              <w:rPr>
                <w:rFonts w:ascii="仿宋" w:eastAsia="仿宋" w:cs="仿宋"/>
                <w:color w:val="auto"/>
                <w:sz w:val="28"/>
              </w:rPr>
            </w:pPr>
            <w:r>
              <w:rPr>
                <w:rFonts w:ascii="仿宋" w:eastAsia="仿宋" w:cs="仿宋"/>
                <w:b/>
                <w:color w:val="auto"/>
                <w:sz w:val="28"/>
              </w:rPr>
              <w:t>4.海绵城市建设：</w:t>
            </w:r>
            <w:r>
              <w:rPr>
                <w:rFonts w:hint="eastAsia" w:ascii="仿宋" w:eastAsia="仿宋" w:cs="仿宋"/>
                <w:color w:val="auto"/>
                <w:sz w:val="28"/>
              </w:rPr>
              <w:t>构建完备的海绵城市建设规划、监管技术支撑体系，系统化开展海绵城市建设，申报国家试点城市。</w:t>
            </w:r>
          </w:p>
          <w:p w14:paraId="01921E1D">
            <w:pPr>
              <w:pStyle w:val="48"/>
              <w:ind w:firstLine="562"/>
              <w:rPr>
                <w:rFonts w:ascii="仿宋" w:eastAsia="仿宋" w:cs="仿宋"/>
                <w:bCs/>
                <w:color w:val="auto"/>
                <w:sz w:val="28"/>
              </w:rPr>
            </w:pPr>
            <w:r>
              <w:rPr>
                <w:rFonts w:hint="eastAsia" w:ascii="仿宋" w:eastAsia="仿宋" w:cs="仿宋"/>
                <w:b/>
                <w:bCs/>
                <w:color w:val="auto"/>
                <w:sz w:val="28"/>
              </w:rPr>
              <w:t>5</w:t>
            </w:r>
            <w:r>
              <w:rPr>
                <w:rFonts w:ascii="仿宋" w:eastAsia="仿宋" w:cs="仿宋"/>
                <w:b/>
                <w:bCs/>
                <w:color w:val="auto"/>
                <w:sz w:val="28"/>
              </w:rPr>
              <w:t>.燃气应急储备：</w:t>
            </w:r>
            <w:r>
              <w:rPr>
                <w:rFonts w:hint="eastAsia" w:ascii="仿宋" w:eastAsia="仿宋" w:cs="仿宋"/>
                <w:color w:val="auto"/>
                <w:sz w:val="28"/>
              </w:rPr>
              <w:t>加快推进泉州市</w:t>
            </w:r>
            <w:r>
              <w:rPr>
                <w:rFonts w:ascii="仿宋" w:eastAsia="仿宋" w:cs="仿宋"/>
                <w:color w:val="auto"/>
                <w:sz w:val="28"/>
              </w:rPr>
              <w:t>LNG应急储备中心前期工作，适时启动建设</w:t>
            </w:r>
            <w:r>
              <w:rPr>
                <w:rFonts w:hint="eastAsia" w:ascii="仿宋" w:eastAsia="仿宋" w:cs="仿宋"/>
                <w:color w:val="auto"/>
                <w:sz w:val="28"/>
              </w:rPr>
              <w:t>，储罐总储气能力达到</w:t>
            </w:r>
            <w:r>
              <w:rPr>
                <w:rFonts w:ascii="仿宋" w:eastAsia="仿宋" w:cs="仿宋"/>
                <w:color w:val="auto"/>
                <w:sz w:val="28"/>
              </w:rPr>
              <w:t>40万立方米，同步建设气化外输装置、LNG灌装设备、天然气外输高压管线，配套</w:t>
            </w:r>
            <w:r>
              <w:rPr>
                <w:rFonts w:hint="eastAsia" w:ascii="仿宋" w:eastAsia="仿宋" w:cs="仿宋"/>
                <w:color w:val="auto"/>
                <w:sz w:val="28"/>
              </w:rPr>
              <w:t>1</w:t>
            </w:r>
            <w:r>
              <w:rPr>
                <w:rFonts w:ascii="仿宋" w:eastAsia="仿宋" w:cs="仿宋"/>
                <w:color w:val="auto"/>
                <w:sz w:val="28"/>
              </w:rPr>
              <w:t>座3</w:t>
            </w:r>
            <w:r>
              <w:rPr>
                <w:rFonts w:hint="eastAsia" w:ascii="Times New Roman" w:hAnsi="Times New Roman"/>
                <w:color w:val="auto"/>
                <w:sz w:val="32"/>
                <w:szCs w:val="32"/>
              </w:rPr>
              <w:t>~</w:t>
            </w:r>
            <w:r>
              <w:rPr>
                <w:rFonts w:ascii="仿宋" w:eastAsia="仿宋" w:cs="仿宋"/>
                <w:color w:val="auto"/>
                <w:sz w:val="28"/>
              </w:rPr>
              <w:t>18万立方米LNG运输船舶接卸码头；完成泉港华星石化二期8万吨低温液化气储罐建设，完善城镇燃气储备体系。</w:t>
            </w:r>
          </w:p>
        </w:tc>
      </w:tr>
    </w:tbl>
    <w:p w14:paraId="41666F19">
      <w:pPr>
        <w:pStyle w:val="3"/>
        <w:spacing w:line="540" w:lineRule="exact"/>
        <w:ind w:firstLine="643"/>
        <w:rPr>
          <w:rFonts w:ascii="黑体" w:hAnsi="黑体" w:eastAsia="黑体"/>
          <w:sz w:val="32"/>
        </w:rPr>
      </w:pPr>
      <w:bookmarkStart w:id="326" w:name="_Toc2444"/>
      <w:bookmarkStart w:id="327" w:name="_Toc10212"/>
      <w:bookmarkStart w:id="328" w:name="_Toc13356"/>
      <w:bookmarkStart w:id="329" w:name="_Toc32650"/>
      <w:bookmarkStart w:id="330" w:name="_Toc21449"/>
      <w:r>
        <w:rPr>
          <w:rFonts w:hint="eastAsia" w:ascii="黑体" w:hAnsi="黑体" w:eastAsia="黑体"/>
          <w:kern w:val="0"/>
          <w:sz w:val="32"/>
        </w:rPr>
        <w:t>九、</w:t>
      </w:r>
      <w:r>
        <w:rPr>
          <w:rFonts w:hint="eastAsia" w:ascii="黑体" w:hAnsi="黑体" w:eastAsia="黑体"/>
          <w:sz w:val="32"/>
        </w:rPr>
        <w:t>新型城市基础设施建设</w:t>
      </w:r>
      <w:bookmarkEnd w:id="326"/>
      <w:bookmarkEnd w:id="327"/>
      <w:bookmarkEnd w:id="328"/>
      <w:bookmarkEnd w:id="329"/>
      <w:bookmarkEnd w:id="330"/>
    </w:p>
    <w:p w14:paraId="12F6072F">
      <w:pPr>
        <w:spacing w:line="540" w:lineRule="exact"/>
        <w:ind w:firstLine="640"/>
        <w:rPr>
          <w:rFonts w:ascii="仿宋" w:hAnsi="仿宋"/>
          <w:kern w:val="0"/>
          <w:sz w:val="32"/>
          <w:szCs w:val="32"/>
        </w:rPr>
      </w:pPr>
      <w:r>
        <w:rPr>
          <w:rFonts w:hint="eastAsia" w:ascii="仿宋" w:hAnsi="仿宋"/>
          <w:kern w:val="0"/>
          <w:sz w:val="32"/>
          <w:szCs w:val="32"/>
        </w:rPr>
        <w:t>加快推进基于信息化、数字化、智能化的新型城市基础设施建设，以“新城建”对接“新基建”，引领城市转型升级，推进泉州城乡基础设施的建设与管理更加聪明、智慧。</w:t>
      </w:r>
    </w:p>
    <w:p w14:paraId="441D90A0">
      <w:pPr>
        <w:snapToGrid w:val="0"/>
        <w:spacing w:line="540" w:lineRule="exact"/>
        <w:ind w:firstLine="643"/>
        <w:outlineLvl w:val="2"/>
        <w:rPr>
          <w:rFonts w:ascii="仿宋" w:hAnsi="仿宋"/>
          <w:b/>
          <w:bCs/>
          <w:kern w:val="0"/>
          <w:sz w:val="32"/>
          <w:szCs w:val="32"/>
        </w:rPr>
      </w:pPr>
      <w:bookmarkStart w:id="331" w:name="_Toc25799"/>
      <w:bookmarkStart w:id="332" w:name="_Toc22779"/>
      <w:bookmarkStart w:id="333" w:name="_Toc62163277"/>
      <w:bookmarkStart w:id="334" w:name="_Toc62175650"/>
      <w:bookmarkStart w:id="335" w:name="_Toc62176689"/>
      <w:bookmarkStart w:id="336" w:name="_Toc6992"/>
      <w:bookmarkStart w:id="337" w:name="_Toc770"/>
      <w:bookmarkStart w:id="338" w:name="_Toc10209"/>
      <w:bookmarkStart w:id="339" w:name="_Toc8874"/>
      <w:r>
        <w:rPr>
          <w:rFonts w:hint="eastAsia" w:ascii="楷体" w:hAnsi="楷体" w:eastAsia="楷体"/>
          <w:b/>
          <w:bCs/>
          <w:kern w:val="0"/>
          <w:sz w:val="32"/>
          <w:szCs w:val="32"/>
        </w:rPr>
        <w:t>（一）打造新平台：城市信息模型（</w:t>
      </w:r>
      <w:r>
        <w:rPr>
          <w:rFonts w:ascii="楷体" w:hAnsi="楷体" w:eastAsia="楷体"/>
          <w:b/>
          <w:bCs/>
          <w:kern w:val="0"/>
          <w:sz w:val="32"/>
          <w:szCs w:val="32"/>
        </w:rPr>
        <w:t>CIM）平台</w:t>
      </w:r>
      <w:bookmarkEnd w:id="331"/>
      <w:bookmarkEnd w:id="332"/>
      <w:bookmarkEnd w:id="333"/>
      <w:bookmarkEnd w:id="334"/>
      <w:bookmarkEnd w:id="335"/>
      <w:bookmarkEnd w:id="336"/>
      <w:bookmarkEnd w:id="337"/>
      <w:bookmarkEnd w:id="338"/>
      <w:bookmarkEnd w:id="339"/>
    </w:p>
    <w:p w14:paraId="1CCD921B">
      <w:pPr>
        <w:snapToGrid w:val="0"/>
        <w:spacing w:line="540" w:lineRule="exact"/>
        <w:ind w:firstLine="640"/>
        <w:rPr>
          <w:rFonts w:ascii="仿宋" w:hAnsi="仿宋"/>
          <w:kern w:val="0"/>
          <w:sz w:val="32"/>
          <w:szCs w:val="32"/>
        </w:rPr>
      </w:pPr>
      <w:r>
        <w:rPr>
          <w:rFonts w:hint="eastAsia" w:ascii="仿宋" w:hAnsi="仿宋"/>
          <w:kern w:val="0"/>
          <w:sz w:val="32"/>
          <w:szCs w:val="32"/>
        </w:rPr>
        <w:t>发挥政府主导作用，依托建筑信息模型（</w:t>
      </w:r>
      <w:r>
        <w:rPr>
          <w:rFonts w:ascii="仿宋" w:hAnsi="仿宋"/>
          <w:kern w:val="0"/>
          <w:sz w:val="32"/>
          <w:szCs w:val="32"/>
        </w:rPr>
        <w:t>BIM）、地理信息系统（GIS）、物联网（IoT）等技术，整合城市地上地下、室内室外、历史现状未来多维多尺度信息模型数据和城市感知数据，</w:t>
      </w:r>
      <w:r>
        <w:rPr>
          <w:rFonts w:hint="eastAsia" w:ascii="仿宋" w:hAnsi="仿宋"/>
          <w:kern w:val="0"/>
          <w:sz w:val="32"/>
          <w:szCs w:val="32"/>
        </w:rPr>
        <w:t>积极</w:t>
      </w:r>
      <w:r>
        <w:rPr>
          <w:rFonts w:ascii="仿宋" w:hAnsi="仿宋"/>
          <w:kern w:val="0"/>
          <w:sz w:val="32"/>
          <w:szCs w:val="32"/>
        </w:rPr>
        <w:t>构建</w:t>
      </w:r>
      <w:r>
        <w:rPr>
          <w:rFonts w:hint="eastAsia" w:ascii="仿宋" w:hAnsi="仿宋"/>
          <w:kern w:val="0"/>
          <w:sz w:val="32"/>
          <w:szCs w:val="32"/>
        </w:rPr>
        <w:t>泉州</w:t>
      </w:r>
      <w:r>
        <w:rPr>
          <w:rFonts w:ascii="仿宋" w:hAnsi="仿宋"/>
          <w:kern w:val="0"/>
          <w:sz w:val="32"/>
          <w:szCs w:val="32"/>
        </w:rPr>
        <w:t>CIM平台。</w:t>
      </w:r>
      <w:r>
        <w:rPr>
          <w:rFonts w:hint="eastAsia" w:ascii="仿宋" w:hAnsi="仿宋"/>
          <w:kern w:val="0"/>
          <w:sz w:val="32"/>
          <w:szCs w:val="32"/>
        </w:rPr>
        <w:t>到</w:t>
      </w:r>
      <w:r>
        <w:rPr>
          <w:rFonts w:ascii="仿宋" w:hAnsi="仿宋"/>
          <w:kern w:val="0"/>
          <w:sz w:val="32"/>
          <w:szCs w:val="32"/>
        </w:rPr>
        <w:t>2025</w:t>
      </w:r>
      <w:r>
        <w:rPr>
          <w:rFonts w:hint="eastAsia" w:ascii="仿宋" w:hAnsi="仿宋"/>
          <w:kern w:val="0"/>
          <w:sz w:val="32"/>
          <w:szCs w:val="32"/>
        </w:rPr>
        <w:t>年，以市区为覆盖范围，基本建成泉州</w:t>
      </w:r>
      <w:r>
        <w:rPr>
          <w:rFonts w:ascii="仿宋" w:hAnsi="仿宋"/>
          <w:kern w:val="0"/>
          <w:sz w:val="32"/>
          <w:szCs w:val="32"/>
        </w:rPr>
        <w:t>CIM</w:t>
      </w:r>
      <w:r>
        <w:rPr>
          <w:rFonts w:hint="eastAsia" w:ascii="仿宋" w:hAnsi="仿宋"/>
          <w:kern w:val="0"/>
          <w:sz w:val="32"/>
          <w:szCs w:val="32"/>
        </w:rPr>
        <w:t>平台，远期拓展至统管区。</w:t>
      </w:r>
    </w:p>
    <w:p w14:paraId="4D6E00DC">
      <w:pPr>
        <w:spacing w:line="540" w:lineRule="exact"/>
        <w:ind w:firstLine="640"/>
        <w:rPr>
          <w:rFonts w:ascii="仿宋" w:hAnsi="仿宋"/>
          <w:kern w:val="0"/>
          <w:sz w:val="32"/>
          <w:szCs w:val="32"/>
        </w:rPr>
      </w:pPr>
      <w:r>
        <w:rPr>
          <w:rFonts w:hint="eastAsia" w:ascii="仿宋" w:hAnsi="仿宋"/>
          <w:kern w:val="0"/>
          <w:sz w:val="32"/>
          <w:szCs w:val="32"/>
        </w:rPr>
        <w:t>泉州</w:t>
      </w:r>
      <w:r>
        <w:rPr>
          <w:rFonts w:ascii="仿宋" w:hAnsi="仿宋"/>
          <w:kern w:val="0"/>
          <w:sz w:val="32"/>
          <w:szCs w:val="32"/>
        </w:rPr>
        <w:t>CIM</w:t>
      </w:r>
      <w:r>
        <w:rPr>
          <w:rFonts w:hint="eastAsia" w:ascii="仿宋" w:hAnsi="仿宋"/>
          <w:kern w:val="0"/>
          <w:sz w:val="32"/>
          <w:szCs w:val="32"/>
        </w:rPr>
        <w:t>平台重点开展三方面建设。一是加强功能建设，建立健全</w:t>
      </w:r>
      <w:r>
        <w:rPr>
          <w:rFonts w:ascii="仿宋" w:hAnsi="仿宋"/>
          <w:kern w:val="0"/>
          <w:sz w:val="32"/>
          <w:szCs w:val="32"/>
        </w:rPr>
        <w:t>基础数据接入与管理、BIM等模型数据汇聚与融合、多场景模型浏览与定位查询、运行维护和网络安全管理、支撑CIM平台应用的开放接口等基础功能。</w:t>
      </w:r>
      <w:r>
        <w:rPr>
          <w:rFonts w:hint="eastAsia" w:ascii="仿宋" w:hAnsi="仿宋"/>
          <w:kern w:val="0"/>
          <w:sz w:val="32"/>
          <w:szCs w:val="32"/>
        </w:rPr>
        <w:t>二是加强数据建设，在国家统一时空基准下汇聚与完善基础地形、遥感影像、规划管控、“一标三实”、城乡建设领域等数据，形成城市三维空间数据</w:t>
      </w:r>
      <w:r>
        <w:rPr>
          <w:rFonts w:hint="eastAsia" w:ascii="仿宋" w:hAnsi="仿宋"/>
          <w:sz w:val="32"/>
          <w:szCs w:val="32"/>
        </w:rPr>
        <w:t>底板</w:t>
      </w:r>
      <w:r>
        <w:rPr>
          <w:rFonts w:hint="eastAsia" w:ascii="仿宋" w:hAnsi="仿宋"/>
          <w:kern w:val="0"/>
          <w:sz w:val="32"/>
          <w:szCs w:val="32"/>
        </w:rPr>
        <w:t>，构建</w:t>
      </w:r>
      <w:r>
        <w:rPr>
          <w:rFonts w:ascii="仿宋" w:hAnsi="仿宋"/>
          <w:kern w:val="0"/>
          <w:sz w:val="32"/>
          <w:szCs w:val="32"/>
        </w:rPr>
        <w:t>CIM</w:t>
      </w:r>
      <w:r>
        <w:rPr>
          <w:rFonts w:hint="eastAsia" w:ascii="仿宋" w:hAnsi="仿宋"/>
          <w:kern w:val="0"/>
          <w:sz w:val="32"/>
          <w:szCs w:val="32"/>
        </w:rPr>
        <w:t>平台基础数据库。三是保障安全运维建设，制定</w:t>
      </w:r>
      <w:r>
        <w:rPr>
          <w:rFonts w:ascii="仿宋" w:hAnsi="仿宋"/>
          <w:kern w:val="0"/>
          <w:sz w:val="32"/>
          <w:szCs w:val="32"/>
        </w:rPr>
        <w:t>CIM平台日常运行维护管理制度</w:t>
      </w:r>
      <w:r>
        <w:rPr>
          <w:rFonts w:hint="eastAsia" w:ascii="仿宋" w:hAnsi="仿宋"/>
          <w:kern w:val="0"/>
          <w:sz w:val="32"/>
          <w:szCs w:val="32"/>
        </w:rPr>
        <w:t>、</w:t>
      </w:r>
      <w:r>
        <w:rPr>
          <w:rFonts w:ascii="仿宋" w:hAnsi="仿宋"/>
          <w:kern w:val="0"/>
          <w:sz w:val="32"/>
          <w:szCs w:val="32"/>
        </w:rPr>
        <w:t>软硬件和数据升级维护方案</w:t>
      </w:r>
      <w:r>
        <w:rPr>
          <w:rFonts w:hint="eastAsia" w:ascii="仿宋" w:hAnsi="仿宋"/>
          <w:kern w:val="0"/>
          <w:sz w:val="32"/>
          <w:szCs w:val="32"/>
        </w:rPr>
        <w:t>，鼓励运用数据脱密脱敏技术加强数据共享利用。</w:t>
      </w:r>
    </w:p>
    <w:p w14:paraId="0BF86062">
      <w:pPr>
        <w:snapToGrid w:val="0"/>
        <w:spacing w:line="540" w:lineRule="exact"/>
        <w:ind w:firstLine="643"/>
        <w:outlineLvl w:val="2"/>
        <w:rPr>
          <w:rFonts w:ascii="仿宋" w:hAnsi="仿宋"/>
          <w:b/>
          <w:bCs/>
          <w:kern w:val="0"/>
          <w:sz w:val="32"/>
          <w:szCs w:val="32"/>
        </w:rPr>
      </w:pPr>
      <w:bookmarkStart w:id="340" w:name="_Toc62175651"/>
      <w:bookmarkStart w:id="341" w:name="_Toc62163278"/>
      <w:bookmarkStart w:id="342" w:name="_Toc62176690"/>
      <w:bookmarkStart w:id="343" w:name="_Toc23974"/>
      <w:bookmarkStart w:id="344" w:name="_Toc17392"/>
      <w:bookmarkStart w:id="345" w:name="_Toc11613"/>
      <w:bookmarkStart w:id="346" w:name="_Toc17179"/>
      <w:bookmarkStart w:id="347" w:name="_Toc23158"/>
      <w:bookmarkStart w:id="348" w:name="_Toc11293"/>
      <w:r>
        <w:rPr>
          <w:rFonts w:hint="eastAsia" w:ascii="楷体" w:hAnsi="楷体" w:eastAsia="楷体"/>
          <w:b/>
          <w:bCs/>
          <w:kern w:val="0"/>
          <w:sz w:val="32"/>
          <w:szCs w:val="32"/>
        </w:rPr>
        <w:t>（二）建设新终端：</w:t>
      </w:r>
      <w:bookmarkEnd w:id="340"/>
      <w:bookmarkEnd w:id="341"/>
      <w:bookmarkEnd w:id="342"/>
      <w:r>
        <w:rPr>
          <w:rFonts w:hint="eastAsia" w:ascii="楷体" w:hAnsi="楷体" w:eastAsia="楷体"/>
          <w:b/>
          <w:bCs/>
          <w:kern w:val="0"/>
          <w:sz w:val="32"/>
          <w:szCs w:val="32"/>
        </w:rPr>
        <w:t>智能化市政基础设施建设改造</w:t>
      </w:r>
      <w:bookmarkEnd w:id="343"/>
      <w:bookmarkEnd w:id="344"/>
      <w:bookmarkEnd w:id="345"/>
      <w:bookmarkEnd w:id="346"/>
      <w:bookmarkEnd w:id="347"/>
      <w:bookmarkEnd w:id="348"/>
    </w:p>
    <w:p w14:paraId="7B71DA85">
      <w:pPr>
        <w:spacing w:line="540" w:lineRule="exact"/>
        <w:ind w:firstLine="640"/>
        <w:rPr>
          <w:rFonts w:ascii="仿宋" w:hAnsi="仿宋"/>
          <w:kern w:val="0"/>
          <w:sz w:val="32"/>
          <w:szCs w:val="32"/>
        </w:rPr>
      </w:pPr>
      <w:r>
        <w:rPr>
          <w:rFonts w:hint="eastAsia" w:ascii="仿宋" w:hAnsi="仿宋"/>
          <w:kern w:val="0"/>
          <w:sz w:val="32"/>
          <w:szCs w:val="32"/>
        </w:rPr>
        <w:t>面向城市高质量转型发展需要，</w:t>
      </w:r>
      <w:r>
        <w:rPr>
          <w:rFonts w:ascii="仿宋" w:hAnsi="仿宋"/>
          <w:kern w:val="0"/>
          <w:sz w:val="32"/>
          <w:szCs w:val="32"/>
        </w:rPr>
        <w:t>加快推</w:t>
      </w:r>
      <w:r>
        <w:rPr>
          <w:rFonts w:hint="eastAsia" w:ascii="仿宋" w:hAnsi="仿宋"/>
          <w:kern w:val="0"/>
          <w:sz w:val="32"/>
          <w:szCs w:val="32"/>
        </w:rPr>
        <w:t>进在城市桥梁、道路、地下管线、杆塔、水务、环境治理等市政领域部署视频采集终端、</w:t>
      </w:r>
      <w:r>
        <w:rPr>
          <w:rFonts w:ascii="仿宋" w:hAnsi="仿宋"/>
          <w:kern w:val="0"/>
          <w:sz w:val="32"/>
          <w:szCs w:val="32"/>
        </w:rPr>
        <w:t>RFID（无线电射频识别）标签、多类条码、智能传感设备等各类智能感知设施</w:t>
      </w:r>
      <w:r>
        <w:rPr>
          <w:rFonts w:hint="eastAsia" w:ascii="仿宋" w:hAnsi="仿宋"/>
          <w:kern w:val="0"/>
          <w:sz w:val="32"/>
          <w:szCs w:val="32"/>
        </w:rPr>
        <w:t>，提高市政基础设施运行效率和安全性能。</w:t>
      </w:r>
    </w:p>
    <w:p w14:paraId="63809CC8">
      <w:pPr>
        <w:spacing w:line="540" w:lineRule="exact"/>
        <w:ind w:firstLine="640"/>
        <w:rPr>
          <w:rFonts w:ascii="仿宋" w:hAnsi="仿宋"/>
          <w:kern w:val="0"/>
          <w:sz w:val="32"/>
          <w:szCs w:val="32"/>
        </w:rPr>
      </w:pPr>
      <w:r>
        <w:rPr>
          <w:rFonts w:hint="eastAsia" w:ascii="仿宋" w:hAnsi="仿宋"/>
          <w:kern w:val="0"/>
          <w:sz w:val="32"/>
          <w:szCs w:val="32"/>
        </w:rPr>
        <w:t>深入开展市政基础设施普查，全面掌握现状底数，</w:t>
      </w:r>
      <w:bookmarkStart w:id="349" w:name="_Hlk73979867"/>
      <w:r>
        <w:rPr>
          <w:rFonts w:hint="eastAsia" w:ascii="仿宋" w:hAnsi="仿宋"/>
          <w:kern w:val="0"/>
          <w:sz w:val="32"/>
          <w:szCs w:val="32"/>
        </w:rPr>
        <w:t>重点</w:t>
      </w:r>
      <w:bookmarkEnd w:id="349"/>
      <w:r>
        <w:rPr>
          <w:rFonts w:hint="eastAsia" w:ascii="仿宋" w:hAnsi="仿宋"/>
          <w:kern w:val="0"/>
          <w:sz w:val="32"/>
          <w:szCs w:val="32"/>
        </w:rPr>
        <w:t>推进全市原水、制水、供水、排水、污水等全水务产业链智能感知系统建设；加快通信塔（杆）与社会塔（杆）深度共建，推进全市</w:t>
      </w:r>
      <w:r>
        <w:rPr>
          <w:rFonts w:ascii="仿宋" w:hAnsi="仿宋"/>
          <w:kern w:val="0"/>
          <w:sz w:val="32"/>
          <w:szCs w:val="32"/>
        </w:rPr>
        <w:t>主干道</w:t>
      </w:r>
      <w:r>
        <w:rPr>
          <w:rFonts w:hint="eastAsia" w:ascii="仿宋" w:hAnsi="仿宋"/>
          <w:kern w:val="0"/>
          <w:sz w:val="32"/>
          <w:szCs w:val="32"/>
        </w:rPr>
        <w:t>实施多功能智能杆试点示范工程建设，</w:t>
      </w:r>
      <w:bookmarkStart w:id="350" w:name="_Hlk73979838"/>
      <w:r>
        <w:rPr>
          <w:rFonts w:hint="eastAsia" w:ascii="仿宋" w:hAnsi="仿宋"/>
          <w:kern w:val="0"/>
          <w:sz w:val="32"/>
          <w:szCs w:val="32"/>
        </w:rPr>
        <w:t>中心城区建设多功能智慧杆</w:t>
      </w:r>
      <w:r>
        <w:rPr>
          <w:rFonts w:ascii="仿宋" w:hAnsi="仿宋"/>
          <w:kern w:val="0"/>
          <w:sz w:val="32"/>
          <w:szCs w:val="32"/>
        </w:rPr>
        <w:t>1500根</w:t>
      </w:r>
      <w:bookmarkEnd w:id="350"/>
      <w:r>
        <w:rPr>
          <w:rFonts w:hint="eastAsia" w:ascii="仿宋" w:hAnsi="仿宋"/>
          <w:kern w:val="0"/>
          <w:sz w:val="32"/>
          <w:szCs w:val="32"/>
        </w:rPr>
        <w:t>；在城东到</w:t>
      </w:r>
      <w:r>
        <w:rPr>
          <w:rFonts w:ascii="仿宋" w:hAnsi="仿宋"/>
          <w:kern w:val="0"/>
          <w:sz w:val="32"/>
          <w:szCs w:val="32"/>
        </w:rPr>
        <w:t>北峰快速通道主线桥</w:t>
      </w:r>
      <w:r>
        <w:rPr>
          <w:rFonts w:hint="eastAsia" w:ascii="仿宋" w:hAnsi="仿宋"/>
          <w:kern w:val="0"/>
          <w:sz w:val="32"/>
          <w:szCs w:val="32"/>
        </w:rPr>
        <w:t>等结构复杂桥梁安装智能感知单元，构建智能监控监测预警系统。到</w:t>
      </w:r>
      <w:r>
        <w:rPr>
          <w:rFonts w:ascii="仿宋" w:hAnsi="仿宋"/>
          <w:kern w:val="0"/>
          <w:sz w:val="32"/>
          <w:szCs w:val="32"/>
        </w:rPr>
        <w:t>2025年，初步实现对重要区域市政基础设施运行数据的感知和自动采集。</w:t>
      </w:r>
    </w:p>
    <w:p w14:paraId="1412201F">
      <w:pPr>
        <w:snapToGrid w:val="0"/>
        <w:spacing w:line="540" w:lineRule="exact"/>
        <w:ind w:firstLine="643"/>
        <w:outlineLvl w:val="2"/>
        <w:rPr>
          <w:rFonts w:ascii="楷体" w:hAnsi="楷体" w:eastAsia="楷体"/>
          <w:b/>
          <w:bCs/>
          <w:kern w:val="0"/>
          <w:sz w:val="32"/>
          <w:szCs w:val="32"/>
        </w:rPr>
      </w:pPr>
      <w:bookmarkStart w:id="351" w:name="_Toc30615"/>
      <w:bookmarkStart w:id="352" w:name="_Toc21812"/>
      <w:bookmarkStart w:id="353" w:name="_Toc16450"/>
      <w:bookmarkStart w:id="354" w:name="_Toc62163279"/>
      <w:bookmarkStart w:id="355" w:name="_Toc11754"/>
      <w:bookmarkStart w:id="356" w:name="_Toc24728"/>
      <w:bookmarkStart w:id="357" w:name="_Toc62176691"/>
      <w:bookmarkStart w:id="358" w:name="_Toc781"/>
      <w:bookmarkStart w:id="359" w:name="_Toc62225305"/>
      <w:bookmarkStart w:id="360" w:name="_Toc62175652"/>
      <w:r>
        <w:rPr>
          <w:rFonts w:hint="eastAsia" w:ascii="楷体" w:hAnsi="楷体" w:eastAsia="楷体"/>
          <w:b/>
          <w:bCs/>
          <w:kern w:val="0"/>
          <w:sz w:val="32"/>
          <w:szCs w:val="32"/>
        </w:rPr>
        <w:t>（三）拓展新应用：</w:t>
      </w:r>
      <w:bookmarkStart w:id="361" w:name="_Hlk73972130"/>
      <w:r>
        <w:rPr>
          <w:rFonts w:hint="eastAsia" w:ascii="楷体" w:hAnsi="楷体" w:eastAsia="楷体"/>
          <w:b/>
          <w:bCs/>
          <w:kern w:val="0"/>
          <w:sz w:val="32"/>
          <w:szCs w:val="32"/>
        </w:rPr>
        <w:t>城建领域智慧化应用</w:t>
      </w:r>
      <w:bookmarkEnd w:id="351"/>
      <w:bookmarkEnd w:id="352"/>
      <w:bookmarkEnd w:id="353"/>
      <w:bookmarkEnd w:id="354"/>
      <w:bookmarkEnd w:id="355"/>
      <w:bookmarkEnd w:id="356"/>
      <w:bookmarkEnd w:id="357"/>
      <w:bookmarkEnd w:id="358"/>
      <w:bookmarkEnd w:id="359"/>
      <w:bookmarkEnd w:id="360"/>
    </w:p>
    <w:bookmarkEnd w:id="361"/>
    <w:p w14:paraId="48D3F827">
      <w:pPr>
        <w:spacing w:line="540" w:lineRule="exact"/>
        <w:ind w:firstLine="640"/>
        <w:rPr>
          <w:rFonts w:ascii="仿宋" w:hAnsi="仿宋"/>
          <w:kern w:val="0"/>
          <w:sz w:val="32"/>
          <w:szCs w:val="32"/>
        </w:rPr>
      </w:pPr>
      <w:r>
        <w:rPr>
          <w:rFonts w:hint="eastAsia" w:ascii="仿宋" w:hAnsi="仿宋"/>
          <w:kern w:val="0"/>
          <w:sz w:val="32"/>
          <w:szCs w:val="32"/>
        </w:rPr>
        <w:t>统筹推进城建领域智慧化平台建设，强化智慧水务、智慧城管等多</w:t>
      </w:r>
      <w:r>
        <w:rPr>
          <w:rFonts w:ascii="仿宋" w:hAnsi="仿宋"/>
          <w:kern w:val="0"/>
          <w:sz w:val="32"/>
          <w:szCs w:val="32"/>
        </w:rPr>
        <w:t>领域</w:t>
      </w:r>
      <w:r>
        <w:rPr>
          <w:rFonts w:hint="eastAsia" w:ascii="仿宋" w:hAnsi="仿宋"/>
          <w:kern w:val="0"/>
          <w:sz w:val="32"/>
          <w:szCs w:val="32"/>
        </w:rPr>
        <w:t>智慧化</w:t>
      </w:r>
      <w:r>
        <w:rPr>
          <w:rFonts w:ascii="仿宋" w:hAnsi="仿宋"/>
          <w:kern w:val="0"/>
          <w:sz w:val="32"/>
          <w:szCs w:val="32"/>
        </w:rPr>
        <w:t>应用</w:t>
      </w:r>
      <w:r>
        <w:rPr>
          <w:rFonts w:hint="eastAsia" w:ascii="仿宋" w:hAnsi="仿宋"/>
          <w:kern w:val="0"/>
          <w:sz w:val="32"/>
          <w:szCs w:val="32"/>
        </w:rPr>
        <w:t>。到</w:t>
      </w:r>
      <w:r>
        <w:rPr>
          <w:rFonts w:ascii="仿宋" w:hAnsi="仿宋"/>
          <w:kern w:val="0"/>
          <w:sz w:val="32"/>
          <w:szCs w:val="32"/>
        </w:rPr>
        <w:t>2025年，</w:t>
      </w:r>
      <w:r>
        <w:rPr>
          <w:rFonts w:hint="eastAsia" w:ascii="仿宋" w:hAnsi="仿宋"/>
          <w:kern w:val="0"/>
          <w:sz w:val="32"/>
          <w:szCs w:val="32"/>
        </w:rPr>
        <w:t>建成泉州市“水务大脑”和泉州智慧城管物联通管理平台，同步推进泉州房屋建筑工程网格化管理平台等城建领域各智慧化平台建设，远期谋划与</w:t>
      </w:r>
      <w:r>
        <w:rPr>
          <w:rFonts w:ascii="仿宋" w:hAnsi="仿宋"/>
          <w:kern w:val="0"/>
          <w:sz w:val="32"/>
          <w:szCs w:val="32"/>
        </w:rPr>
        <w:t>CIM基础平台</w:t>
      </w:r>
      <w:r>
        <w:rPr>
          <w:rFonts w:hint="eastAsia" w:ascii="仿宋" w:hAnsi="仿宋"/>
          <w:kern w:val="0"/>
          <w:sz w:val="32"/>
          <w:szCs w:val="32"/>
        </w:rPr>
        <w:t>的</w:t>
      </w:r>
      <w:r>
        <w:rPr>
          <w:rFonts w:ascii="仿宋" w:hAnsi="仿宋"/>
          <w:kern w:val="0"/>
          <w:sz w:val="32"/>
          <w:szCs w:val="32"/>
        </w:rPr>
        <w:t>对接。</w:t>
      </w:r>
    </w:p>
    <w:p w14:paraId="4890522B">
      <w:pPr>
        <w:spacing w:line="540" w:lineRule="exact"/>
        <w:ind w:firstLine="643"/>
        <w:rPr>
          <w:rFonts w:ascii="仿宋" w:hAnsi="仿宋"/>
          <w:kern w:val="0"/>
          <w:sz w:val="32"/>
          <w:szCs w:val="32"/>
        </w:rPr>
      </w:pPr>
      <w:r>
        <w:rPr>
          <w:rFonts w:hint="eastAsia" w:ascii="仿宋" w:hAnsi="仿宋"/>
          <w:b/>
          <w:bCs/>
          <w:kern w:val="0"/>
          <w:sz w:val="32"/>
          <w:szCs w:val="32"/>
        </w:rPr>
        <w:t>搭建泉州房屋建筑工程网格化管理平台。</w:t>
      </w:r>
      <w:r>
        <w:rPr>
          <w:rFonts w:hint="eastAsia" w:ascii="仿宋" w:hAnsi="仿宋"/>
          <w:kern w:val="0"/>
          <w:sz w:val="32"/>
          <w:szCs w:val="32"/>
        </w:rPr>
        <w:t>构建“</w:t>
      </w:r>
      <w:r>
        <w:rPr>
          <w:rFonts w:ascii="仿宋" w:hAnsi="仿宋"/>
          <w:kern w:val="0"/>
          <w:sz w:val="32"/>
          <w:szCs w:val="32"/>
        </w:rPr>
        <w:t>121”应用体系，即一中心（数据中心）、两平台（综合治理平台、融合集成平台）、一大脑（安全监管大脑）总体技术架构，具体建设房屋建筑工程治理数据中心。复用泉州市政务数据汇聚与共享应用平台能力，实现跨系统、跨部门各类涉房数据的采集汇聚、存储、治理、管理和共享服务</w:t>
      </w:r>
      <w:r>
        <w:rPr>
          <w:rFonts w:hint="eastAsia" w:ascii="仿宋" w:hAnsi="仿宋"/>
          <w:kern w:val="0"/>
          <w:sz w:val="32"/>
          <w:szCs w:val="32"/>
        </w:rPr>
        <w:t>。通过系统集成融合以满足目前行业亟需解决的资源整合以及各系统间集成融合的需求，实现住建业务的全融合、系统全域联动。</w:t>
      </w:r>
    </w:p>
    <w:p w14:paraId="4B1870DB">
      <w:pPr>
        <w:spacing w:line="540" w:lineRule="exact"/>
        <w:ind w:firstLine="643"/>
        <w:rPr>
          <w:rFonts w:ascii="仿宋" w:hAnsi="仿宋"/>
          <w:kern w:val="0"/>
          <w:sz w:val="32"/>
          <w:szCs w:val="32"/>
        </w:rPr>
      </w:pPr>
      <w:r>
        <w:rPr>
          <w:rFonts w:hint="eastAsia" w:ascii="仿宋" w:hAnsi="仿宋"/>
          <w:b/>
          <w:bCs/>
          <w:kern w:val="0"/>
          <w:sz w:val="32"/>
          <w:szCs w:val="32"/>
        </w:rPr>
        <w:t>打造泉州“水务大脑”。</w:t>
      </w:r>
      <w:r>
        <w:rPr>
          <w:rFonts w:hint="eastAsia" w:ascii="仿宋" w:hAnsi="仿宋"/>
          <w:kern w:val="0"/>
          <w:sz w:val="32"/>
          <w:szCs w:val="32"/>
        </w:rPr>
        <w:t>搭建“</w:t>
      </w:r>
      <w:r>
        <w:rPr>
          <w:rFonts w:ascii="仿宋" w:hAnsi="仿宋"/>
          <w:kern w:val="0"/>
          <w:sz w:val="32"/>
          <w:szCs w:val="32"/>
        </w:rPr>
        <w:t>1+5+N</w:t>
      </w:r>
      <w:r>
        <w:rPr>
          <w:rFonts w:hint="eastAsia" w:ascii="仿宋" w:hAnsi="仿宋"/>
          <w:kern w:val="0"/>
          <w:sz w:val="32"/>
          <w:szCs w:val="32"/>
        </w:rPr>
        <w:t>”</w:t>
      </w:r>
      <w:r>
        <w:rPr>
          <w:rFonts w:ascii="仿宋" w:hAnsi="仿宋"/>
          <w:kern w:val="0"/>
          <w:sz w:val="32"/>
          <w:szCs w:val="32"/>
        </w:rPr>
        <w:t>整体平台架构，建设水务行业统一信息化底座，构建大数据、视觉智能、数据智能、数字孪生、水务地理信息五大统一能力，形成面向智慧原水、智慧制水、智慧供水、智慧排水、智慧污水、智慧节水的N个智慧应用群</w:t>
      </w:r>
      <w:r>
        <w:rPr>
          <w:rFonts w:hint="eastAsia" w:ascii="仿宋" w:hAnsi="仿宋"/>
          <w:kern w:val="0"/>
          <w:sz w:val="32"/>
          <w:szCs w:val="32"/>
        </w:rPr>
        <w:t>。在全局调度、生产监控、管网监测、二次供水、设备维护和民生服务等核心业务环节实现全面智能化，达到保障安全生产，提升效率降低成本，提升服务满意度等目标。</w:t>
      </w:r>
    </w:p>
    <w:p w14:paraId="08D8AC45">
      <w:pPr>
        <w:spacing w:line="540" w:lineRule="exact"/>
        <w:ind w:firstLine="643"/>
        <w:rPr>
          <w:rFonts w:ascii="仿宋" w:hAnsi="仿宋"/>
          <w:kern w:val="0"/>
          <w:sz w:val="32"/>
          <w:szCs w:val="32"/>
        </w:rPr>
      </w:pPr>
      <w:r>
        <w:rPr>
          <w:rFonts w:hint="eastAsia" w:ascii="仿宋" w:hAnsi="仿宋"/>
          <w:b/>
          <w:bCs/>
          <w:kern w:val="0"/>
          <w:sz w:val="32"/>
          <w:szCs w:val="32"/>
        </w:rPr>
        <w:t>建立泉州智慧城管物联通管理平台。</w:t>
      </w:r>
      <w:r>
        <w:rPr>
          <w:rFonts w:hint="eastAsia" w:ascii="仿宋" w:hAnsi="仿宋"/>
          <w:kern w:val="0"/>
          <w:sz w:val="32"/>
          <w:szCs w:val="32"/>
        </w:rPr>
        <w:t>在现有“数字城管”基础上，分两阶段推进城市管理感知能力、智慧城管应用系统、平台机制体制等建设，实现对城市管理各类信息数据的自动分析和智能研判。同步对接各部门</w:t>
      </w:r>
      <w:r>
        <w:rPr>
          <w:rFonts w:hint="eastAsia" w:ascii="仿宋" w:hAnsi="仿宋"/>
          <w:sz w:val="32"/>
          <w:szCs w:val="32"/>
        </w:rPr>
        <w:t>现有</w:t>
      </w:r>
      <w:r>
        <w:rPr>
          <w:rFonts w:hint="eastAsia" w:ascii="仿宋" w:hAnsi="仿宋"/>
          <w:kern w:val="0"/>
          <w:sz w:val="32"/>
          <w:szCs w:val="32"/>
        </w:rPr>
        <w:t>信息系统，基本实现智慧城管业务全覆盖，逐步实现感知、分析、服务、指挥、监察“五位一体”的城市运行管理指体系。到</w:t>
      </w:r>
      <w:r>
        <w:rPr>
          <w:rFonts w:ascii="仿宋" w:hAnsi="仿宋"/>
          <w:kern w:val="0"/>
          <w:sz w:val="32"/>
          <w:szCs w:val="32"/>
        </w:rPr>
        <w:t>2025</w:t>
      </w:r>
      <w:r>
        <w:rPr>
          <w:rFonts w:hint="eastAsia" w:ascii="仿宋" w:hAnsi="仿宋"/>
          <w:kern w:val="0"/>
          <w:sz w:val="32"/>
          <w:szCs w:val="32"/>
        </w:rPr>
        <w:t>年，泉州市智慧城管物联通管理平台实现县（市、区）全覆盖，部、省、市、县平台互联互通、信息共享。</w:t>
      </w:r>
    </w:p>
    <w:p w14:paraId="2AD127EC">
      <w:pPr>
        <w:snapToGrid w:val="0"/>
        <w:spacing w:line="540" w:lineRule="exact"/>
        <w:ind w:firstLine="643"/>
        <w:outlineLvl w:val="2"/>
        <w:rPr>
          <w:rFonts w:ascii="楷体" w:hAnsi="楷体" w:eastAsia="楷体"/>
          <w:b/>
          <w:bCs/>
          <w:kern w:val="0"/>
          <w:sz w:val="32"/>
          <w:szCs w:val="32"/>
        </w:rPr>
      </w:pPr>
      <w:bookmarkStart w:id="362" w:name="_Toc19779"/>
      <w:bookmarkStart w:id="363" w:name="_Toc27108"/>
      <w:bookmarkStart w:id="364" w:name="_Toc32095"/>
      <w:bookmarkStart w:id="365" w:name="_Toc1314"/>
      <w:bookmarkStart w:id="366" w:name="_Toc13766"/>
      <w:r>
        <w:rPr>
          <w:rFonts w:hint="eastAsia" w:ascii="楷体" w:hAnsi="楷体" w:eastAsia="楷体"/>
          <w:b/>
          <w:bCs/>
          <w:kern w:val="0"/>
          <w:sz w:val="32"/>
          <w:szCs w:val="32"/>
        </w:rPr>
        <w:t>（四）完善城乡通信设施</w:t>
      </w:r>
      <w:bookmarkEnd w:id="362"/>
      <w:bookmarkEnd w:id="363"/>
      <w:bookmarkEnd w:id="364"/>
      <w:bookmarkEnd w:id="365"/>
      <w:bookmarkEnd w:id="366"/>
    </w:p>
    <w:p w14:paraId="6BFCD83C">
      <w:pPr>
        <w:spacing w:line="540" w:lineRule="exact"/>
        <w:ind w:firstLine="640"/>
        <w:rPr>
          <w:rFonts w:ascii="仿宋" w:hAnsi="仿宋"/>
          <w:sz w:val="32"/>
          <w:szCs w:val="32"/>
        </w:rPr>
      </w:pPr>
      <w:r>
        <w:rPr>
          <w:rFonts w:hint="eastAsia" w:ascii="仿宋" w:hAnsi="仿宋"/>
          <w:sz w:val="32"/>
          <w:szCs w:val="32"/>
        </w:rPr>
        <w:t>加快推进千兆光网和</w:t>
      </w:r>
      <w:r>
        <w:rPr>
          <w:rFonts w:ascii="仿宋" w:hAnsi="仿宋"/>
          <w:sz w:val="32"/>
          <w:szCs w:val="32"/>
        </w:rPr>
        <w:t>5G网络基础设施建设，实现固定和移动网络普遍具备“千兆到户”能力。有序推进互联网大数据中心建设，按需部署边缘计算中心，实现“数云协同”“云边协同”“数网协同”。实施数字乡村建设发展工程，加快构建农业农村大数据体系。深化电信普遍服务试点，持续拓展农村光网和4G覆盖广度和深度，推动农村千兆光网、5G网络、移动物联网与城市同步规划建设。完善高山无线发射台站基础设施建设，增强广播电视覆盖和接收信号。到2025年，全市乡镇以上区域全面实现千兆光网和5G网络覆盖，行政村5G通达率达80%。</w:t>
      </w:r>
    </w:p>
    <w:p w14:paraId="2407A15A">
      <w:pPr>
        <w:snapToGrid w:val="0"/>
        <w:spacing w:line="540" w:lineRule="exact"/>
        <w:ind w:firstLine="643"/>
        <w:outlineLvl w:val="2"/>
        <w:rPr>
          <w:rFonts w:ascii="楷体" w:hAnsi="楷体" w:eastAsia="楷体"/>
          <w:b/>
          <w:bCs/>
          <w:kern w:val="0"/>
          <w:sz w:val="32"/>
          <w:szCs w:val="32"/>
        </w:rPr>
      </w:pPr>
      <w:bookmarkStart w:id="367" w:name="_Toc31748"/>
      <w:bookmarkStart w:id="368" w:name="_Toc21442"/>
      <w:bookmarkStart w:id="369" w:name="_Toc25929"/>
      <w:bookmarkStart w:id="370" w:name="_Toc29745"/>
      <w:bookmarkStart w:id="371" w:name="_Toc10558"/>
      <w:r>
        <w:rPr>
          <w:rFonts w:hint="eastAsia" w:ascii="楷体" w:hAnsi="楷体" w:eastAsia="楷体"/>
          <w:b/>
          <w:bCs/>
          <w:kern w:val="0"/>
          <w:sz w:val="32"/>
          <w:szCs w:val="32"/>
        </w:rPr>
        <w:t>（五）完善城乡输配电网</w:t>
      </w:r>
      <w:bookmarkEnd w:id="367"/>
      <w:bookmarkEnd w:id="368"/>
      <w:bookmarkEnd w:id="369"/>
      <w:bookmarkEnd w:id="370"/>
      <w:bookmarkEnd w:id="371"/>
    </w:p>
    <w:p w14:paraId="588CA97D">
      <w:pPr>
        <w:spacing w:line="540" w:lineRule="exact"/>
        <w:ind w:firstLine="640"/>
        <w:rPr>
          <w:rFonts w:ascii="仿宋" w:hAnsi="仿宋"/>
          <w:sz w:val="32"/>
          <w:szCs w:val="32"/>
        </w:rPr>
      </w:pPr>
      <w:r>
        <w:rPr>
          <w:rFonts w:hint="eastAsia" w:ascii="仿宋" w:hAnsi="仿宋"/>
          <w:sz w:val="32"/>
          <w:szCs w:val="32"/>
        </w:rPr>
        <w:t>进一步完善</w:t>
      </w:r>
      <w:r>
        <w:rPr>
          <w:rFonts w:ascii="仿宋" w:hAnsi="仿宋"/>
          <w:sz w:val="32"/>
          <w:szCs w:val="32"/>
        </w:rPr>
        <w:t>500千伏、220千伏主干输电网架。500千伏电网形成南部、中部、北部分区供电格局，维持“两横一纵、沿海双廊道”的500千伏电网结构，安溪、永春、德化配合完成北电南送新增第三通道建设；220千伏电网分区网架进一步加强，各县</w:t>
      </w:r>
      <w:r>
        <w:rPr>
          <w:rFonts w:hint="eastAsia" w:ascii="仿宋" w:hAnsi="仿宋"/>
          <w:sz w:val="32"/>
          <w:szCs w:val="32"/>
        </w:rPr>
        <w:t>（市、区）</w:t>
      </w:r>
      <w:r>
        <w:rPr>
          <w:rFonts w:ascii="仿宋" w:hAnsi="仿宋"/>
          <w:sz w:val="32"/>
          <w:szCs w:val="32"/>
        </w:rPr>
        <w:t>初步建成以两座500千伏变电站为电源、“双电源链式”供电的网架结构。实施乡村清洁能源建设工程。推进农村电网改造升级，全面提升农村电网“最后一公里”供电质量，分阶段推进美丽乡村电气化再升级建设，推动城乡“获得电力”均等化。继续推进“新基建”新能源汽车充电桩建设</w:t>
      </w:r>
      <w:r>
        <w:rPr>
          <w:rFonts w:hint="eastAsia" w:ascii="仿宋" w:hAnsi="仿宋"/>
          <w:sz w:val="32"/>
          <w:szCs w:val="32"/>
        </w:rPr>
        <w:t>。</w:t>
      </w:r>
      <w:r>
        <w:rPr>
          <w:rFonts w:ascii="仿宋" w:hAnsi="仿宋"/>
          <w:sz w:val="32"/>
          <w:szCs w:val="32"/>
        </w:rPr>
        <w:t>到2025年</w:t>
      </w:r>
      <w:r>
        <w:rPr>
          <w:rFonts w:hint="eastAsia" w:ascii="仿宋" w:hAnsi="仿宋"/>
          <w:sz w:val="32"/>
          <w:szCs w:val="32"/>
        </w:rPr>
        <w:t>，</w:t>
      </w:r>
      <w:r>
        <w:rPr>
          <w:rFonts w:ascii="仿宋" w:hAnsi="仿宋"/>
          <w:sz w:val="32"/>
          <w:szCs w:val="32"/>
        </w:rPr>
        <w:t>全市基本形成便捷高效的充电网络，市区公共充电网络进一步完善，各县(市、区)城市核心区公共充电服务网络初步形成。</w:t>
      </w:r>
    </w:p>
    <w:p w14:paraId="2D8CE581">
      <w:pPr>
        <w:pStyle w:val="3"/>
        <w:spacing w:line="540" w:lineRule="exact"/>
        <w:ind w:firstLine="643"/>
        <w:rPr>
          <w:rFonts w:ascii="黑体" w:hAnsi="黑体" w:eastAsia="黑体"/>
          <w:sz w:val="32"/>
        </w:rPr>
      </w:pPr>
      <w:bookmarkStart w:id="372" w:name="_Toc31761"/>
      <w:bookmarkStart w:id="373" w:name="_Toc21999"/>
      <w:bookmarkStart w:id="374" w:name="_Toc14709"/>
      <w:bookmarkStart w:id="375" w:name="_Toc11037"/>
      <w:bookmarkStart w:id="376" w:name="_Toc11845"/>
      <w:r>
        <w:rPr>
          <w:rFonts w:hint="eastAsia" w:ascii="黑体" w:hAnsi="黑体" w:eastAsia="黑体"/>
          <w:kern w:val="0"/>
          <w:sz w:val="32"/>
        </w:rPr>
        <w:t>十、</w:t>
      </w:r>
      <w:r>
        <w:rPr>
          <w:rFonts w:hint="eastAsia" w:ascii="黑体" w:hAnsi="黑体" w:eastAsia="黑体"/>
          <w:sz w:val="32"/>
        </w:rPr>
        <w:t>城市管理提升</w:t>
      </w:r>
      <w:bookmarkEnd w:id="372"/>
      <w:bookmarkEnd w:id="373"/>
      <w:bookmarkEnd w:id="374"/>
      <w:bookmarkEnd w:id="375"/>
      <w:bookmarkEnd w:id="376"/>
    </w:p>
    <w:p w14:paraId="66C8B1EC">
      <w:pPr>
        <w:snapToGrid w:val="0"/>
        <w:spacing w:line="540" w:lineRule="exact"/>
        <w:ind w:firstLine="640"/>
        <w:rPr>
          <w:rFonts w:ascii="仿宋" w:hAnsi="仿宋"/>
          <w:kern w:val="0"/>
          <w:sz w:val="32"/>
          <w:szCs w:val="32"/>
        </w:rPr>
      </w:pPr>
      <w:r>
        <w:rPr>
          <w:rFonts w:hint="eastAsia" w:ascii="仿宋" w:hAnsi="仿宋"/>
          <w:kern w:val="0"/>
          <w:sz w:val="32"/>
          <w:szCs w:val="32"/>
        </w:rPr>
        <w:t>加强城市管理法律法规和体制机制保障。加快形成多元化协同共治管理模式，推动城市管理向精治转变。完善“网格化</w:t>
      </w:r>
      <w:r>
        <w:rPr>
          <w:rFonts w:ascii="仿宋" w:hAnsi="仿宋"/>
          <w:kern w:val="0"/>
          <w:sz w:val="32"/>
          <w:szCs w:val="32"/>
        </w:rPr>
        <w:t>+职能应用”服务管理模式，推进市容市貌和无障碍环境整治提升。构建权责明晰、服务为先、管理优化、执法规范、安全有序的城市精细化管理体系。</w:t>
      </w:r>
    </w:p>
    <w:p w14:paraId="60F2A8A2">
      <w:pPr>
        <w:snapToGrid w:val="0"/>
        <w:spacing w:line="540" w:lineRule="exact"/>
        <w:ind w:firstLine="643"/>
        <w:outlineLvl w:val="2"/>
        <w:rPr>
          <w:rFonts w:ascii="楷体" w:hAnsi="楷体" w:eastAsia="楷体"/>
          <w:b/>
          <w:bCs/>
          <w:kern w:val="0"/>
          <w:sz w:val="32"/>
          <w:szCs w:val="32"/>
        </w:rPr>
      </w:pPr>
      <w:bookmarkStart w:id="377" w:name="_Toc20015"/>
      <w:bookmarkStart w:id="378" w:name="_Toc62175654"/>
      <w:bookmarkStart w:id="379" w:name="_Toc63077471"/>
      <w:bookmarkStart w:id="380" w:name="_Toc7594"/>
      <w:bookmarkStart w:id="381" w:name="_Toc25883"/>
      <w:bookmarkStart w:id="382" w:name="_Toc5043"/>
      <w:bookmarkStart w:id="383" w:name="_Toc5413"/>
      <w:bookmarkStart w:id="384" w:name="_Toc62176693"/>
      <w:bookmarkStart w:id="385" w:name="_Toc11059"/>
      <w:bookmarkStart w:id="386" w:name="_Toc62163281"/>
      <w:r>
        <w:rPr>
          <w:rFonts w:hint="eastAsia" w:ascii="楷体" w:hAnsi="楷体" w:eastAsia="楷体"/>
          <w:b/>
          <w:bCs/>
          <w:kern w:val="0"/>
          <w:sz w:val="32"/>
          <w:szCs w:val="32"/>
        </w:rPr>
        <w:t>（一）健全城市管理法律法规</w:t>
      </w:r>
      <w:bookmarkEnd w:id="377"/>
      <w:bookmarkEnd w:id="378"/>
      <w:bookmarkEnd w:id="379"/>
      <w:bookmarkEnd w:id="380"/>
      <w:bookmarkEnd w:id="381"/>
      <w:bookmarkEnd w:id="382"/>
      <w:bookmarkEnd w:id="383"/>
      <w:bookmarkEnd w:id="384"/>
      <w:bookmarkEnd w:id="385"/>
      <w:bookmarkEnd w:id="386"/>
    </w:p>
    <w:p w14:paraId="23B7E0BA">
      <w:pPr>
        <w:snapToGrid w:val="0"/>
        <w:spacing w:line="540" w:lineRule="exact"/>
        <w:ind w:firstLine="643"/>
        <w:rPr>
          <w:rFonts w:ascii="仿宋" w:hAnsi="仿宋"/>
          <w:kern w:val="0"/>
          <w:sz w:val="32"/>
          <w:szCs w:val="32"/>
        </w:rPr>
      </w:pPr>
      <w:r>
        <w:rPr>
          <w:rFonts w:hint="eastAsia" w:ascii="仿宋" w:hAnsi="仿宋"/>
          <w:b/>
          <w:bCs/>
          <w:kern w:val="0"/>
          <w:sz w:val="32"/>
          <w:szCs w:val="32"/>
        </w:rPr>
        <w:t>完善城市管理法律法规。</w:t>
      </w:r>
      <w:r>
        <w:rPr>
          <w:rFonts w:hint="eastAsia" w:ascii="仿宋" w:hAnsi="仿宋"/>
          <w:kern w:val="0"/>
          <w:sz w:val="32"/>
          <w:szCs w:val="32"/>
        </w:rPr>
        <w:t>制定并实施《泉州市市容和环境卫生管理条例》《泉州市机动车停车管理条例》《泉州市城市园林管理条例》《泉州市公园管理条例》《泉州市生活垃圾分类管理办法》《泉州市户外广告管理办法》《泉州市建筑垃圾处置管理办法》等法律法规，全面提高城市治理水平。深化普法学法用法，增强群众守法用法意识，提高部门依法决策能力和依法行政水平。</w:t>
      </w:r>
    </w:p>
    <w:p w14:paraId="34A4B252">
      <w:pPr>
        <w:spacing w:line="540" w:lineRule="exact"/>
        <w:ind w:firstLine="643"/>
        <w:rPr>
          <w:rFonts w:ascii="仿宋" w:hAnsi="仿宋"/>
          <w:kern w:val="0"/>
          <w:sz w:val="32"/>
          <w:szCs w:val="32"/>
        </w:rPr>
      </w:pPr>
      <w:r>
        <w:rPr>
          <w:rFonts w:hint="eastAsia" w:ascii="仿宋" w:hAnsi="仿宋"/>
          <w:b/>
          <w:bCs/>
          <w:kern w:val="0"/>
          <w:sz w:val="32"/>
          <w:szCs w:val="32"/>
        </w:rPr>
        <w:t>完善城市综合管理标准体系。</w:t>
      </w:r>
      <w:r>
        <w:rPr>
          <w:rFonts w:hint="eastAsia" w:ascii="仿宋" w:hAnsi="仿宋"/>
          <w:kern w:val="0"/>
          <w:sz w:val="32"/>
          <w:szCs w:val="32"/>
        </w:rPr>
        <w:t>对标国内先进，梳理完善相关标准规范，推动建立精细化管理标准规范体系，精细化管理细化作业标准、监督管理标准，重点制定或修订《泉州市生活垃圾分类设施设备配置及作业规范》《泉州市城市道路公共服务设施设置规范》《泉州市城市管理行政执法工作规范》《泉州市公共区域停车设施</w:t>
      </w:r>
      <w:r>
        <w:rPr>
          <w:rFonts w:hint="eastAsia" w:ascii="仿宋" w:hAnsi="仿宋"/>
          <w:sz w:val="32"/>
          <w:szCs w:val="32"/>
        </w:rPr>
        <w:t>设置</w:t>
      </w:r>
      <w:r>
        <w:rPr>
          <w:rFonts w:hint="eastAsia" w:ascii="仿宋" w:hAnsi="仿宋"/>
          <w:kern w:val="0"/>
          <w:sz w:val="32"/>
          <w:szCs w:val="32"/>
        </w:rPr>
        <w:t>技术导则》《泉州市建筑垃圾运输相关规划和技术标准》等标准规范，制定管理清单、责任清单和网格清单，逐步实现城市管理领域标准规范全覆盖。按照城乡一体化思路，推动建立城市管理分级分类体系。加强标准规范的更新和维护，注重行业之间标准规范的有机衔接。</w:t>
      </w:r>
    </w:p>
    <w:p w14:paraId="3F6B5A04">
      <w:pPr>
        <w:snapToGrid w:val="0"/>
        <w:spacing w:line="540" w:lineRule="exact"/>
        <w:ind w:firstLine="643"/>
        <w:outlineLvl w:val="2"/>
        <w:rPr>
          <w:rFonts w:ascii="楷体" w:hAnsi="楷体" w:eastAsia="楷体"/>
          <w:b/>
          <w:bCs/>
          <w:kern w:val="0"/>
          <w:sz w:val="32"/>
          <w:szCs w:val="32"/>
        </w:rPr>
      </w:pPr>
      <w:bookmarkStart w:id="387" w:name="_Toc15209"/>
      <w:bookmarkStart w:id="388" w:name="_Toc20853"/>
      <w:bookmarkStart w:id="389" w:name="_Toc20791"/>
      <w:bookmarkStart w:id="390" w:name="_Toc5795"/>
      <w:bookmarkStart w:id="391" w:name="_Toc30138"/>
      <w:r>
        <w:rPr>
          <w:rFonts w:hint="eastAsia" w:ascii="楷体" w:hAnsi="楷体" w:eastAsia="楷体"/>
          <w:b/>
          <w:bCs/>
          <w:kern w:val="0"/>
          <w:sz w:val="32"/>
          <w:szCs w:val="32"/>
        </w:rPr>
        <w:t>（二）深化“大城管”体制改革</w:t>
      </w:r>
      <w:bookmarkEnd w:id="387"/>
      <w:bookmarkEnd w:id="388"/>
      <w:bookmarkEnd w:id="389"/>
      <w:bookmarkEnd w:id="390"/>
      <w:bookmarkEnd w:id="391"/>
    </w:p>
    <w:p w14:paraId="4B9D90CD">
      <w:pPr>
        <w:spacing w:line="540" w:lineRule="exact"/>
        <w:ind w:firstLine="643"/>
        <w:rPr>
          <w:rFonts w:ascii="仿宋" w:hAnsi="仿宋"/>
          <w:kern w:val="0"/>
          <w:sz w:val="32"/>
          <w:szCs w:val="32"/>
        </w:rPr>
      </w:pPr>
      <w:r>
        <w:rPr>
          <w:rFonts w:hint="eastAsia" w:ascii="仿宋" w:hAnsi="仿宋"/>
          <w:b/>
          <w:bCs/>
          <w:kern w:val="0"/>
          <w:sz w:val="32"/>
          <w:szCs w:val="32"/>
        </w:rPr>
        <w:t>构建“大城管”运行体系。</w:t>
      </w:r>
      <w:r>
        <w:rPr>
          <w:rFonts w:hint="eastAsia" w:ascii="仿宋" w:hAnsi="仿宋"/>
          <w:kern w:val="0"/>
          <w:sz w:val="32"/>
          <w:szCs w:val="32"/>
        </w:rPr>
        <w:t>健全党委政府统筹协调、各部门协同合作的“大城管”工作机制，强化各级城管部门综合协调职能，落实联席会议制度，完善部门协作机制。全面深化河长制工作，科学规划中心城区水系联排联调管理模式，探索构建“多水合一，网</w:t>
      </w:r>
      <w:r>
        <w:rPr>
          <w:rFonts w:ascii="仿宋" w:hAnsi="仿宋"/>
          <w:kern w:val="0"/>
          <w:sz w:val="32"/>
          <w:szCs w:val="32"/>
        </w:rPr>
        <w:t>厂河一体化”的治水机制。</w:t>
      </w:r>
      <w:r>
        <w:rPr>
          <w:rFonts w:hint="eastAsia" w:ascii="仿宋" w:hAnsi="仿宋"/>
          <w:kern w:val="0"/>
          <w:sz w:val="32"/>
          <w:szCs w:val="32"/>
        </w:rPr>
        <w:t>针对重大工程项目交叉影响等问题，探索形成重大工程项目跨行业、跨部门、跨区域统筹推进机制，建立完善“权责明晰、信息流畅、科学配合”的高效联动处置及治理模式，综合协调优化项目立项、用地、规划、施工、竣工验收等各阶段管理工作。</w:t>
      </w:r>
    </w:p>
    <w:p w14:paraId="566D135A">
      <w:pPr>
        <w:spacing w:line="540" w:lineRule="exact"/>
        <w:ind w:firstLine="643"/>
        <w:rPr>
          <w:rFonts w:ascii="仿宋" w:hAnsi="仿宋"/>
          <w:kern w:val="0"/>
          <w:sz w:val="32"/>
          <w:szCs w:val="32"/>
        </w:rPr>
      </w:pPr>
      <w:r>
        <w:rPr>
          <w:rFonts w:hint="eastAsia" w:ascii="仿宋" w:hAnsi="仿宋"/>
          <w:b/>
          <w:bCs/>
          <w:kern w:val="0"/>
          <w:sz w:val="32"/>
          <w:szCs w:val="32"/>
        </w:rPr>
        <w:t>完善考评监督机制与保障机制。</w:t>
      </w:r>
      <w:r>
        <w:rPr>
          <w:rFonts w:hint="eastAsia" w:ascii="仿宋" w:hAnsi="仿宋"/>
          <w:kern w:val="0"/>
          <w:sz w:val="32"/>
          <w:szCs w:val="32"/>
        </w:rPr>
        <w:t>逐步将道路清洗、老旧小区管理等精细化管理内容纳入考核，扩充城市管理综合考评的覆盖面和内容，制定并完善日常考评机制，提升城市管理综合考评结果应用，促进城市精细化管理的制度化、长效化。建立刑事司法衔接机制，依托信息共享平台实现案情通报。加大城市管理专项经费投入力度，建立经费保障同步增长机制。对在建、已建园林绿化工程开展景观效果评价，制订《泉州市园林绿化工程质量景观效果评价工作方案》，建立专家评价机制，评价结果记入园林绿化施工企业信用档案，纳入城市管理年度绩效考核体系。</w:t>
      </w:r>
    </w:p>
    <w:p w14:paraId="5AE0AAC8">
      <w:pPr>
        <w:snapToGrid w:val="0"/>
        <w:spacing w:line="540" w:lineRule="exact"/>
        <w:ind w:firstLine="643"/>
        <w:outlineLvl w:val="2"/>
        <w:rPr>
          <w:rFonts w:ascii="楷体" w:hAnsi="楷体" w:eastAsia="楷体"/>
          <w:b/>
          <w:bCs/>
          <w:kern w:val="0"/>
          <w:sz w:val="32"/>
          <w:szCs w:val="32"/>
        </w:rPr>
      </w:pPr>
      <w:bookmarkStart w:id="392" w:name="_Toc21972"/>
      <w:bookmarkStart w:id="393" w:name="_Toc26654"/>
      <w:bookmarkStart w:id="394" w:name="_Toc22908"/>
      <w:bookmarkStart w:id="395" w:name="_Toc20347"/>
      <w:bookmarkStart w:id="396" w:name="_Toc15088"/>
      <w:bookmarkStart w:id="397" w:name="_Toc63077473"/>
      <w:bookmarkStart w:id="398" w:name="_Toc62175656"/>
      <w:bookmarkStart w:id="399" w:name="_Toc62176695"/>
      <w:bookmarkStart w:id="400" w:name="_Toc23417"/>
      <w:bookmarkStart w:id="401" w:name="_Toc62163283"/>
      <w:r>
        <w:rPr>
          <w:rFonts w:hint="eastAsia" w:ascii="楷体" w:hAnsi="楷体" w:eastAsia="楷体"/>
          <w:b/>
          <w:bCs/>
          <w:kern w:val="0"/>
          <w:sz w:val="32"/>
          <w:szCs w:val="32"/>
        </w:rPr>
        <w:t>（三）构建“网格化</w:t>
      </w:r>
      <w:r>
        <w:rPr>
          <w:rFonts w:ascii="楷体" w:hAnsi="楷体" w:eastAsia="楷体"/>
          <w:b/>
          <w:bCs/>
          <w:kern w:val="0"/>
          <w:sz w:val="32"/>
          <w:szCs w:val="32"/>
        </w:rPr>
        <w:t>+职能应用”服务管理模式</w:t>
      </w:r>
      <w:bookmarkEnd w:id="392"/>
      <w:bookmarkEnd w:id="393"/>
      <w:bookmarkEnd w:id="394"/>
      <w:bookmarkEnd w:id="395"/>
      <w:bookmarkEnd w:id="396"/>
    </w:p>
    <w:bookmarkEnd w:id="397"/>
    <w:bookmarkEnd w:id="398"/>
    <w:bookmarkEnd w:id="399"/>
    <w:bookmarkEnd w:id="400"/>
    <w:bookmarkEnd w:id="401"/>
    <w:p w14:paraId="76B38D0A">
      <w:pPr>
        <w:snapToGrid w:val="0"/>
        <w:spacing w:line="540" w:lineRule="exact"/>
        <w:ind w:firstLine="640"/>
        <w:rPr>
          <w:rFonts w:ascii="仿宋" w:hAnsi="仿宋"/>
          <w:kern w:val="0"/>
          <w:sz w:val="32"/>
          <w:szCs w:val="32"/>
        </w:rPr>
      </w:pPr>
      <w:r>
        <w:rPr>
          <w:rFonts w:hint="eastAsia" w:ascii="仿宋" w:hAnsi="仿宋"/>
          <w:kern w:val="0"/>
          <w:sz w:val="32"/>
          <w:szCs w:val="32"/>
        </w:rPr>
        <w:t>健全市、县（市、区）、街道（乡镇）、社区（村居）四级管理网络，明确网格管理对象、管理标准和责任人，以网格为单元落实水系治理、垃圾分类等职能治理体系，实施常态化、精细化、制度化管理。完善网格化信息平台、工作导则，推行“网格化</w:t>
      </w:r>
      <w:r>
        <w:rPr>
          <w:rFonts w:ascii="仿宋" w:hAnsi="仿宋"/>
          <w:kern w:val="0"/>
          <w:sz w:val="32"/>
          <w:szCs w:val="32"/>
        </w:rPr>
        <w:t>+职能应用”服务管理模式，构建战区化</w:t>
      </w:r>
      <w:r>
        <w:rPr>
          <w:rFonts w:hint="eastAsia" w:ascii="仿宋" w:hAnsi="仿宋"/>
          <w:kern w:val="0"/>
          <w:sz w:val="32"/>
          <w:szCs w:val="32"/>
        </w:rPr>
        <w:t>街道（乡镇）</w:t>
      </w:r>
      <w:r>
        <w:rPr>
          <w:rFonts w:ascii="仿宋" w:hAnsi="仿宋"/>
          <w:kern w:val="0"/>
          <w:sz w:val="32"/>
          <w:szCs w:val="32"/>
        </w:rPr>
        <w:t>治理服务体系、多元化</w:t>
      </w:r>
      <w:r>
        <w:rPr>
          <w:rFonts w:hint="eastAsia" w:ascii="仿宋" w:hAnsi="仿宋"/>
          <w:kern w:val="0"/>
          <w:sz w:val="32"/>
          <w:szCs w:val="32"/>
        </w:rPr>
        <w:t>社区（村居）</w:t>
      </w:r>
      <w:r>
        <w:rPr>
          <w:rFonts w:ascii="仿宋" w:hAnsi="仿宋"/>
          <w:kern w:val="0"/>
          <w:sz w:val="32"/>
          <w:szCs w:val="32"/>
        </w:rPr>
        <w:t>治理服务体系和制度化基层治理服务支撑体系。</w:t>
      </w:r>
      <w:r>
        <w:rPr>
          <w:rFonts w:hint="eastAsia" w:ascii="仿宋" w:hAnsi="仿宋"/>
          <w:kern w:val="0"/>
          <w:sz w:val="32"/>
          <w:szCs w:val="32"/>
        </w:rPr>
        <w:t>加快组建与城市管理相适应的城管网格员队伍。到</w:t>
      </w:r>
      <w:r>
        <w:rPr>
          <w:rFonts w:ascii="仿宋" w:hAnsi="仿宋"/>
          <w:kern w:val="0"/>
          <w:sz w:val="32"/>
          <w:szCs w:val="32"/>
        </w:rPr>
        <w:t>2022年，城市网格化管理机制逐步健全，基本建立主管部门牵头、相关管理和执法部门配合的高效处置机制。到2025年，适度扩展网格化管理事项，实现</w:t>
      </w:r>
      <w:r>
        <w:rPr>
          <w:rFonts w:hint="eastAsia" w:ascii="仿宋" w:hAnsi="仿宋"/>
          <w:kern w:val="0"/>
          <w:sz w:val="32"/>
          <w:szCs w:val="32"/>
        </w:rPr>
        <w:t>城市</w:t>
      </w:r>
      <w:r>
        <w:rPr>
          <w:rFonts w:ascii="仿宋" w:hAnsi="仿宋"/>
          <w:kern w:val="0"/>
          <w:sz w:val="32"/>
          <w:szCs w:val="32"/>
        </w:rPr>
        <w:t>网格全覆盖，将管理范围拓展至农村公共管理区域。</w:t>
      </w:r>
    </w:p>
    <w:p w14:paraId="12ADA755">
      <w:pPr>
        <w:snapToGrid w:val="0"/>
        <w:spacing w:line="540" w:lineRule="exact"/>
        <w:ind w:firstLine="643"/>
        <w:outlineLvl w:val="2"/>
        <w:rPr>
          <w:rFonts w:ascii="楷体" w:hAnsi="楷体" w:eastAsia="楷体"/>
          <w:b/>
          <w:bCs/>
          <w:kern w:val="0"/>
          <w:sz w:val="32"/>
          <w:szCs w:val="32"/>
        </w:rPr>
      </w:pPr>
      <w:bookmarkStart w:id="402" w:name="_Toc22103"/>
      <w:bookmarkStart w:id="403" w:name="_Toc20715"/>
      <w:bookmarkStart w:id="404" w:name="_Toc6960"/>
      <w:bookmarkStart w:id="405" w:name="_Toc62175655"/>
      <w:bookmarkStart w:id="406" w:name="_Toc62176694"/>
      <w:bookmarkStart w:id="407" w:name="_Toc63077472"/>
      <w:bookmarkStart w:id="408" w:name="_Toc62163282"/>
      <w:bookmarkStart w:id="409" w:name="_Toc16882"/>
      <w:bookmarkStart w:id="410" w:name="_Toc15593"/>
      <w:bookmarkStart w:id="411" w:name="_Toc22658"/>
      <w:r>
        <w:rPr>
          <w:rFonts w:hint="eastAsia" w:ascii="楷体" w:hAnsi="楷体" w:eastAsia="楷体"/>
          <w:b/>
          <w:bCs/>
          <w:kern w:val="0"/>
          <w:sz w:val="32"/>
          <w:szCs w:val="32"/>
        </w:rPr>
        <w:t>（四）</w:t>
      </w:r>
      <w:bookmarkStart w:id="412" w:name="_Hlk62044803"/>
      <w:r>
        <w:rPr>
          <w:rFonts w:hint="eastAsia" w:ascii="楷体" w:hAnsi="楷体" w:eastAsia="楷体"/>
          <w:b/>
          <w:bCs/>
          <w:kern w:val="0"/>
          <w:sz w:val="32"/>
          <w:szCs w:val="32"/>
        </w:rPr>
        <w:t>完善多元化协同共治机制</w:t>
      </w:r>
      <w:bookmarkEnd w:id="402"/>
      <w:bookmarkEnd w:id="403"/>
      <w:bookmarkEnd w:id="404"/>
      <w:bookmarkEnd w:id="405"/>
      <w:bookmarkEnd w:id="406"/>
      <w:bookmarkEnd w:id="407"/>
      <w:bookmarkEnd w:id="408"/>
      <w:bookmarkEnd w:id="409"/>
      <w:bookmarkEnd w:id="410"/>
      <w:bookmarkEnd w:id="411"/>
      <w:bookmarkEnd w:id="412"/>
    </w:p>
    <w:p w14:paraId="54F29E10">
      <w:pPr>
        <w:spacing w:line="540" w:lineRule="exact"/>
        <w:ind w:firstLine="643"/>
        <w:rPr>
          <w:rFonts w:ascii="仿宋" w:hAnsi="仿宋"/>
          <w:kern w:val="0"/>
          <w:sz w:val="32"/>
          <w:szCs w:val="32"/>
        </w:rPr>
      </w:pPr>
      <w:r>
        <w:rPr>
          <w:rFonts w:hint="eastAsia" w:ascii="仿宋" w:hAnsi="仿宋"/>
          <w:b/>
          <w:bCs/>
          <w:kern w:val="0"/>
          <w:sz w:val="32"/>
          <w:szCs w:val="32"/>
        </w:rPr>
        <w:t>推进城乡基础设施建管市场化运作。</w:t>
      </w:r>
      <w:r>
        <w:rPr>
          <w:rFonts w:hint="eastAsia" w:ascii="仿宋" w:hAnsi="仿宋"/>
          <w:kern w:val="0"/>
          <w:sz w:val="32"/>
          <w:szCs w:val="32"/>
        </w:rPr>
        <w:t>坚持政府的主导作用，充分调动市场资源和社会资本，在乡镇及农村生活污水处理、生活垃圾处理、城市公共停车场、海绵城市、水系治理等各方面，积极推广采用</w:t>
      </w:r>
      <w:r>
        <w:rPr>
          <w:rFonts w:ascii="仿宋" w:hAnsi="仿宋"/>
          <w:kern w:val="0"/>
          <w:sz w:val="32"/>
          <w:szCs w:val="32"/>
        </w:rPr>
        <w:t>PPP模式或特许经营协议等，引入大型央企、专业公司进行建设、运维和服务，同步完善企业一体化运营、政府全流程管理监管考核的责任体系。深化城市基础设施管养分离，重点在市政道路、园林绿地、垃圾转运、公厕管理等养护工作，通过政府购买服务方式引进第三方专业化运营、管理。实行“按效付费”，把运营效果与项目付费挂钩，形成长效管理机制。</w:t>
      </w:r>
    </w:p>
    <w:p w14:paraId="3B1A870A">
      <w:pPr>
        <w:snapToGrid w:val="0"/>
        <w:spacing w:line="540" w:lineRule="exact"/>
        <w:ind w:firstLine="643"/>
        <w:rPr>
          <w:rFonts w:ascii="仿宋" w:hAnsi="仿宋"/>
          <w:kern w:val="0"/>
          <w:sz w:val="32"/>
          <w:szCs w:val="32"/>
        </w:rPr>
      </w:pPr>
      <w:r>
        <w:rPr>
          <w:rFonts w:hint="eastAsia" w:ascii="仿宋" w:hAnsi="仿宋"/>
          <w:b/>
          <w:bCs/>
          <w:kern w:val="0"/>
          <w:sz w:val="32"/>
          <w:szCs w:val="32"/>
        </w:rPr>
        <w:t>探索建立社会参与机制。</w:t>
      </w:r>
      <w:r>
        <w:rPr>
          <w:rFonts w:ascii="仿宋" w:hAnsi="仿宋"/>
          <w:kern w:val="0"/>
          <w:sz w:val="32"/>
          <w:szCs w:val="32"/>
        </w:rPr>
        <w:t>完善“公众参与、社会监督”机制，引导社会各界、公众积极参与城市环境</w:t>
      </w:r>
      <w:r>
        <w:rPr>
          <w:rFonts w:hint="eastAsia" w:ascii="仿宋" w:hAnsi="仿宋"/>
          <w:kern w:val="0"/>
          <w:sz w:val="32"/>
          <w:szCs w:val="32"/>
        </w:rPr>
        <w:t>治理</w:t>
      </w:r>
      <w:r>
        <w:rPr>
          <w:rFonts w:ascii="仿宋" w:hAnsi="仿宋"/>
          <w:kern w:val="0"/>
          <w:sz w:val="32"/>
          <w:szCs w:val="32"/>
        </w:rPr>
        <w:t>。</w:t>
      </w:r>
      <w:r>
        <w:rPr>
          <w:rFonts w:hint="eastAsia" w:ascii="仿宋" w:hAnsi="仿宋"/>
          <w:kern w:val="0"/>
          <w:sz w:val="32"/>
          <w:szCs w:val="32"/>
        </w:rPr>
        <w:t>全力实施生活垃圾分类，建立“市</w:t>
      </w:r>
      <w:r>
        <w:rPr>
          <w:rFonts w:ascii="仿宋" w:hAnsi="仿宋"/>
          <w:kern w:val="0"/>
          <w:sz w:val="32"/>
          <w:szCs w:val="32"/>
        </w:rPr>
        <w:t>-区-街道-社区-居民”常态化监督和奖惩机制</w:t>
      </w:r>
      <w:r>
        <w:rPr>
          <w:rFonts w:hint="eastAsia" w:ascii="仿宋" w:hAnsi="仿宋"/>
          <w:kern w:val="0"/>
          <w:sz w:val="32"/>
          <w:szCs w:val="32"/>
        </w:rPr>
        <w:t>。探索建立建设项目公示、协议和听证制度，鼓励社会和利益相关方参与项目前期和建设各阶段的协商论证；建立舆论监督和公众监督机制，发挥新闻媒体的宣传教育与监督作用，建立公众反馈意见的执行监督制度，提高社会的监督意识和监督效率。</w:t>
      </w:r>
    </w:p>
    <w:p w14:paraId="4EAE3EAE">
      <w:pPr>
        <w:snapToGrid w:val="0"/>
        <w:spacing w:line="540" w:lineRule="exact"/>
        <w:ind w:firstLine="643"/>
        <w:rPr>
          <w:rFonts w:ascii="仿宋" w:hAnsi="仿宋"/>
          <w:kern w:val="0"/>
          <w:sz w:val="32"/>
          <w:szCs w:val="32"/>
        </w:rPr>
      </w:pPr>
      <w:r>
        <w:rPr>
          <w:rFonts w:hint="eastAsia" w:ascii="仿宋" w:hAnsi="仿宋"/>
          <w:b/>
          <w:bCs/>
          <w:kern w:val="0"/>
          <w:sz w:val="32"/>
          <w:szCs w:val="32"/>
        </w:rPr>
        <w:t>组建泉州市城市管理智库。</w:t>
      </w:r>
      <w:r>
        <w:rPr>
          <w:rFonts w:hint="eastAsia" w:ascii="仿宋" w:hAnsi="仿宋"/>
          <w:kern w:val="0"/>
          <w:sz w:val="32"/>
          <w:szCs w:val="32"/>
        </w:rPr>
        <w:t>通过智库深入开展机制体制改革、市容景观整治、社会参与等</w:t>
      </w:r>
      <w:r>
        <w:rPr>
          <w:rFonts w:ascii="仿宋" w:hAnsi="仿宋"/>
          <w:kern w:val="0"/>
          <w:sz w:val="32"/>
          <w:szCs w:val="32"/>
        </w:rPr>
        <w:t>城市管理研究。加强</w:t>
      </w:r>
      <w:r>
        <w:rPr>
          <w:rFonts w:hint="eastAsia" w:ascii="仿宋" w:hAnsi="仿宋"/>
          <w:kern w:val="0"/>
          <w:sz w:val="32"/>
          <w:szCs w:val="32"/>
        </w:rPr>
        <w:t>智库</w:t>
      </w:r>
      <w:r>
        <w:rPr>
          <w:rFonts w:ascii="仿宋" w:hAnsi="仿宋"/>
          <w:kern w:val="0"/>
          <w:sz w:val="32"/>
          <w:szCs w:val="32"/>
        </w:rPr>
        <w:t>资源整合，形成优势互补、功能强大、结构合理、专业性强的攻关团队，建立完善常态的重大课题协同攻关及调研</w:t>
      </w:r>
      <w:r>
        <w:rPr>
          <w:rFonts w:hint="eastAsia" w:ascii="仿宋" w:hAnsi="仿宋"/>
          <w:kern w:val="0"/>
          <w:sz w:val="32"/>
          <w:szCs w:val="32"/>
        </w:rPr>
        <w:t>制度、双向人才培养及理论辅导制度、重大决策事项意见征询及专家论证制度，定期举办城市管理高端论坛、定期互派政府人员和教师、技术人员挂职锻炼。到</w:t>
      </w:r>
      <w:r>
        <w:rPr>
          <w:rFonts w:ascii="仿宋" w:hAnsi="仿宋"/>
          <w:kern w:val="0"/>
          <w:sz w:val="32"/>
          <w:szCs w:val="32"/>
        </w:rPr>
        <w:t>2025</w:t>
      </w:r>
      <w:r>
        <w:rPr>
          <w:rFonts w:hint="eastAsia" w:ascii="仿宋" w:hAnsi="仿宋"/>
          <w:kern w:val="0"/>
          <w:sz w:val="32"/>
          <w:szCs w:val="32"/>
        </w:rPr>
        <w:t>年，</w:t>
      </w:r>
      <w:r>
        <w:rPr>
          <w:rFonts w:ascii="仿宋" w:hAnsi="仿宋"/>
          <w:kern w:val="0"/>
          <w:sz w:val="32"/>
          <w:szCs w:val="32"/>
        </w:rPr>
        <w:t>力争城市管理研究多出成果、出好成果，为破解制约城市管理发展的突出问题、瓶颈问题提供坚强的理论支撑。</w:t>
      </w:r>
    </w:p>
    <w:p w14:paraId="335E0718">
      <w:pPr>
        <w:snapToGrid w:val="0"/>
        <w:spacing w:line="540" w:lineRule="exact"/>
        <w:ind w:firstLine="643"/>
        <w:outlineLvl w:val="2"/>
        <w:rPr>
          <w:rFonts w:ascii="楷体" w:hAnsi="楷体" w:eastAsia="楷体"/>
          <w:b/>
          <w:bCs/>
          <w:kern w:val="0"/>
          <w:sz w:val="32"/>
          <w:szCs w:val="32"/>
        </w:rPr>
      </w:pPr>
      <w:bookmarkStart w:id="413" w:name="_Toc31980"/>
      <w:bookmarkStart w:id="414" w:name="_Toc15801"/>
      <w:bookmarkStart w:id="415" w:name="_Toc21172"/>
      <w:bookmarkStart w:id="416" w:name="_Toc62163286"/>
      <w:bookmarkStart w:id="417" w:name="_Toc9549"/>
      <w:bookmarkStart w:id="418" w:name="_Toc20756"/>
      <w:bookmarkStart w:id="419" w:name="_Toc10792"/>
      <w:bookmarkStart w:id="420" w:name="_Toc62176698"/>
      <w:bookmarkStart w:id="421" w:name="_Toc62175659"/>
      <w:bookmarkStart w:id="422" w:name="_Toc63077476"/>
      <w:r>
        <w:rPr>
          <w:rFonts w:hint="eastAsia" w:ascii="楷体" w:hAnsi="楷体" w:eastAsia="楷体"/>
          <w:b/>
          <w:bCs/>
          <w:kern w:val="0"/>
          <w:sz w:val="32"/>
          <w:szCs w:val="32"/>
        </w:rPr>
        <w:t>（五）无障碍环境建设与管理</w:t>
      </w:r>
      <w:bookmarkEnd w:id="413"/>
      <w:bookmarkEnd w:id="414"/>
      <w:bookmarkEnd w:id="415"/>
      <w:bookmarkEnd w:id="416"/>
      <w:bookmarkEnd w:id="417"/>
      <w:bookmarkEnd w:id="418"/>
      <w:bookmarkEnd w:id="419"/>
      <w:bookmarkEnd w:id="420"/>
      <w:bookmarkEnd w:id="421"/>
      <w:bookmarkEnd w:id="422"/>
    </w:p>
    <w:p w14:paraId="1252BC24">
      <w:pPr>
        <w:snapToGrid w:val="0"/>
        <w:spacing w:line="540" w:lineRule="exact"/>
        <w:ind w:firstLine="640"/>
        <w:rPr>
          <w:rFonts w:ascii="仿宋" w:hAnsi="仿宋"/>
          <w:kern w:val="0"/>
          <w:sz w:val="32"/>
          <w:szCs w:val="32"/>
        </w:rPr>
      </w:pPr>
      <w:bookmarkStart w:id="423" w:name="_Hlk73971891"/>
      <w:r>
        <w:rPr>
          <w:rFonts w:hint="eastAsia" w:ascii="仿宋" w:hAnsi="仿宋"/>
          <w:kern w:val="0"/>
          <w:sz w:val="32"/>
          <w:szCs w:val="32"/>
        </w:rPr>
        <w:t>开展无障碍设施改造提升专项行动，重点改造提升城市道路、广场公园、公共建筑、公共交通场站、公共停车场、居住区和居住建筑、历史文物保护建筑等七类场所的无障碍设施，全方位提升无障碍基本服务设施体系。提高无障碍设施规划建设管理水平，新建设施严格执行无障碍相关标准规范，探索开展残疾人参与体验式验收模式，落实无障碍设施标识制度。强化无障碍设施日常维护管理，将无障碍设施纳入城市管理重要内容。持续开展中心城区城市道路盲道专项整治和人行道“消坎降坡”工作，提高无障碍设施完好率，保障残障人士通行安全。到</w:t>
      </w:r>
      <w:r>
        <w:rPr>
          <w:rFonts w:ascii="仿宋" w:hAnsi="仿宋"/>
          <w:kern w:val="0"/>
          <w:sz w:val="32"/>
          <w:szCs w:val="32"/>
        </w:rPr>
        <w:t>2021年，无障碍设施改造提升取得明显成效</w:t>
      </w:r>
      <w:r>
        <w:rPr>
          <w:rFonts w:hint="eastAsia" w:ascii="仿宋" w:hAnsi="仿宋"/>
          <w:kern w:val="0"/>
          <w:sz w:val="32"/>
          <w:szCs w:val="32"/>
        </w:rPr>
        <w:t>，到</w:t>
      </w:r>
      <w:r>
        <w:rPr>
          <w:rFonts w:ascii="仿宋" w:hAnsi="仿宋"/>
          <w:kern w:val="0"/>
          <w:sz w:val="32"/>
          <w:szCs w:val="32"/>
        </w:rPr>
        <w:t>2023年</w:t>
      </w:r>
      <w:r>
        <w:rPr>
          <w:rFonts w:hint="eastAsia" w:ascii="仿宋" w:hAnsi="仿宋"/>
          <w:kern w:val="0"/>
          <w:sz w:val="32"/>
          <w:szCs w:val="32"/>
        </w:rPr>
        <w:t>，</w:t>
      </w:r>
      <w:r>
        <w:rPr>
          <w:rFonts w:ascii="仿宋" w:hAnsi="仿宋"/>
          <w:kern w:val="0"/>
          <w:sz w:val="32"/>
          <w:szCs w:val="32"/>
        </w:rPr>
        <w:t>基本完善无障碍设施</w:t>
      </w:r>
      <w:r>
        <w:rPr>
          <w:rFonts w:hint="eastAsia" w:ascii="仿宋" w:hAnsi="仿宋"/>
          <w:kern w:val="0"/>
          <w:sz w:val="32"/>
          <w:szCs w:val="32"/>
        </w:rPr>
        <w:t>。</w:t>
      </w:r>
    </w:p>
    <w:p w14:paraId="3E52412E">
      <w:pPr>
        <w:spacing w:line="596" w:lineRule="exact"/>
        <w:ind w:firstLine="0" w:firstLineChars="0"/>
        <w:jc w:val="center"/>
        <w:rPr>
          <w:rFonts w:ascii="黑体" w:hAnsi="黑体" w:eastAsia="黑体" w:cs="黑体"/>
          <w:kern w:val="0"/>
          <w:szCs w:val="28"/>
        </w:rPr>
      </w:pPr>
      <w:r>
        <w:rPr>
          <w:rFonts w:hint="eastAsia" w:ascii="黑体" w:hAnsi="黑体" w:eastAsia="黑体" w:cs="黑体"/>
          <w:kern w:val="0"/>
          <w:szCs w:val="28"/>
        </w:rPr>
        <w:t>专栏</w:t>
      </w:r>
      <w:r>
        <w:rPr>
          <w:rFonts w:ascii="黑体" w:hAnsi="黑体" w:eastAsia="黑体" w:cs="黑体"/>
          <w:kern w:val="0"/>
          <w:szCs w:val="28"/>
        </w:rPr>
        <w:t>9</w:t>
      </w:r>
      <w:r>
        <w:rPr>
          <w:rFonts w:hint="eastAsia" w:ascii="黑体" w:hAnsi="黑体" w:eastAsia="黑体" w:cs="黑体"/>
          <w:kern w:val="0"/>
          <w:szCs w:val="28"/>
        </w:rPr>
        <w:t>：无障碍设施品质提升工程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5FAC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shd w:val="clear" w:color="auto" w:fill="auto"/>
          </w:tcPr>
          <w:p w14:paraId="45DDC600">
            <w:pPr>
              <w:snapToGrid w:val="0"/>
              <w:spacing w:before="197" w:beforeLines="50" w:line="288" w:lineRule="auto"/>
              <w:ind w:firstLine="562"/>
              <w:rPr>
                <w:rFonts w:ascii="仿宋" w:hAnsi="仿宋" w:cs="仿宋_GB2312"/>
                <w:kern w:val="0"/>
                <w:szCs w:val="28"/>
              </w:rPr>
            </w:pPr>
            <w:r>
              <w:rPr>
                <w:rFonts w:ascii="仿宋" w:hAnsi="仿宋" w:cs="仿宋_GB2312"/>
                <w:b/>
                <w:bCs/>
                <w:kern w:val="0"/>
                <w:szCs w:val="28"/>
              </w:rPr>
              <w:t>1.无障碍城市建设：</w:t>
            </w:r>
            <w:r>
              <w:rPr>
                <w:rFonts w:hint="eastAsia" w:ascii="仿宋" w:hAnsi="仿宋" w:cs="仿宋_GB2312"/>
                <w:kern w:val="0"/>
                <w:szCs w:val="28"/>
              </w:rPr>
              <w:t>开展无障碍县（市、区）创建达标工作，市级积极创建全国无障碍城市，石狮、晋江等县（市、区）达到全国无障碍县（市、区）建设标准。</w:t>
            </w:r>
          </w:p>
          <w:p w14:paraId="691D9D91">
            <w:pPr>
              <w:snapToGrid w:val="0"/>
              <w:spacing w:line="288" w:lineRule="auto"/>
              <w:ind w:firstLine="562"/>
              <w:rPr>
                <w:rFonts w:ascii="仿宋" w:hAnsi="仿宋" w:cs="仿宋_GB2312"/>
                <w:kern w:val="0"/>
                <w:szCs w:val="28"/>
              </w:rPr>
            </w:pPr>
            <w:r>
              <w:rPr>
                <w:rFonts w:ascii="仿宋" w:hAnsi="仿宋" w:cs="仿宋_GB2312"/>
                <w:b/>
                <w:bCs/>
                <w:kern w:val="0"/>
                <w:szCs w:val="28"/>
              </w:rPr>
              <w:t>2.无障碍设施改造：</w:t>
            </w:r>
            <w:r>
              <w:rPr>
                <w:rFonts w:hint="eastAsia" w:ascii="仿宋" w:hAnsi="仿宋" w:cs="仿宋_GB2312"/>
                <w:kern w:val="0"/>
                <w:szCs w:val="28"/>
              </w:rPr>
              <w:t>全市基本完成城市主要道路、广场、公园、机场、公共交通场站等重点公共服务场所以及养老机构、残疾人特殊服务建筑、各类服务窗口、医疗康复建筑和机关办公、教育、体育、文化、金融、通信、旅游等重要公共建筑的无障碍设施改造提升。</w:t>
            </w:r>
          </w:p>
          <w:p w14:paraId="6B0721DE">
            <w:pPr>
              <w:snapToGrid w:val="0"/>
              <w:spacing w:line="288" w:lineRule="auto"/>
              <w:ind w:firstLine="562"/>
              <w:rPr>
                <w:rFonts w:ascii="黑体" w:hAnsi="黑体" w:eastAsia="黑体" w:cs="黑体"/>
                <w:kern w:val="0"/>
                <w:szCs w:val="28"/>
              </w:rPr>
            </w:pPr>
            <w:r>
              <w:rPr>
                <w:rFonts w:ascii="仿宋" w:hAnsi="仿宋" w:cs="仿宋_GB2312"/>
                <w:b/>
                <w:bCs/>
                <w:kern w:val="0"/>
                <w:szCs w:val="28"/>
              </w:rPr>
              <w:t>3.无障碍改造示范：</w:t>
            </w:r>
            <w:r>
              <w:rPr>
                <w:rFonts w:hint="eastAsia" w:ascii="仿宋" w:hAnsi="仿宋" w:cs="仿宋_GB2312"/>
                <w:kern w:val="0"/>
                <w:szCs w:val="28"/>
              </w:rPr>
              <w:t>在城市道路、广场公园、公共建筑、公共交通场站、公共停车场、居住区和居住建筑、历史文物保护建筑(需文物部门审批)等七类场所各打造不少于</w:t>
            </w:r>
            <w:r>
              <w:rPr>
                <w:rFonts w:ascii="仿宋" w:hAnsi="仿宋" w:cs="仿宋_GB2312"/>
                <w:kern w:val="0"/>
                <w:szCs w:val="28"/>
              </w:rPr>
              <w:t>1个示范样板，以点带面形成整体效应。</w:t>
            </w:r>
          </w:p>
        </w:tc>
      </w:tr>
      <w:bookmarkEnd w:id="423"/>
    </w:tbl>
    <w:p w14:paraId="1F1DB136">
      <w:pPr>
        <w:snapToGrid w:val="0"/>
        <w:spacing w:line="540" w:lineRule="exact"/>
        <w:ind w:firstLine="643"/>
        <w:outlineLvl w:val="2"/>
        <w:rPr>
          <w:rFonts w:ascii="楷体" w:hAnsi="楷体" w:eastAsia="楷体"/>
          <w:b/>
          <w:bCs/>
          <w:kern w:val="0"/>
          <w:sz w:val="32"/>
          <w:szCs w:val="32"/>
        </w:rPr>
      </w:pPr>
      <w:bookmarkStart w:id="424" w:name="_Toc63077475"/>
      <w:bookmarkStart w:id="425" w:name="_Toc62163285"/>
      <w:bookmarkStart w:id="426" w:name="_Toc62176697"/>
      <w:bookmarkStart w:id="427" w:name="_Toc7350"/>
      <w:bookmarkStart w:id="428" w:name="_Toc29548"/>
      <w:bookmarkStart w:id="429" w:name="_Toc22900"/>
      <w:bookmarkStart w:id="430" w:name="_Toc10715"/>
      <w:bookmarkStart w:id="431" w:name="_Toc62175658"/>
      <w:bookmarkStart w:id="432" w:name="_Toc15832"/>
      <w:bookmarkStart w:id="433" w:name="_Toc28186"/>
      <w:r>
        <w:rPr>
          <w:rFonts w:hint="eastAsia" w:ascii="楷体" w:hAnsi="楷体" w:eastAsia="楷体"/>
          <w:b/>
          <w:bCs/>
          <w:kern w:val="0"/>
          <w:sz w:val="32"/>
          <w:szCs w:val="32"/>
        </w:rPr>
        <w:t>（六）市容市貌整治提升</w:t>
      </w:r>
      <w:bookmarkEnd w:id="424"/>
      <w:bookmarkEnd w:id="425"/>
      <w:bookmarkEnd w:id="426"/>
      <w:bookmarkEnd w:id="427"/>
      <w:bookmarkEnd w:id="428"/>
      <w:bookmarkEnd w:id="429"/>
      <w:bookmarkEnd w:id="430"/>
      <w:bookmarkEnd w:id="431"/>
      <w:bookmarkEnd w:id="432"/>
      <w:bookmarkEnd w:id="433"/>
    </w:p>
    <w:p w14:paraId="27937A99">
      <w:pPr>
        <w:spacing w:line="540" w:lineRule="exact"/>
        <w:ind w:firstLine="640"/>
        <w:rPr>
          <w:rFonts w:ascii="仿宋" w:hAnsi="仿宋"/>
          <w:kern w:val="0"/>
          <w:sz w:val="32"/>
          <w:szCs w:val="32"/>
        </w:rPr>
      </w:pPr>
      <w:r>
        <w:rPr>
          <w:rFonts w:hint="eastAsia" w:ascii="仿宋" w:hAnsi="仿宋"/>
          <w:kern w:val="0"/>
          <w:sz w:val="32"/>
          <w:szCs w:val="32"/>
        </w:rPr>
        <w:t>制定并落实城市市政设施行业精细化管理细则，实行定人定岗定责，对包括路面、路沿石、绿化带、井盖、排水排污、路灯等一揽子市政设施实行无缝化对接、人本化管理，大幅提升市政设施完好率。持续常态化开展中心城区城市道路破损修复专项整治，深入精细化管理，推进养护工作市场化，保障市政道路设施完好率。开展人行道净化</w:t>
      </w:r>
      <w:r>
        <w:rPr>
          <w:rFonts w:hint="eastAsia" w:ascii="仿宋_GB2312" w:hAnsi="仿宋_GB2312" w:eastAsia="仿宋_GB2312" w:cs="仿宋_GB2312"/>
          <w:sz w:val="31"/>
          <w:szCs w:val="31"/>
        </w:rPr>
        <w:t>、窨井盖治理</w:t>
      </w:r>
      <w:r>
        <w:rPr>
          <w:rFonts w:hint="eastAsia" w:ascii="仿宋" w:hAnsi="仿宋"/>
          <w:kern w:val="0"/>
          <w:sz w:val="32"/>
          <w:szCs w:val="32"/>
        </w:rPr>
        <w:t>、道路平整度提升专项行动，实施城区主次干道杆线、箱柜专项清理，有序推进村庄杆线规整，引导合理共杆。加强城乡结合部、城中村等环境薄弱区市容环境治理、公共空间秩序管理等，打造一批精品示范街区。开展市区内沟河集中专项治理，全面改善内沟河水环境。启动《泉州市（主要建成区）户外广告规划》修编工作，打造一批户外广告精品街，并逐步向市区其他街路推进。到</w:t>
      </w:r>
      <w:r>
        <w:rPr>
          <w:rFonts w:ascii="仿宋" w:hAnsi="仿宋"/>
          <w:kern w:val="0"/>
          <w:sz w:val="32"/>
          <w:szCs w:val="32"/>
        </w:rPr>
        <w:t>2025</w:t>
      </w:r>
      <w:r>
        <w:rPr>
          <w:rFonts w:hint="eastAsia" w:ascii="仿宋" w:hAnsi="仿宋"/>
          <w:kern w:val="0"/>
          <w:sz w:val="32"/>
          <w:szCs w:val="32"/>
        </w:rPr>
        <w:t>年，基本消除“脏、乱、差”，市容市貌管理全面提档升级，</w:t>
      </w:r>
      <w:r>
        <w:rPr>
          <w:rFonts w:ascii="仿宋" w:hAnsi="仿宋"/>
          <w:kern w:val="0"/>
          <w:sz w:val="32"/>
          <w:szCs w:val="32"/>
        </w:rPr>
        <w:t>环境更加干净、整洁、有序</w:t>
      </w:r>
      <w:r>
        <w:rPr>
          <w:rFonts w:hint="eastAsia" w:ascii="仿宋" w:hAnsi="仿宋"/>
          <w:kern w:val="0"/>
          <w:sz w:val="32"/>
          <w:szCs w:val="32"/>
        </w:rPr>
        <w:t>。</w:t>
      </w:r>
    </w:p>
    <w:p w14:paraId="2F0D0D5D">
      <w:pPr>
        <w:pStyle w:val="3"/>
        <w:snapToGrid w:val="0"/>
        <w:spacing w:line="540" w:lineRule="exact"/>
        <w:ind w:firstLine="643" w:firstLineChars="200"/>
        <w:rPr>
          <w:rFonts w:ascii="黑体" w:hAnsi="黑体" w:eastAsia="黑体"/>
          <w:kern w:val="0"/>
          <w:sz w:val="32"/>
        </w:rPr>
      </w:pPr>
      <w:bookmarkStart w:id="434" w:name="_Toc5458"/>
      <w:bookmarkStart w:id="435" w:name="_Toc14304"/>
      <w:bookmarkStart w:id="436" w:name="_Toc15874"/>
      <w:bookmarkStart w:id="437" w:name="_Toc15638"/>
      <w:bookmarkStart w:id="438" w:name="_Toc21400"/>
      <w:r>
        <w:rPr>
          <w:rFonts w:hint="eastAsia" w:ascii="黑体" w:hAnsi="黑体" w:eastAsia="黑体"/>
          <w:kern w:val="0"/>
          <w:sz w:val="32"/>
        </w:rPr>
        <w:t>十一、投资估算与重点项目谋划</w:t>
      </w:r>
      <w:bookmarkEnd w:id="434"/>
      <w:bookmarkEnd w:id="435"/>
      <w:bookmarkEnd w:id="436"/>
      <w:bookmarkEnd w:id="437"/>
      <w:bookmarkEnd w:id="438"/>
    </w:p>
    <w:p w14:paraId="47E26840">
      <w:pPr>
        <w:snapToGrid w:val="0"/>
        <w:spacing w:line="540" w:lineRule="exact"/>
        <w:ind w:firstLine="643"/>
        <w:outlineLvl w:val="2"/>
        <w:rPr>
          <w:rFonts w:ascii="楷体" w:hAnsi="楷体" w:eastAsia="楷体"/>
          <w:b/>
          <w:bCs/>
          <w:kern w:val="0"/>
          <w:sz w:val="32"/>
          <w:szCs w:val="32"/>
        </w:rPr>
      </w:pPr>
      <w:bookmarkStart w:id="439" w:name="_Toc12444"/>
      <w:bookmarkStart w:id="440" w:name="_Toc31869"/>
      <w:bookmarkStart w:id="441" w:name="_Toc7920"/>
      <w:bookmarkStart w:id="442" w:name="_Toc31179"/>
      <w:bookmarkStart w:id="443" w:name="_Toc13488"/>
      <w:r>
        <w:rPr>
          <w:rFonts w:hint="eastAsia" w:ascii="楷体" w:hAnsi="楷体" w:eastAsia="楷体"/>
          <w:b/>
          <w:bCs/>
          <w:kern w:val="0"/>
          <w:sz w:val="32"/>
          <w:szCs w:val="32"/>
        </w:rPr>
        <w:t>（一）“十四五”投资估算</w:t>
      </w:r>
      <w:bookmarkEnd w:id="439"/>
      <w:bookmarkEnd w:id="440"/>
      <w:bookmarkEnd w:id="441"/>
      <w:bookmarkEnd w:id="442"/>
      <w:bookmarkEnd w:id="443"/>
    </w:p>
    <w:p w14:paraId="0CF0EA92">
      <w:pPr>
        <w:snapToGrid w:val="0"/>
        <w:spacing w:line="540" w:lineRule="exact"/>
        <w:ind w:firstLine="640"/>
        <w:rPr>
          <w:rFonts w:ascii="仿宋" w:hAnsi="仿宋"/>
          <w:kern w:val="0"/>
          <w:sz w:val="32"/>
          <w:szCs w:val="32"/>
        </w:rPr>
      </w:pPr>
      <w:r>
        <w:rPr>
          <w:rFonts w:hint="eastAsia" w:ascii="仿宋" w:hAnsi="仿宋"/>
          <w:kern w:val="0"/>
          <w:sz w:val="32"/>
          <w:szCs w:val="32"/>
        </w:rPr>
        <w:t>“十四五”期间，全市城乡基础设施建设项目规划711</w:t>
      </w:r>
      <w:r>
        <w:rPr>
          <w:rFonts w:ascii="仿宋" w:hAnsi="仿宋"/>
          <w:kern w:val="0"/>
          <w:sz w:val="32"/>
          <w:szCs w:val="32"/>
        </w:rPr>
        <w:t>个，总投资约</w:t>
      </w:r>
      <w:r>
        <w:rPr>
          <w:rFonts w:hint="eastAsia" w:ascii="仿宋" w:hAnsi="仿宋"/>
          <w:kern w:val="0"/>
          <w:sz w:val="32"/>
          <w:szCs w:val="32"/>
        </w:rPr>
        <w:t>4747</w:t>
      </w:r>
      <w:r>
        <w:rPr>
          <w:rFonts w:ascii="仿宋" w:hAnsi="仿宋"/>
          <w:kern w:val="0"/>
          <w:sz w:val="32"/>
          <w:szCs w:val="32"/>
        </w:rPr>
        <w:t>亿元（含片区更新</w:t>
      </w:r>
      <w:r>
        <w:rPr>
          <w:rFonts w:hint="eastAsia" w:ascii="仿宋" w:hAnsi="仿宋"/>
          <w:kern w:val="0"/>
          <w:sz w:val="32"/>
          <w:szCs w:val="32"/>
        </w:rPr>
        <w:t>2203</w:t>
      </w:r>
      <w:r>
        <w:rPr>
          <w:rFonts w:ascii="仿宋" w:hAnsi="仿宋"/>
          <w:kern w:val="0"/>
          <w:sz w:val="32"/>
          <w:szCs w:val="32"/>
        </w:rPr>
        <w:t>亿元）</w:t>
      </w:r>
      <w:r>
        <w:rPr>
          <w:rFonts w:hint="eastAsia" w:ascii="仿宋" w:hAnsi="仿宋"/>
          <w:kern w:val="0"/>
          <w:sz w:val="32"/>
          <w:szCs w:val="32"/>
        </w:rPr>
        <w:t>，其中“十四五”新续建项目规划459个，总投资约1897亿元（不含片区更新），</w:t>
      </w:r>
      <w:r>
        <w:rPr>
          <w:rFonts w:ascii="仿宋" w:hAnsi="仿宋"/>
          <w:kern w:val="0"/>
          <w:sz w:val="32"/>
          <w:szCs w:val="32"/>
        </w:rPr>
        <w:t>比</w:t>
      </w:r>
      <w:r>
        <w:rPr>
          <w:rFonts w:hint="eastAsia" w:ascii="仿宋" w:hAnsi="仿宋"/>
          <w:kern w:val="0"/>
          <w:sz w:val="32"/>
          <w:szCs w:val="32"/>
        </w:rPr>
        <w:t>“十三五”</w:t>
      </w:r>
      <w:r>
        <w:rPr>
          <w:rFonts w:ascii="仿宋" w:hAnsi="仿宋"/>
          <w:kern w:val="0"/>
          <w:sz w:val="32"/>
          <w:szCs w:val="32"/>
        </w:rPr>
        <w:t>投资增长约</w:t>
      </w:r>
      <w:r>
        <w:rPr>
          <w:rFonts w:hint="eastAsia" w:ascii="仿宋" w:hAnsi="仿宋"/>
          <w:kern w:val="0"/>
          <w:sz w:val="32"/>
          <w:szCs w:val="32"/>
        </w:rPr>
        <w:t>25</w:t>
      </w:r>
      <w:r>
        <w:rPr>
          <w:rFonts w:ascii="仿宋" w:hAnsi="仿宋"/>
          <w:kern w:val="0"/>
          <w:sz w:val="32"/>
          <w:szCs w:val="32"/>
        </w:rPr>
        <w:t>%</w:t>
      </w:r>
      <w:r>
        <w:rPr>
          <w:rFonts w:hint="eastAsia" w:ascii="仿宋" w:hAnsi="仿宋"/>
          <w:kern w:val="0"/>
          <w:sz w:val="32"/>
          <w:szCs w:val="32"/>
        </w:rPr>
        <w:t>。</w:t>
      </w:r>
      <w:r>
        <w:rPr>
          <w:rFonts w:ascii="仿宋" w:hAnsi="仿宋"/>
          <w:kern w:val="0"/>
          <w:sz w:val="32"/>
          <w:szCs w:val="32"/>
        </w:rPr>
        <w:t>市本级新续建项目</w:t>
      </w:r>
      <w:r>
        <w:rPr>
          <w:rFonts w:hint="eastAsia" w:ascii="仿宋" w:hAnsi="仿宋"/>
          <w:kern w:val="0"/>
          <w:sz w:val="32"/>
          <w:szCs w:val="32"/>
        </w:rPr>
        <w:t>286个，总投资约3142</w:t>
      </w:r>
      <w:r>
        <w:rPr>
          <w:rFonts w:ascii="仿宋" w:hAnsi="仿宋"/>
          <w:kern w:val="0"/>
          <w:sz w:val="32"/>
          <w:szCs w:val="32"/>
        </w:rPr>
        <w:t>亿元</w:t>
      </w:r>
      <w:r>
        <w:rPr>
          <w:rFonts w:hint="eastAsia" w:ascii="仿宋" w:hAnsi="仿宋"/>
          <w:kern w:val="0"/>
          <w:sz w:val="32"/>
          <w:szCs w:val="32"/>
        </w:rPr>
        <w:t>，“十四五”投资2318亿元，</w:t>
      </w:r>
      <w:r>
        <w:rPr>
          <w:rFonts w:ascii="仿宋" w:hAnsi="仿宋"/>
          <w:kern w:val="0"/>
          <w:sz w:val="32"/>
          <w:szCs w:val="32"/>
        </w:rPr>
        <w:t>谋划</w:t>
      </w:r>
      <w:r>
        <w:rPr>
          <w:rFonts w:hint="eastAsia" w:ascii="仿宋" w:hAnsi="仿宋"/>
          <w:kern w:val="0"/>
          <w:sz w:val="32"/>
          <w:szCs w:val="32"/>
        </w:rPr>
        <w:t>启动前期并</w:t>
      </w:r>
      <w:r>
        <w:rPr>
          <w:rFonts w:ascii="仿宋" w:hAnsi="仿宋"/>
          <w:kern w:val="0"/>
          <w:sz w:val="32"/>
          <w:szCs w:val="32"/>
        </w:rPr>
        <w:t>适时启动建设</w:t>
      </w:r>
      <w:r>
        <w:rPr>
          <w:rFonts w:hint="eastAsia" w:ascii="仿宋" w:hAnsi="仿宋"/>
          <w:kern w:val="0"/>
          <w:sz w:val="32"/>
          <w:szCs w:val="32"/>
        </w:rPr>
        <w:t>项目117</w:t>
      </w:r>
      <w:r>
        <w:rPr>
          <w:rFonts w:ascii="仿宋" w:hAnsi="仿宋"/>
          <w:kern w:val="0"/>
          <w:sz w:val="32"/>
          <w:szCs w:val="32"/>
        </w:rPr>
        <w:t>个；其他各</w:t>
      </w:r>
      <w:r>
        <w:rPr>
          <w:rFonts w:hint="eastAsia" w:ascii="仿宋" w:hAnsi="仿宋"/>
          <w:kern w:val="0"/>
          <w:sz w:val="32"/>
          <w:szCs w:val="32"/>
        </w:rPr>
        <w:t>县（市、区）</w:t>
      </w:r>
      <w:r>
        <w:rPr>
          <w:rFonts w:ascii="仿宋" w:hAnsi="仿宋"/>
          <w:kern w:val="0"/>
          <w:sz w:val="32"/>
          <w:szCs w:val="32"/>
        </w:rPr>
        <w:t>新续建项目</w:t>
      </w:r>
      <w:r>
        <w:rPr>
          <w:rFonts w:hint="eastAsia" w:ascii="仿宋" w:hAnsi="仿宋"/>
          <w:kern w:val="0"/>
          <w:sz w:val="32"/>
          <w:szCs w:val="32"/>
        </w:rPr>
        <w:t>277</w:t>
      </w:r>
      <w:r>
        <w:rPr>
          <w:rFonts w:ascii="仿宋" w:hAnsi="仿宋"/>
          <w:kern w:val="0"/>
          <w:sz w:val="32"/>
          <w:szCs w:val="32"/>
        </w:rPr>
        <w:t>个，总投资约1</w:t>
      </w:r>
      <w:r>
        <w:rPr>
          <w:rFonts w:hint="eastAsia" w:ascii="仿宋" w:hAnsi="仿宋"/>
          <w:kern w:val="0"/>
          <w:sz w:val="32"/>
          <w:szCs w:val="32"/>
        </w:rPr>
        <w:t>605</w:t>
      </w:r>
      <w:r>
        <w:rPr>
          <w:rFonts w:ascii="仿宋" w:hAnsi="仿宋"/>
          <w:kern w:val="0"/>
          <w:sz w:val="32"/>
          <w:szCs w:val="32"/>
        </w:rPr>
        <w:t>亿元</w:t>
      </w:r>
      <w:r>
        <w:rPr>
          <w:rFonts w:hint="eastAsia" w:ascii="仿宋" w:hAnsi="仿宋"/>
          <w:kern w:val="0"/>
          <w:sz w:val="32"/>
          <w:szCs w:val="32"/>
        </w:rPr>
        <w:t>，“十四五”投资14</w:t>
      </w:r>
      <w:r>
        <w:rPr>
          <w:rFonts w:ascii="仿宋" w:hAnsi="仿宋"/>
          <w:kern w:val="0"/>
          <w:sz w:val="32"/>
          <w:szCs w:val="32"/>
        </w:rPr>
        <w:t>8</w:t>
      </w:r>
      <w:r>
        <w:rPr>
          <w:rFonts w:hint="eastAsia" w:ascii="仿宋" w:hAnsi="仿宋"/>
          <w:kern w:val="0"/>
          <w:sz w:val="32"/>
          <w:szCs w:val="32"/>
        </w:rPr>
        <w:t>7亿元，谋划启动前期并适时启动建设项目31个</w:t>
      </w:r>
      <w:r>
        <w:rPr>
          <w:rFonts w:ascii="仿宋" w:hAnsi="仿宋"/>
          <w:kern w:val="0"/>
          <w:sz w:val="32"/>
          <w:szCs w:val="32"/>
        </w:rPr>
        <w:t>。</w:t>
      </w:r>
    </w:p>
    <w:p w14:paraId="0E72CFF8">
      <w:pPr>
        <w:spacing w:line="540" w:lineRule="exact"/>
        <w:ind w:firstLine="643"/>
        <w:rPr>
          <w:rFonts w:ascii="仿宋" w:hAnsi="仿宋"/>
          <w:kern w:val="0"/>
          <w:sz w:val="32"/>
          <w:szCs w:val="32"/>
        </w:rPr>
      </w:pPr>
      <w:r>
        <w:rPr>
          <w:rFonts w:hint="eastAsia" w:ascii="仿宋" w:hAnsi="仿宋"/>
          <w:b/>
          <w:sz w:val="32"/>
          <w:szCs w:val="32"/>
        </w:rPr>
        <w:t>交通设施</w:t>
      </w:r>
      <w:r>
        <w:rPr>
          <w:rFonts w:ascii="仿宋" w:hAnsi="仿宋"/>
          <w:b/>
          <w:sz w:val="32"/>
          <w:szCs w:val="32"/>
        </w:rPr>
        <w:t>提升</w:t>
      </w:r>
      <w:r>
        <w:rPr>
          <w:rFonts w:hint="eastAsia" w:ascii="仿宋" w:hAnsi="仿宋"/>
          <w:b/>
          <w:sz w:val="32"/>
          <w:szCs w:val="32"/>
        </w:rPr>
        <w:t>项目。</w:t>
      </w:r>
      <w:r>
        <w:rPr>
          <w:rFonts w:hint="eastAsia" w:ascii="仿宋" w:hAnsi="仿宋"/>
          <w:kern w:val="0"/>
          <w:sz w:val="32"/>
          <w:szCs w:val="32"/>
        </w:rPr>
        <w:t>轨道交通、高快速路、主干道、次支路、交通枢纽及配套、慢行系统、停车设施、交通整治提升等交通项目</w:t>
      </w:r>
      <w:r>
        <w:rPr>
          <w:rFonts w:ascii="仿宋" w:hAnsi="仿宋"/>
          <w:kern w:val="0"/>
          <w:sz w:val="32"/>
          <w:szCs w:val="32"/>
        </w:rPr>
        <w:t>23</w:t>
      </w:r>
      <w:r>
        <w:rPr>
          <w:rFonts w:hint="eastAsia" w:ascii="仿宋" w:hAnsi="仿宋"/>
          <w:kern w:val="0"/>
          <w:sz w:val="32"/>
          <w:szCs w:val="32"/>
        </w:rPr>
        <w:t>5</w:t>
      </w:r>
      <w:r>
        <w:rPr>
          <w:rFonts w:ascii="仿宋" w:hAnsi="仿宋"/>
          <w:kern w:val="0"/>
          <w:sz w:val="32"/>
          <w:szCs w:val="32"/>
        </w:rPr>
        <w:t>个</w:t>
      </w:r>
      <w:r>
        <w:rPr>
          <w:rFonts w:hint="eastAsia" w:ascii="仿宋" w:hAnsi="仿宋"/>
          <w:kern w:val="0"/>
          <w:sz w:val="32"/>
          <w:szCs w:val="32"/>
        </w:rPr>
        <w:t>，</w:t>
      </w:r>
      <w:r>
        <w:rPr>
          <w:rFonts w:ascii="仿宋" w:hAnsi="仿宋"/>
          <w:kern w:val="0"/>
          <w:sz w:val="32"/>
          <w:szCs w:val="32"/>
        </w:rPr>
        <w:t>其</w:t>
      </w:r>
      <w:r>
        <w:rPr>
          <w:rFonts w:hint="eastAsia" w:ascii="仿宋" w:hAnsi="仿宋"/>
          <w:kern w:val="0"/>
          <w:sz w:val="32"/>
          <w:szCs w:val="32"/>
        </w:rPr>
        <w:t>中</w:t>
      </w:r>
      <w:r>
        <w:rPr>
          <w:rFonts w:ascii="仿宋" w:hAnsi="仿宋"/>
          <w:kern w:val="0"/>
          <w:sz w:val="32"/>
          <w:szCs w:val="32"/>
        </w:rPr>
        <w:t>市本级</w:t>
      </w:r>
      <w:r>
        <w:rPr>
          <w:rFonts w:hint="eastAsia" w:ascii="仿宋" w:hAnsi="仿宋"/>
          <w:kern w:val="0"/>
          <w:sz w:val="32"/>
          <w:szCs w:val="32"/>
        </w:rPr>
        <w:t>新续建项目94</w:t>
      </w:r>
      <w:r>
        <w:rPr>
          <w:rFonts w:ascii="仿宋" w:hAnsi="仿宋"/>
          <w:kern w:val="0"/>
          <w:sz w:val="32"/>
          <w:szCs w:val="32"/>
        </w:rPr>
        <w:t>个，总投资约10</w:t>
      </w:r>
      <w:r>
        <w:rPr>
          <w:rFonts w:hint="eastAsia" w:ascii="仿宋" w:hAnsi="仿宋"/>
          <w:kern w:val="0"/>
          <w:sz w:val="32"/>
          <w:szCs w:val="32"/>
        </w:rPr>
        <w:t>11</w:t>
      </w:r>
      <w:r>
        <w:rPr>
          <w:rFonts w:ascii="仿宋" w:hAnsi="仿宋"/>
          <w:kern w:val="0"/>
          <w:sz w:val="32"/>
          <w:szCs w:val="32"/>
        </w:rPr>
        <w:t>亿元，</w:t>
      </w:r>
      <w:r>
        <w:rPr>
          <w:rFonts w:hint="eastAsia" w:ascii="仿宋" w:hAnsi="仿宋"/>
          <w:kern w:val="0"/>
          <w:sz w:val="32"/>
          <w:szCs w:val="32"/>
        </w:rPr>
        <w:t>“十四五”投资</w:t>
      </w:r>
      <w:r>
        <w:rPr>
          <w:rFonts w:ascii="仿宋" w:hAnsi="仿宋"/>
          <w:kern w:val="0"/>
          <w:sz w:val="32"/>
          <w:szCs w:val="32"/>
        </w:rPr>
        <w:t>6</w:t>
      </w:r>
      <w:r>
        <w:rPr>
          <w:rFonts w:hint="eastAsia" w:ascii="仿宋" w:hAnsi="仿宋"/>
          <w:kern w:val="0"/>
          <w:sz w:val="32"/>
          <w:szCs w:val="32"/>
        </w:rPr>
        <w:t>05亿元，</w:t>
      </w:r>
      <w:r>
        <w:rPr>
          <w:rFonts w:ascii="仿宋" w:hAnsi="仿宋"/>
          <w:kern w:val="0"/>
          <w:sz w:val="32"/>
          <w:szCs w:val="32"/>
        </w:rPr>
        <w:t>谋划适时建设</w:t>
      </w:r>
      <w:r>
        <w:rPr>
          <w:rFonts w:hint="eastAsia" w:ascii="仿宋" w:hAnsi="仿宋"/>
          <w:kern w:val="0"/>
          <w:sz w:val="32"/>
          <w:szCs w:val="32"/>
        </w:rPr>
        <w:t>项目40</w:t>
      </w:r>
      <w:r>
        <w:rPr>
          <w:rFonts w:ascii="仿宋" w:hAnsi="仿宋"/>
          <w:kern w:val="0"/>
          <w:sz w:val="32"/>
          <w:szCs w:val="32"/>
        </w:rPr>
        <w:t>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88</w:t>
      </w:r>
      <w:r>
        <w:rPr>
          <w:rFonts w:ascii="仿宋" w:hAnsi="仿宋"/>
          <w:kern w:val="0"/>
          <w:sz w:val="32"/>
          <w:szCs w:val="32"/>
        </w:rPr>
        <w:t>个，总投资约7</w:t>
      </w:r>
      <w:r>
        <w:rPr>
          <w:rFonts w:hint="eastAsia" w:ascii="仿宋" w:hAnsi="仿宋"/>
          <w:kern w:val="0"/>
          <w:sz w:val="32"/>
          <w:szCs w:val="32"/>
        </w:rPr>
        <w:t>13</w:t>
      </w:r>
      <w:r>
        <w:rPr>
          <w:rFonts w:ascii="仿宋" w:hAnsi="仿宋"/>
          <w:kern w:val="0"/>
          <w:sz w:val="32"/>
          <w:szCs w:val="32"/>
        </w:rPr>
        <w:t>亿元</w:t>
      </w:r>
      <w:r>
        <w:rPr>
          <w:rFonts w:hint="eastAsia" w:ascii="仿宋" w:hAnsi="仿宋"/>
          <w:kern w:val="0"/>
          <w:sz w:val="32"/>
          <w:szCs w:val="32"/>
        </w:rPr>
        <w:t>，“十四五”投资6</w:t>
      </w:r>
      <w:r>
        <w:rPr>
          <w:rFonts w:ascii="仿宋" w:hAnsi="仿宋"/>
          <w:kern w:val="0"/>
          <w:sz w:val="32"/>
          <w:szCs w:val="32"/>
        </w:rPr>
        <w:t>5</w:t>
      </w:r>
      <w:r>
        <w:rPr>
          <w:rFonts w:hint="eastAsia" w:ascii="仿宋" w:hAnsi="仿宋"/>
          <w:kern w:val="0"/>
          <w:sz w:val="32"/>
          <w:szCs w:val="32"/>
        </w:rPr>
        <w:t>2亿元，</w:t>
      </w:r>
      <w:r>
        <w:rPr>
          <w:rFonts w:ascii="仿宋" w:hAnsi="仿宋"/>
          <w:kern w:val="0"/>
          <w:sz w:val="32"/>
          <w:szCs w:val="32"/>
        </w:rPr>
        <w:t>谋划适时建设</w:t>
      </w:r>
      <w:r>
        <w:rPr>
          <w:rFonts w:hint="eastAsia" w:ascii="仿宋" w:hAnsi="仿宋"/>
          <w:kern w:val="0"/>
          <w:sz w:val="32"/>
          <w:szCs w:val="32"/>
        </w:rPr>
        <w:t>项目13</w:t>
      </w:r>
      <w:r>
        <w:rPr>
          <w:rFonts w:ascii="仿宋" w:hAnsi="仿宋"/>
          <w:kern w:val="0"/>
          <w:sz w:val="32"/>
          <w:szCs w:val="32"/>
        </w:rPr>
        <w:t>个。</w:t>
      </w:r>
    </w:p>
    <w:p w14:paraId="5E3F4010">
      <w:pPr>
        <w:spacing w:line="540" w:lineRule="exact"/>
        <w:ind w:firstLine="643"/>
        <w:rPr>
          <w:rFonts w:ascii="仿宋" w:hAnsi="仿宋"/>
          <w:sz w:val="32"/>
        </w:rPr>
      </w:pPr>
      <w:r>
        <w:rPr>
          <w:rFonts w:hint="eastAsia" w:ascii="仿宋" w:hAnsi="仿宋"/>
          <w:b/>
          <w:sz w:val="32"/>
          <w:szCs w:val="32"/>
        </w:rPr>
        <w:t>园林绿化</w:t>
      </w:r>
      <w:r>
        <w:rPr>
          <w:rFonts w:ascii="仿宋" w:hAnsi="仿宋"/>
          <w:b/>
          <w:sz w:val="32"/>
          <w:szCs w:val="32"/>
        </w:rPr>
        <w:t>提升</w:t>
      </w:r>
      <w:r>
        <w:rPr>
          <w:rFonts w:hint="eastAsia" w:ascii="仿宋" w:hAnsi="仿宋"/>
          <w:b/>
          <w:sz w:val="32"/>
          <w:szCs w:val="32"/>
        </w:rPr>
        <w:t>项目。</w:t>
      </w:r>
      <w:r>
        <w:rPr>
          <w:rFonts w:hint="eastAsia" w:ascii="仿宋" w:hAnsi="仿宋"/>
          <w:kern w:val="0"/>
          <w:sz w:val="32"/>
          <w:szCs w:val="32"/>
        </w:rPr>
        <w:t>植物园、郊野公园、城市公园、生态连绵带、城市景观连绵带、生态长廊、福道等项目</w:t>
      </w:r>
      <w:r>
        <w:rPr>
          <w:rFonts w:ascii="仿宋" w:hAnsi="仿宋"/>
          <w:kern w:val="0"/>
          <w:sz w:val="32"/>
          <w:szCs w:val="32"/>
        </w:rPr>
        <w:t>1</w:t>
      </w:r>
      <w:r>
        <w:rPr>
          <w:rFonts w:hint="eastAsia" w:ascii="仿宋" w:hAnsi="仿宋"/>
          <w:kern w:val="0"/>
          <w:sz w:val="32"/>
          <w:szCs w:val="32"/>
        </w:rPr>
        <w:t>33</w:t>
      </w:r>
      <w:r>
        <w:rPr>
          <w:rFonts w:ascii="仿宋" w:hAnsi="仿宋"/>
          <w:kern w:val="0"/>
          <w:sz w:val="32"/>
          <w:szCs w:val="32"/>
        </w:rPr>
        <w:t>个，其中市本级新续建项目</w:t>
      </w:r>
      <w:r>
        <w:rPr>
          <w:rFonts w:hint="eastAsia" w:ascii="仿宋" w:hAnsi="仿宋"/>
          <w:kern w:val="0"/>
          <w:sz w:val="32"/>
          <w:szCs w:val="32"/>
        </w:rPr>
        <w:t>56</w:t>
      </w:r>
      <w:r>
        <w:rPr>
          <w:rFonts w:ascii="仿宋" w:hAnsi="仿宋"/>
          <w:kern w:val="0"/>
          <w:sz w:val="32"/>
          <w:szCs w:val="32"/>
        </w:rPr>
        <w:t>个，总投资约</w:t>
      </w:r>
      <w:r>
        <w:rPr>
          <w:rFonts w:hint="eastAsia" w:ascii="仿宋" w:hAnsi="仿宋"/>
          <w:kern w:val="0"/>
          <w:sz w:val="32"/>
          <w:szCs w:val="32"/>
        </w:rPr>
        <w:t>273</w:t>
      </w:r>
      <w:r>
        <w:rPr>
          <w:rFonts w:ascii="仿宋" w:hAnsi="仿宋"/>
          <w:kern w:val="0"/>
          <w:sz w:val="32"/>
          <w:szCs w:val="32"/>
        </w:rPr>
        <w:t>亿元，</w:t>
      </w:r>
      <w:r>
        <w:rPr>
          <w:rFonts w:hint="eastAsia" w:ascii="仿宋" w:hAnsi="仿宋"/>
          <w:kern w:val="0"/>
          <w:sz w:val="32"/>
          <w:szCs w:val="32"/>
        </w:rPr>
        <w:t>“十四五”投资211亿元，</w:t>
      </w:r>
      <w:r>
        <w:rPr>
          <w:rFonts w:ascii="仿宋" w:hAnsi="仿宋"/>
          <w:kern w:val="0"/>
          <w:sz w:val="32"/>
          <w:szCs w:val="32"/>
        </w:rPr>
        <w:t>谋划适时建设</w:t>
      </w:r>
      <w:r>
        <w:rPr>
          <w:rFonts w:hint="eastAsia" w:ascii="仿宋" w:hAnsi="仿宋"/>
          <w:kern w:val="0"/>
          <w:sz w:val="32"/>
          <w:szCs w:val="32"/>
        </w:rPr>
        <w:t>项目28</w:t>
      </w:r>
      <w:r>
        <w:rPr>
          <w:rFonts w:ascii="仿宋" w:hAnsi="仿宋"/>
          <w:kern w:val="0"/>
          <w:sz w:val="32"/>
          <w:szCs w:val="32"/>
        </w:rPr>
        <w:t>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46</w:t>
      </w:r>
      <w:r>
        <w:rPr>
          <w:rFonts w:ascii="仿宋" w:hAnsi="仿宋"/>
          <w:kern w:val="0"/>
          <w:sz w:val="32"/>
          <w:szCs w:val="32"/>
        </w:rPr>
        <w:t>个，总投资约</w:t>
      </w:r>
      <w:r>
        <w:rPr>
          <w:rFonts w:hint="eastAsia" w:ascii="仿宋" w:hAnsi="仿宋"/>
          <w:kern w:val="0"/>
          <w:sz w:val="32"/>
          <w:szCs w:val="32"/>
        </w:rPr>
        <w:t>58</w:t>
      </w:r>
      <w:r>
        <w:rPr>
          <w:rFonts w:ascii="仿宋" w:hAnsi="仿宋"/>
          <w:kern w:val="0"/>
          <w:sz w:val="32"/>
          <w:szCs w:val="32"/>
        </w:rPr>
        <w:t>亿元</w:t>
      </w:r>
      <w:r>
        <w:rPr>
          <w:rFonts w:hint="eastAsia" w:ascii="仿宋" w:hAnsi="仿宋"/>
          <w:kern w:val="0"/>
          <w:sz w:val="32"/>
          <w:szCs w:val="32"/>
        </w:rPr>
        <w:t>，“十四五”投资34亿元，</w:t>
      </w:r>
      <w:r>
        <w:rPr>
          <w:rFonts w:ascii="仿宋" w:hAnsi="仿宋"/>
          <w:kern w:val="0"/>
          <w:sz w:val="32"/>
          <w:szCs w:val="32"/>
        </w:rPr>
        <w:t>谋划适时建设</w:t>
      </w:r>
      <w:r>
        <w:rPr>
          <w:rFonts w:hint="eastAsia" w:ascii="仿宋" w:hAnsi="仿宋"/>
          <w:kern w:val="0"/>
          <w:sz w:val="32"/>
          <w:szCs w:val="32"/>
        </w:rPr>
        <w:t>项目3</w:t>
      </w:r>
      <w:r>
        <w:rPr>
          <w:rFonts w:ascii="仿宋" w:hAnsi="仿宋"/>
          <w:kern w:val="0"/>
          <w:sz w:val="32"/>
          <w:szCs w:val="32"/>
        </w:rPr>
        <w:t>个。</w:t>
      </w:r>
    </w:p>
    <w:p w14:paraId="1BE93167">
      <w:pPr>
        <w:spacing w:line="540" w:lineRule="exact"/>
        <w:ind w:firstLine="643"/>
        <w:rPr>
          <w:rFonts w:ascii="仿宋" w:hAnsi="仿宋"/>
          <w:kern w:val="0"/>
          <w:sz w:val="32"/>
          <w:szCs w:val="32"/>
        </w:rPr>
      </w:pPr>
      <w:r>
        <w:rPr>
          <w:rFonts w:hint="eastAsia" w:ascii="仿宋" w:hAnsi="仿宋"/>
          <w:b/>
          <w:sz w:val="32"/>
          <w:szCs w:val="32"/>
        </w:rPr>
        <w:t>居住品质提升项目。</w:t>
      </w:r>
      <w:r>
        <w:rPr>
          <w:rFonts w:hint="eastAsia" w:ascii="仿宋" w:hAnsi="仿宋"/>
          <w:kern w:val="0"/>
          <w:sz w:val="32"/>
          <w:szCs w:val="32"/>
        </w:rPr>
        <w:t>老旧小区改造、片区更新、集镇环境整治、古城风貌</w:t>
      </w:r>
      <w:r>
        <w:rPr>
          <w:rFonts w:ascii="仿宋" w:hAnsi="仿宋"/>
          <w:kern w:val="0"/>
          <w:sz w:val="32"/>
          <w:szCs w:val="32"/>
        </w:rPr>
        <w:t>保护提质</w:t>
      </w:r>
      <w:r>
        <w:rPr>
          <w:rFonts w:hint="eastAsia" w:ascii="仿宋" w:hAnsi="仿宋"/>
          <w:kern w:val="0"/>
          <w:sz w:val="32"/>
          <w:szCs w:val="32"/>
        </w:rPr>
        <w:t>等项目</w:t>
      </w:r>
      <w:r>
        <w:rPr>
          <w:rFonts w:ascii="仿宋" w:hAnsi="仿宋"/>
          <w:kern w:val="0"/>
          <w:sz w:val="32"/>
          <w:szCs w:val="32"/>
        </w:rPr>
        <w:t>1</w:t>
      </w:r>
      <w:r>
        <w:rPr>
          <w:rFonts w:hint="eastAsia" w:ascii="仿宋" w:hAnsi="仿宋"/>
          <w:kern w:val="0"/>
          <w:sz w:val="32"/>
          <w:szCs w:val="32"/>
        </w:rPr>
        <w:t>64</w:t>
      </w:r>
      <w:r>
        <w:rPr>
          <w:rFonts w:ascii="仿宋" w:hAnsi="仿宋"/>
          <w:kern w:val="0"/>
          <w:sz w:val="32"/>
          <w:szCs w:val="32"/>
        </w:rPr>
        <w:t>个，其中市本级新续建项目</w:t>
      </w:r>
      <w:r>
        <w:rPr>
          <w:rFonts w:hint="eastAsia" w:ascii="仿宋" w:hAnsi="仿宋"/>
          <w:kern w:val="0"/>
          <w:sz w:val="32"/>
          <w:szCs w:val="32"/>
        </w:rPr>
        <w:t>62</w:t>
      </w:r>
      <w:r>
        <w:rPr>
          <w:rFonts w:ascii="仿宋" w:hAnsi="仿宋"/>
          <w:kern w:val="0"/>
          <w:sz w:val="32"/>
          <w:szCs w:val="32"/>
        </w:rPr>
        <w:t>个，总投资约</w:t>
      </w:r>
      <w:r>
        <w:rPr>
          <w:rFonts w:hint="eastAsia" w:ascii="仿宋" w:hAnsi="仿宋"/>
          <w:kern w:val="0"/>
          <w:sz w:val="32"/>
          <w:szCs w:val="32"/>
        </w:rPr>
        <w:t>1490</w:t>
      </w:r>
      <w:r>
        <w:rPr>
          <w:rFonts w:ascii="仿宋" w:hAnsi="仿宋"/>
          <w:kern w:val="0"/>
          <w:sz w:val="32"/>
          <w:szCs w:val="32"/>
        </w:rPr>
        <w:t>亿元，</w:t>
      </w:r>
      <w:r>
        <w:rPr>
          <w:rFonts w:hint="eastAsia" w:ascii="仿宋" w:hAnsi="仿宋"/>
          <w:kern w:val="0"/>
          <w:sz w:val="32"/>
          <w:szCs w:val="32"/>
        </w:rPr>
        <w:t>“十四五”投资1210亿元，</w:t>
      </w:r>
      <w:r>
        <w:rPr>
          <w:rFonts w:ascii="仿宋" w:hAnsi="仿宋"/>
          <w:kern w:val="0"/>
          <w:sz w:val="32"/>
          <w:szCs w:val="32"/>
        </w:rPr>
        <w:t>谋划适时建设</w:t>
      </w:r>
      <w:r>
        <w:rPr>
          <w:rFonts w:hint="eastAsia" w:ascii="仿宋" w:hAnsi="仿宋"/>
          <w:kern w:val="0"/>
          <w:sz w:val="32"/>
          <w:szCs w:val="32"/>
        </w:rPr>
        <w:t>项目25</w:t>
      </w:r>
      <w:r>
        <w:rPr>
          <w:rFonts w:ascii="仿宋" w:hAnsi="仿宋"/>
          <w:kern w:val="0"/>
          <w:sz w:val="32"/>
          <w:szCs w:val="32"/>
        </w:rPr>
        <w:t>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69</w:t>
      </w:r>
      <w:r>
        <w:rPr>
          <w:rFonts w:ascii="仿宋" w:hAnsi="仿宋"/>
          <w:kern w:val="0"/>
          <w:sz w:val="32"/>
          <w:szCs w:val="32"/>
        </w:rPr>
        <w:t>个，总投资约7</w:t>
      </w:r>
      <w:r>
        <w:rPr>
          <w:rFonts w:hint="eastAsia" w:ascii="仿宋" w:hAnsi="仿宋"/>
          <w:kern w:val="0"/>
          <w:sz w:val="32"/>
          <w:szCs w:val="32"/>
        </w:rPr>
        <w:t>32</w:t>
      </w:r>
      <w:r>
        <w:rPr>
          <w:rFonts w:ascii="仿宋" w:hAnsi="仿宋"/>
          <w:kern w:val="0"/>
          <w:sz w:val="32"/>
          <w:szCs w:val="32"/>
        </w:rPr>
        <w:t>亿元</w:t>
      </w:r>
      <w:r>
        <w:rPr>
          <w:rFonts w:hint="eastAsia" w:ascii="仿宋" w:hAnsi="仿宋"/>
          <w:kern w:val="0"/>
          <w:sz w:val="32"/>
          <w:szCs w:val="32"/>
        </w:rPr>
        <w:t>，“十四五”投资717亿元，</w:t>
      </w:r>
      <w:r>
        <w:rPr>
          <w:rFonts w:ascii="仿宋" w:hAnsi="仿宋"/>
          <w:kern w:val="0"/>
          <w:sz w:val="32"/>
          <w:szCs w:val="32"/>
        </w:rPr>
        <w:t>谋划适时建设</w:t>
      </w:r>
      <w:r>
        <w:rPr>
          <w:rFonts w:hint="eastAsia" w:ascii="仿宋" w:hAnsi="仿宋"/>
          <w:kern w:val="0"/>
          <w:sz w:val="32"/>
          <w:szCs w:val="32"/>
        </w:rPr>
        <w:t>项目8</w:t>
      </w:r>
      <w:r>
        <w:rPr>
          <w:rFonts w:ascii="仿宋" w:hAnsi="仿宋"/>
          <w:kern w:val="0"/>
          <w:sz w:val="32"/>
          <w:szCs w:val="32"/>
        </w:rPr>
        <w:t>个。</w:t>
      </w:r>
    </w:p>
    <w:p w14:paraId="651B23E0">
      <w:pPr>
        <w:spacing w:line="540" w:lineRule="exact"/>
        <w:ind w:firstLine="643"/>
        <w:rPr>
          <w:rFonts w:ascii="仿宋" w:hAnsi="仿宋"/>
          <w:sz w:val="32"/>
        </w:rPr>
      </w:pPr>
      <w:r>
        <w:rPr>
          <w:rFonts w:hint="eastAsia" w:ascii="仿宋" w:hAnsi="仿宋"/>
          <w:b/>
          <w:sz w:val="32"/>
          <w:szCs w:val="32"/>
        </w:rPr>
        <w:t>供水保障工程项目。</w:t>
      </w:r>
      <w:r>
        <w:rPr>
          <w:rFonts w:hint="eastAsia" w:ascii="仿宋" w:hAnsi="仿宋"/>
          <w:kern w:val="0"/>
          <w:sz w:val="32"/>
          <w:szCs w:val="32"/>
        </w:rPr>
        <w:t>水源及水厂建设、城乡供水一体化、管网建设等项目</w:t>
      </w:r>
      <w:r>
        <w:rPr>
          <w:rFonts w:ascii="仿宋" w:hAnsi="仿宋"/>
          <w:kern w:val="0"/>
          <w:sz w:val="32"/>
          <w:szCs w:val="32"/>
        </w:rPr>
        <w:t>32个，其中市本级新续建项目15个，总投资约184亿元，</w:t>
      </w:r>
      <w:r>
        <w:rPr>
          <w:rFonts w:hint="eastAsia" w:ascii="仿宋" w:hAnsi="仿宋"/>
          <w:kern w:val="0"/>
          <w:sz w:val="32"/>
          <w:szCs w:val="32"/>
        </w:rPr>
        <w:t>“十四五”投资136亿元，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1个；其他各</w:t>
      </w:r>
      <w:r>
        <w:rPr>
          <w:rFonts w:hint="eastAsia" w:ascii="仿宋" w:hAnsi="仿宋"/>
          <w:kern w:val="0"/>
          <w:sz w:val="32"/>
          <w:szCs w:val="32"/>
        </w:rPr>
        <w:t>县（市、区）新续建</w:t>
      </w:r>
      <w:r>
        <w:rPr>
          <w:rFonts w:ascii="仿宋" w:hAnsi="仿宋"/>
          <w:kern w:val="0"/>
          <w:sz w:val="32"/>
          <w:szCs w:val="32"/>
        </w:rPr>
        <w:t>项目16个，总投资约23亿元</w:t>
      </w:r>
      <w:r>
        <w:rPr>
          <w:rFonts w:hint="eastAsia" w:ascii="仿宋" w:hAnsi="仿宋"/>
          <w:kern w:val="0"/>
          <w:sz w:val="32"/>
          <w:szCs w:val="32"/>
        </w:rPr>
        <w:t>，“十四五”投资21亿元</w:t>
      </w:r>
      <w:r>
        <w:rPr>
          <w:rFonts w:ascii="仿宋" w:hAnsi="仿宋"/>
          <w:kern w:val="0"/>
          <w:sz w:val="32"/>
          <w:szCs w:val="32"/>
        </w:rPr>
        <w:t>。</w:t>
      </w:r>
    </w:p>
    <w:p w14:paraId="58B28C20">
      <w:pPr>
        <w:spacing w:line="540" w:lineRule="exact"/>
        <w:ind w:firstLine="643"/>
        <w:rPr>
          <w:rFonts w:ascii="仿宋" w:hAnsi="仿宋"/>
          <w:kern w:val="0"/>
          <w:sz w:val="32"/>
          <w:szCs w:val="32"/>
        </w:rPr>
      </w:pPr>
      <w:r>
        <w:rPr>
          <w:rFonts w:hint="eastAsia" w:ascii="仿宋" w:hAnsi="仿宋"/>
          <w:b/>
          <w:sz w:val="32"/>
          <w:szCs w:val="32"/>
        </w:rPr>
        <w:t>城乡生活污水处理项目。</w:t>
      </w:r>
      <w:r>
        <w:rPr>
          <w:rFonts w:hint="eastAsia" w:ascii="仿宋" w:hAnsi="仿宋"/>
          <w:kern w:val="0"/>
          <w:sz w:val="32"/>
          <w:szCs w:val="32"/>
        </w:rPr>
        <w:t>污水厂站建设、城市污水管网、水环境整治、中水回用、农村污水等项目</w:t>
      </w:r>
      <w:r>
        <w:rPr>
          <w:rFonts w:ascii="仿宋" w:hAnsi="仿宋"/>
          <w:kern w:val="0"/>
          <w:sz w:val="32"/>
          <w:szCs w:val="32"/>
        </w:rPr>
        <w:t>6</w:t>
      </w:r>
      <w:r>
        <w:rPr>
          <w:rFonts w:hint="eastAsia" w:ascii="仿宋" w:hAnsi="仿宋"/>
          <w:kern w:val="0"/>
          <w:sz w:val="32"/>
          <w:szCs w:val="32"/>
        </w:rPr>
        <w:t>6</w:t>
      </w:r>
      <w:r>
        <w:rPr>
          <w:rFonts w:ascii="仿宋" w:hAnsi="仿宋"/>
          <w:kern w:val="0"/>
          <w:sz w:val="32"/>
          <w:szCs w:val="32"/>
        </w:rPr>
        <w:t>个，其中市本级新续建项目</w:t>
      </w:r>
      <w:r>
        <w:rPr>
          <w:rFonts w:hint="eastAsia" w:ascii="仿宋" w:hAnsi="仿宋"/>
          <w:kern w:val="0"/>
          <w:sz w:val="32"/>
          <w:szCs w:val="32"/>
        </w:rPr>
        <w:t>21</w:t>
      </w:r>
      <w:r>
        <w:rPr>
          <w:rFonts w:ascii="仿宋" w:hAnsi="仿宋"/>
          <w:kern w:val="0"/>
          <w:sz w:val="32"/>
          <w:szCs w:val="32"/>
        </w:rPr>
        <w:t>个，总投资约36亿元，</w:t>
      </w:r>
      <w:r>
        <w:rPr>
          <w:rFonts w:hint="eastAsia" w:ascii="仿宋" w:hAnsi="仿宋"/>
          <w:kern w:val="0"/>
          <w:sz w:val="32"/>
          <w:szCs w:val="32"/>
        </w:rPr>
        <w:t>“十四五”投资3</w:t>
      </w:r>
      <w:r>
        <w:rPr>
          <w:rFonts w:ascii="仿宋" w:hAnsi="仿宋"/>
          <w:kern w:val="0"/>
          <w:sz w:val="32"/>
          <w:szCs w:val="32"/>
        </w:rPr>
        <w:t>5</w:t>
      </w:r>
      <w:r>
        <w:rPr>
          <w:rFonts w:hint="eastAsia" w:ascii="仿宋" w:hAnsi="仿宋"/>
          <w:kern w:val="0"/>
          <w:sz w:val="32"/>
          <w:szCs w:val="32"/>
        </w:rPr>
        <w:t>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3个；其他各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35</w:t>
      </w:r>
      <w:r>
        <w:rPr>
          <w:rFonts w:ascii="仿宋" w:hAnsi="仿宋"/>
          <w:kern w:val="0"/>
          <w:sz w:val="32"/>
          <w:szCs w:val="32"/>
        </w:rPr>
        <w:t>个，总投资约</w:t>
      </w:r>
      <w:r>
        <w:rPr>
          <w:rFonts w:hint="eastAsia" w:ascii="仿宋" w:hAnsi="仿宋"/>
          <w:kern w:val="0"/>
          <w:sz w:val="32"/>
          <w:szCs w:val="32"/>
        </w:rPr>
        <w:t>48</w:t>
      </w:r>
      <w:r>
        <w:rPr>
          <w:rFonts w:ascii="仿宋" w:hAnsi="仿宋"/>
          <w:kern w:val="0"/>
          <w:sz w:val="32"/>
          <w:szCs w:val="32"/>
        </w:rPr>
        <w:t>亿元</w:t>
      </w:r>
      <w:r>
        <w:rPr>
          <w:rFonts w:hint="eastAsia" w:ascii="仿宋" w:hAnsi="仿宋"/>
          <w:kern w:val="0"/>
          <w:sz w:val="32"/>
          <w:szCs w:val="32"/>
        </w:rPr>
        <w:t>，“十四五”投资39亿元，</w:t>
      </w:r>
      <w:r>
        <w:rPr>
          <w:rFonts w:ascii="仿宋" w:hAnsi="仿宋"/>
          <w:kern w:val="0"/>
          <w:sz w:val="32"/>
          <w:szCs w:val="32"/>
        </w:rPr>
        <w:t>谋划适时建设</w:t>
      </w:r>
      <w:r>
        <w:rPr>
          <w:rFonts w:hint="eastAsia" w:ascii="仿宋" w:hAnsi="仿宋"/>
          <w:kern w:val="0"/>
          <w:sz w:val="32"/>
          <w:szCs w:val="32"/>
        </w:rPr>
        <w:t>项目7</w:t>
      </w:r>
      <w:r>
        <w:rPr>
          <w:rFonts w:ascii="仿宋" w:hAnsi="仿宋"/>
          <w:kern w:val="0"/>
          <w:sz w:val="32"/>
          <w:szCs w:val="32"/>
        </w:rPr>
        <w:t>个。</w:t>
      </w:r>
    </w:p>
    <w:p w14:paraId="623BF8F8">
      <w:pPr>
        <w:spacing w:line="540" w:lineRule="exact"/>
        <w:ind w:firstLine="643"/>
        <w:rPr>
          <w:rFonts w:ascii="仿宋" w:hAnsi="仿宋"/>
          <w:sz w:val="32"/>
        </w:rPr>
      </w:pPr>
      <w:r>
        <w:rPr>
          <w:rFonts w:hint="eastAsia" w:ascii="仿宋" w:hAnsi="仿宋"/>
          <w:b/>
          <w:sz w:val="32"/>
          <w:szCs w:val="32"/>
        </w:rPr>
        <w:t>城乡环境卫生项目。</w:t>
      </w:r>
      <w:r>
        <w:rPr>
          <w:rFonts w:hint="eastAsia" w:ascii="仿宋" w:hAnsi="仿宋"/>
          <w:kern w:val="0"/>
          <w:sz w:val="32"/>
          <w:szCs w:val="32"/>
        </w:rPr>
        <w:t>环卫设施项目21个，其中市本级新续建项目4个，总投资约12亿元，“十四五”投资9亿元，谋划适时建设项目2个；其他各县（市、区）新续建项目15个，总投资约17亿元，“十四五”投资14亿元。</w:t>
      </w:r>
    </w:p>
    <w:p w14:paraId="5FE4B060">
      <w:pPr>
        <w:spacing w:line="540" w:lineRule="exact"/>
        <w:ind w:firstLine="643"/>
        <w:rPr>
          <w:rFonts w:ascii="仿宋" w:hAnsi="仿宋"/>
          <w:sz w:val="32"/>
        </w:rPr>
      </w:pPr>
      <w:r>
        <w:rPr>
          <w:rFonts w:hint="eastAsia" w:ascii="仿宋" w:hAnsi="仿宋"/>
          <w:b/>
          <w:sz w:val="32"/>
          <w:szCs w:val="32"/>
        </w:rPr>
        <w:t>城镇燃气工程项目。</w:t>
      </w:r>
      <w:r>
        <w:rPr>
          <w:rFonts w:hint="eastAsia" w:ascii="仿宋" w:hAnsi="仿宋"/>
          <w:kern w:val="0"/>
          <w:sz w:val="32"/>
          <w:szCs w:val="32"/>
        </w:rPr>
        <w:t>燃气工程项目</w:t>
      </w:r>
      <w:r>
        <w:rPr>
          <w:rFonts w:ascii="仿宋" w:hAnsi="仿宋"/>
          <w:kern w:val="0"/>
          <w:sz w:val="32"/>
          <w:szCs w:val="32"/>
        </w:rPr>
        <w:t>3个，其中市本级新续建项目2个，总投资约71亿元</w:t>
      </w:r>
      <w:r>
        <w:rPr>
          <w:rFonts w:hint="eastAsia" w:ascii="仿宋" w:hAnsi="仿宋"/>
          <w:kern w:val="0"/>
          <w:sz w:val="32"/>
          <w:szCs w:val="32"/>
        </w:rPr>
        <w:t>，“十四五”投资49亿元</w:t>
      </w:r>
      <w:r>
        <w:rPr>
          <w:rFonts w:ascii="仿宋" w:hAnsi="仿宋"/>
          <w:kern w:val="0"/>
          <w:sz w:val="32"/>
          <w:szCs w:val="32"/>
        </w:rPr>
        <w:t>;其他各</w:t>
      </w:r>
      <w:r>
        <w:rPr>
          <w:rFonts w:hint="eastAsia" w:ascii="仿宋" w:hAnsi="仿宋"/>
          <w:kern w:val="0"/>
          <w:sz w:val="32"/>
          <w:szCs w:val="32"/>
        </w:rPr>
        <w:t>县（市、区）新续建</w:t>
      </w:r>
      <w:r>
        <w:rPr>
          <w:rFonts w:ascii="仿宋" w:hAnsi="仿宋"/>
          <w:kern w:val="0"/>
          <w:sz w:val="32"/>
          <w:szCs w:val="32"/>
        </w:rPr>
        <w:t>项目1个，总投资约1亿元。</w:t>
      </w:r>
    </w:p>
    <w:p w14:paraId="65C3721F">
      <w:pPr>
        <w:spacing w:line="540" w:lineRule="exact"/>
        <w:ind w:firstLine="643"/>
        <w:rPr>
          <w:rFonts w:ascii="仿宋" w:hAnsi="仿宋"/>
          <w:sz w:val="32"/>
        </w:rPr>
      </w:pPr>
      <w:r>
        <w:rPr>
          <w:rFonts w:hint="eastAsia" w:ascii="仿宋" w:hAnsi="仿宋"/>
          <w:b/>
          <w:sz w:val="32"/>
          <w:szCs w:val="32"/>
        </w:rPr>
        <w:t>安全保障工程项目。</w:t>
      </w:r>
      <w:r>
        <w:rPr>
          <w:rFonts w:hint="eastAsia" w:ascii="仿宋" w:hAnsi="仿宋"/>
          <w:kern w:val="0"/>
          <w:sz w:val="32"/>
          <w:szCs w:val="32"/>
        </w:rPr>
        <w:t>排水防涝设施、积水内涝点改造、雨水管网建设、防洪设施、海绵城市建设规划及监管等项目42</w:t>
      </w:r>
      <w:r>
        <w:rPr>
          <w:rFonts w:ascii="仿宋" w:hAnsi="仿宋"/>
          <w:kern w:val="0"/>
          <w:sz w:val="32"/>
          <w:szCs w:val="32"/>
        </w:rPr>
        <w:t>个，其中市本级新续建项目</w:t>
      </w:r>
      <w:r>
        <w:rPr>
          <w:rFonts w:hint="eastAsia" w:ascii="仿宋" w:hAnsi="仿宋"/>
          <w:kern w:val="0"/>
          <w:sz w:val="32"/>
          <w:szCs w:val="32"/>
        </w:rPr>
        <w:t>23</w:t>
      </w:r>
      <w:r>
        <w:rPr>
          <w:rFonts w:ascii="仿宋" w:hAnsi="仿宋"/>
          <w:kern w:val="0"/>
          <w:sz w:val="32"/>
          <w:szCs w:val="32"/>
        </w:rPr>
        <w:t>个，总投资约</w:t>
      </w:r>
      <w:r>
        <w:rPr>
          <w:rFonts w:hint="eastAsia" w:ascii="仿宋" w:hAnsi="仿宋"/>
          <w:kern w:val="0"/>
          <w:sz w:val="32"/>
          <w:szCs w:val="32"/>
        </w:rPr>
        <w:t>42</w:t>
      </w:r>
      <w:r>
        <w:rPr>
          <w:rFonts w:ascii="仿宋" w:hAnsi="仿宋"/>
          <w:kern w:val="0"/>
          <w:sz w:val="32"/>
          <w:szCs w:val="32"/>
        </w:rPr>
        <w:t>亿元,</w:t>
      </w:r>
      <w:r>
        <w:rPr>
          <w:rFonts w:hint="eastAsia" w:ascii="仿宋" w:hAnsi="仿宋"/>
          <w:kern w:val="0"/>
          <w:sz w:val="32"/>
          <w:szCs w:val="32"/>
        </w:rPr>
        <w:t>“十四五”投资41亿元，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1</w:t>
      </w:r>
      <w:r>
        <w:rPr>
          <w:rFonts w:hint="eastAsia" w:ascii="仿宋" w:hAnsi="仿宋"/>
          <w:kern w:val="0"/>
          <w:sz w:val="32"/>
          <w:szCs w:val="32"/>
        </w:rPr>
        <w:t>5</w:t>
      </w:r>
      <w:r>
        <w:rPr>
          <w:rFonts w:ascii="仿宋" w:hAnsi="仿宋"/>
          <w:kern w:val="0"/>
          <w:sz w:val="32"/>
          <w:szCs w:val="32"/>
        </w:rPr>
        <w:t>个；</w:t>
      </w:r>
      <w:r>
        <w:rPr>
          <w:rFonts w:hint="eastAsia" w:ascii="仿宋" w:hAnsi="仿宋"/>
          <w:kern w:val="0"/>
          <w:sz w:val="32"/>
          <w:szCs w:val="32"/>
        </w:rPr>
        <w:t>其他各县（市、区）新续建项目</w:t>
      </w:r>
      <w:r>
        <w:rPr>
          <w:rFonts w:ascii="仿宋" w:hAnsi="仿宋"/>
          <w:kern w:val="0"/>
          <w:sz w:val="32"/>
          <w:szCs w:val="32"/>
        </w:rPr>
        <w:t>4个，总投资约12亿元</w:t>
      </w:r>
      <w:r>
        <w:rPr>
          <w:rFonts w:hint="eastAsia" w:ascii="仿宋" w:hAnsi="仿宋"/>
          <w:kern w:val="0"/>
          <w:sz w:val="32"/>
          <w:szCs w:val="32"/>
        </w:rPr>
        <w:t>，“十四五”投资8亿元。</w:t>
      </w:r>
    </w:p>
    <w:p w14:paraId="46EF2704">
      <w:pPr>
        <w:spacing w:line="540" w:lineRule="exact"/>
        <w:ind w:firstLine="643"/>
        <w:rPr>
          <w:rFonts w:ascii="仿宋" w:hAnsi="仿宋"/>
          <w:kern w:val="0"/>
          <w:sz w:val="32"/>
          <w:szCs w:val="32"/>
        </w:rPr>
      </w:pPr>
      <w:r>
        <w:rPr>
          <w:rFonts w:hint="eastAsia" w:ascii="仿宋" w:hAnsi="仿宋"/>
          <w:b/>
          <w:sz w:val="32"/>
          <w:szCs w:val="32"/>
        </w:rPr>
        <w:t>新型城市基础设施建设项目</w:t>
      </w:r>
      <w:r>
        <w:rPr>
          <w:rFonts w:hint="eastAsia" w:ascii="仿宋" w:hAnsi="仿宋"/>
          <w:kern w:val="0"/>
          <w:sz w:val="32"/>
          <w:szCs w:val="32"/>
        </w:rPr>
        <w:t>。新基建项目</w:t>
      </w:r>
      <w:r>
        <w:rPr>
          <w:rFonts w:ascii="仿宋" w:hAnsi="仿宋"/>
          <w:kern w:val="0"/>
          <w:sz w:val="32"/>
          <w:szCs w:val="32"/>
        </w:rPr>
        <w:t>1</w:t>
      </w:r>
      <w:r>
        <w:rPr>
          <w:rFonts w:hint="eastAsia" w:ascii="仿宋" w:hAnsi="仿宋"/>
          <w:kern w:val="0"/>
          <w:sz w:val="32"/>
          <w:szCs w:val="32"/>
        </w:rPr>
        <w:t>5</w:t>
      </w:r>
      <w:r>
        <w:rPr>
          <w:rFonts w:ascii="仿宋" w:hAnsi="仿宋"/>
          <w:kern w:val="0"/>
          <w:sz w:val="32"/>
          <w:szCs w:val="32"/>
        </w:rPr>
        <w:t>个，其中市本级新续建项目</w:t>
      </w:r>
      <w:r>
        <w:rPr>
          <w:rFonts w:hint="eastAsia" w:ascii="仿宋" w:hAnsi="仿宋"/>
          <w:kern w:val="0"/>
          <w:sz w:val="32"/>
          <w:szCs w:val="32"/>
        </w:rPr>
        <w:t>9</w:t>
      </w:r>
      <w:r>
        <w:rPr>
          <w:rFonts w:ascii="仿宋" w:hAnsi="仿宋"/>
          <w:kern w:val="0"/>
          <w:sz w:val="32"/>
          <w:szCs w:val="32"/>
        </w:rPr>
        <w:t>个，总投资约24亿元，</w:t>
      </w:r>
      <w:r>
        <w:rPr>
          <w:rFonts w:hint="eastAsia" w:ascii="仿宋" w:hAnsi="仿宋"/>
          <w:kern w:val="0"/>
          <w:sz w:val="32"/>
          <w:szCs w:val="32"/>
        </w:rPr>
        <w:t>“十四五”投资23亿元，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3个；其他各</w:t>
      </w:r>
      <w:r>
        <w:rPr>
          <w:rFonts w:hint="eastAsia" w:ascii="仿宋" w:hAnsi="仿宋"/>
          <w:kern w:val="0"/>
          <w:sz w:val="32"/>
          <w:szCs w:val="32"/>
        </w:rPr>
        <w:t>县（市、区）新续建</w:t>
      </w:r>
      <w:r>
        <w:rPr>
          <w:rFonts w:ascii="仿宋" w:hAnsi="仿宋"/>
          <w:kern w:val="0"/>
          <w:sz w:val="32"/>
          <w:szCs w:val="32"/>
        </w:rPr>
        <w:t>项目3个，总投资约1亿元。</w:t>
      </w:r>
    </w:p>
    <w:p w14:paraId="744A221B">
      <w:pPr>
        <w:tabs>
          <w:tab w:val="left" w:pos="7621"/>
        </w:tabs>
        <w:snapToGrid w:val="0"/>
        <w:spacing w:line="540" w:lineRule="exact"/>
        <w:ind w:firstLine="643"/>
        <w:outlineLvl w:val="2"/>
        <w:rPr>
          <w:rFonts w:ascii="楷体" w:hAnsi="楷体" w:eastAsia="楷体"/>
          <w:b/>
          <w:bCs/>
          <w:kern w:val="0"/>
          <w:sz w:val="32"/>
          <w:szCs w:val="32"/>
        </w:rPr>
      </w:pPr>
      <w:bookmarkStart w:id="444" w:name="_Toc15908"/>
      <w:r>
        <w:rPr>
          <w:rFonts w:hint="eastAsia" w:ascii="楷体" w:hAnsi="楷体" w:eastAsia="楷体"/>
          <w:b/>
          <w:bCs/>
          <w:kern w:val="0"/>
          <w:sz w:val="32"/>
          <w:szCs w:val="32"/>
        </w:rPr>
        <w:t>（二）重点建设项目谋划</w:t>
      </w:r>
      <w:bookmarkEnd w:id="444"/>
      <w:r>
        <w:rPr>
          <w:rFonts w:hint="eastAsia" w:ascii="楷体" w:hAnsi="楷体" w:eastAsia="楷体"/>
          <w:b/>
          <w:bCs/>
          <w:kern w:val="0"/>
          <w:sz w:val="32"/>
          <w:szCs w:val="32"/>
        </w:rPr>
        <w:tab/>
      </w:r>
    </w:p>
    <w:p w14:paraId="47FAD5D3">
      <w:pPr>
        <w:snapToGrid w:val="0"/>
        <w:spacing w:line="540" w:lineRule="exact"/>
        <w:ind w:firstLine="643"/>
        <w:rPr>
          <w:rFonts w:ascii="仿宋" w:hAnsi="仿宋"/>
          <w:b/>
          <w:bCs/>
          <w:kern w:val="0"/>
          <w:sz w:val="32"/>
          <w:szCs w:val="32"/>
        </w:rPr>
      </w:pPr>
      <w:r>
        <w:rPr>
          <w:rFonts w:ascii="仿宋" w:hAnsi="仿宋"/>
          <w:b/>
          <w:bCs/>
          <w:kern w:val="0"/>
          <w:sz w:val="32"/>
          <w:szCs w:val="32"/>
        </w:rPr>
        <w:t>1</w:t>
      </w:r>
      <w:r>
        <w:rPr>
          <w:rFonts w:hint="eastAsia" w:ascii="仿宋" w:hAnsi="仿宋"/>
          <w:b/>
          <w:bCs/>
          <w:kern w:val="0"/>
          <w:sz w:val="32"/>
          <w:szCs w:val="32"/>
        </w:rPr>
        <w:t>.中央预算内投资建设项目谋划</w:t>
      </w:r>
    </w:p>
    <w:p w14:paraId="0F595148">
      <w:pPr>
        <w:spacing w:line="540" w:lineRule="exact"/>
        <w:ind w:firstLine="640"/>
        <w:rPr>
          <w:rFonts w:ascii="仿宋" w:hAnsi="仿宋"/>
          <w:b/>
          <w:bCs/>
          <w:kern w:val="0"/>
          <w:sz w:val="32"/>
          <w:szCs w:val="32"/>
        </w:rPr>
      </w:pPr>
      <w:r>
        <w:rPr>
          <w:rFonts w:hint="eastAsia"/>
          <w:sz w:val="32"/>
          <w:szCs w:val="32"/>
        </w:rPr>
        <w:t>依据国家发改委相关政策文件，谋划中央预算内投资建</w:t>
      </w:r>
      <w:r>
        <w:rPr>
          <w:rFonts w:hint="eastAsia" w:ascii="仿宋" w:hAnsi="仿宋"/>
          <w:sz w:val="32"/>
          <w:szCs w:val="32"/>
        </w:rPr>
        <w:t>设项目49</w:t>
      </w:r>
      <w:r>
        <w:rPr>
          <w:rFonts w:ascii="仿宋" w:hAnsi="仿宋"/>
          <w:sz w:val="32"/>
          <w:szCs w:val="32"/>
        </w:rPr>
        <w:t>个，涉及水环境治理、环境卫生、城市更新、排水防涝、古城提质等领域</w:t>
      </w:r>
      <w:r>
        <w:rPr>
          <w:rFonts w:hint="eastAsia" w:ascii="仿宋" w:hAnsi="仿宋"/>
          <w:sz w:val="32"/>
          <w:szCs w:val="32"/>
        </w:rPr>
        <w:t>，</w:t>
      </w:r>
      <w:r>
        <w:rPr>
          <w:rFonts w:ascii="仿宋" w:hAnsi="仿宋"/>
          <w:sz w:val="32"/>
          <w:szCs w:val="32"/>
        </w:rPr>
        <w:t>总投资</w:t>
      </w:r>
      <w:r>
        <w:rPr>
          <w:rFonts w:hint="eastAsia" w:ascii="仿宋" w:hAnsi="仿宋"/>
          <w:sz w:val="32"/>
          <w:szCs w:val="32"/>
        </w:rPr>
        <w:t>173</w:t>
      </w:r>
      <w:r>
        <w:rPr>
          <w:rFonts w:ascii="仿宋" w:hAnsi="仿宋"/>
          <w:sz w:val="32"/>
          <w:szCs w:val="32"/>
        </w:rPr>
        <w:t>亿元。</w:t>
      </w:r>
    </w:p>
    <w:p w14:paraId="6516FDA7">
      <w:pPr>
        <w:snapToGrid w:val="0"/>
        <w:spacing w:line="540" w:lineRule="exact"/>
        <w:ind w:firstLine="643"/>
        <w:contextualSpacing/>
        <w:rPr>
          <w:rFonts w:ascii="仿宋" w:hAnsi="仿宋"/>
          <w:sz w:val="32"/>
          <w:szCs w:val="32"/>
        </w:rPr>
      </w:pPr>
      <w:r>
        <w:rPr>
          <w:rFonts w:ascii="仿宋" w:hAnsi="仿宋"/>
          <w:b/>
          <w:bCs/>
          <w:sz w:val="32"/>
          <w:szCs w:val="32"/>
        </w:rPr>
        <w:t>在</w:t>
      </w:r>
      <w:r>
        <w:rPr>
          <w:rFonts w:hint="eastAsia" w:ascii="仿宋" w:hAnsi="仿宋"/>
          <w:b/>
          <w:bCs/>
          <w:sz w:val="32"/>
          <w:szCs w:val="32"/>
        </w:rPr>
        <w:t>水环境</w:t>
      </w:r>
      <w:r>
        <w:rPr>
          <w:rFonts w:ascii="仿宋" w:hAnsi="仿宋"/>
          <w:b/>
          <w:bCs/>
          <w:sz w:val="32"/>
          <w:szCs w:val="32"/>
        </w:rPr>
        <w:t>治理领域，</w:t>
      </w:r>
      <w:r>
        <w:rPr>
          <w:rFonts w:ascii="仿宋" w:hAnsi="仿宋"/>
          <w:sz w:val="32"/>
          <w:szCs w:val="32"/>
        </w:rPr>
        <w:t>依据</w:t>
      </w:r>
      <w:r>
        <w:rPr>
          <w:rFonts w:hint="eastAsia" w:ascii="仿宋" w:hAnsi="仿宋"/>
          <w:sz w:val="32"/>
          <w:szCs w:val="32"/>
        </w:rPr>
        <w:t>国家发改委</w:t>
      </w:r>
      <w:r>
        <w:rPr>
          <w:rFonts w:ascii="仿宋" w:hAnsi="仿宋"/>
          <w:sz w:val="32"/>
          <w:szCs w:val="32"/>
        </w:rPr>
        <w:t>《中央预算内投资生态文明建设专项管理暂行办法》</w:t>
      </w:r>
      <w:r>
        <w:rPr>
          <w:rFonts w:hint="eastAsia" w:ascii="仿宋" w:hAnsi="仿宋"/>
          <w:sz w:val="32"/>
          <w:szCs w:val="32"/>
        </w:rPr>
        <w:t>（发改环资规〔</w:t>
      </w:r>
      <w:r>
        <w:rPr>
          <w:rFonts w:ascii="仿宋" w:hAnsi="仿宋"/>
          <w:sz w:val="32"/>
          <w:szCs w:val="32"/>
        </w:rPr>
        <w:t>2017〕2135号</w:t>
      </w:r>
      <w:r>
        <w:rPr>
          <w:rFonts w:hint="eastAsia" w:ascii="仿宋" w:hAnsi="仿宋"/>
          <w:sz w:val="32"/>
          <w:szCs w:val="32"/>
        </w:rPr>
        <w:t>）</w:t>
      </w:r>
      <w:r>
        <w:rPr>
          <w:rFonts w:ascii="仿宋" w:hAnsi="仿宋"/>
          <w:sz w:val="32"/>
          <w:szCs w:val="32"/>
        </w:rPr>
        <w:t>要求，共谋划包括污水处理设施、污水管网、再生水回用设施</w:t>
      </w:r>
      <w:r>
        <w:rPr>
          <w:rFonts w:hint="eastAsia" w:ascii="仿宋" w:hAnsi="仿宋"/>
          <w:sz w:val="32"/>
          <w:szCs w:val="32"/>
        </w:rPr>
        <w:t>、</w:t>
      </w:r>
      <w:r>
        <w:rPr>
          <w:rFonts w:ascii="仿宋" w:hAnsi="仿宋"/>
          <w:sz w:val="32"/>
          <w:szCs w:val="32"/>
        </w:rPr>
        <w:t>流域整治等方面</w:t>
      </w:r>
      <w:r>
        <w:rPr>
          <w:rFonts w:hint="eastAsia" w:ascii="仿宋" w:hAnsi="仿宋"/>
          <w:sz w:val="32"/>
          <w:szCs w:val="32"/>
        </w:rPr>
        <w:t>15</w:t>
      </w:r>
      <w:r>
        <w:rPr>
          <w:rFonts w:ascii="仿宋" w:hAnsi="仿宋"/>
          <w:sz w:val="32"/>
          <w:szCs w:val="32"/>
        </w:rPr>
        <w:t>个项目，涉及投资</w:t>
      </w:r>
      <w:r>
        <w:rPr>
          <w:rFonts w:hint="eastAsia" w:ascii="仿宋" w:hAnsi="仿宋"/>
          <w:sz w:val="32"/>
          <w:szCs w:val="32"/>
        </w:rPr>
        <w:t>101</w:t>
      </w:r>
      <w:r>
        <w:rPr>
          <w:rFonts w:ascii="仿宋" w:hAnsi="仿宋"/>
          <w:sz w:val="32"/>
          <w:szCs w:val="32"/>
        </w:rPr>
        <w:t>亿</w:t>
      </w:r>
      <w:r>
        <w:rPr>
          <w:rFonts w:hint="eastAsia" w:ascii="仿宋" w:hAnsi="仿宋"/>
          <w:sz w:val="32"/>
          <w:szCs w:val="32"/>
        </w:rPr>
        <w:t>元</w:t>
      </w:r>
      <w:r>
        <w:rPr>
          <w:rFonts w:ascii="仿宋" w:hAnsi="仿宋"/>
          <w:sz w:val="32"/>
          <w:szCs w:val="32"/>
        </w:rPr>
        <w:t>。</w:t>
      </w:r>
    </w:p>
    <w:p w14:paraId="43668E59">
      <w:pPr>
        <w:snapToGrid w:val="0"/>
        <w:spacing w:line="540" w:lineRule="exact"/>
        <w:ind w:firstLine="643"/>
        <w:contextualSpacing/>
        <w:rPr>
          <w:rFonts w:ascii="仿宋" w:hAnsi="仿宋"/>
          <w:sz w:val="32"/>
          <w:szCs w:val="32"/>
        </w:rPr>
      </w:pPr>
      <w:r>
        <w:rPr>
          <w:rFonts w:ascii="仿宋" w:hAnsi="仿宋"/>
          <w:b/>
          <w:bCs/>
          <w:sz w:val="32"/>
          <w:szCs w:val="32"/>
        </w:rPr>
        <w:t>在环境卫生领域，</w:t>
      </w:r>
      <w:r>
        <w:rPr>
          <w:rFonts w:hint="eastAsia" w:ascii="仿宋" w:hAnsi="仿宋"/>
          <w:sz w:val="32"/>
          <w:szCs w:val="32"/>
        </w:rPr>
        <w:t>依据国家发改委《污染治理和节能减碳中央预算内投资专项管理办法》（发改环资规〔2021〕655号）要求，共谋划包括垃圾无害化处理处置设施、垃圾收转运系统等方面9个项目，涉及投资14亿元。</w:t>
      </w:r>
    </w:p>
    <w:p w14:paraId="6959E2AA">
      <w:pPr>
        <w:snapToGrid w:val="0"/>
        <w:spacing w:line="540" w:lineRule="exact"/>
        <w:ind w:firstLine="643"/>
        <w:contextualSpacing/>
        <w:rPr>
          <w:rFonts w:ascii="仿宋" w:hAnsi="仿宋"/>
          <w:sz w:val="32"/>
          <w:szCs w:val="32"/>
        </w:rPr>
      </w:pPr>
      <w:r>
        <w:rPr>
          <w:rFonts w:ascii="仿宋" w:hAnsi="仿宋"/>
          <w:b/>
          <w:bCs/>
          <w:sz w:val="32"/>
          <w:szCs w:val="32"/>
        </w:rPr>
        <w:t>在</w:t>
      </w:r>
      <w:r>
        <w:rPr>
          <w:rFonts w:hint="eastAsia" w:ascii="仿宋" w:hAnsi="仿宋"/>
          <w:b/>
          <w:bCs/>
          <w:sz w:val="32"/>
          <w:szCs w:val="32"/>
        </w:rPr>
        <w:t>居住品质提升</w:t>
      </w:r>
      <w:r>
        <w:rPr>
          <w:rFonts w:ascii="仿宋" w:hAnsi="仿宋"/>
          <w:b/>
          <w:bCs/>
          <w:sz w:val="32"/>
          <w:szCs w:val="32"/>
        </w:rPr>
        <w:t>领域，</w:t>
      </w:r>
      <w:r>
        <w:rPr>
          <w:rFonts w:ascii="仿宋" w:hAnsi="仿宋"/>
          <w:sz w:val="32"/>
          <w:szCs w:val="32"/>
        </w:rPr>
        <w:t>依据国家发改委《中央预算内投资保障性安居工程专项管理暂行办法》</w:t>
      </w:r>
      <w:r>
        <w:rPr>
          <w:rFonts w:hint="eastAsia" w:ascii="仿宋" w:hAnsi="仿宋"/>
          <w:sz w:val="32"/>
          <w:szCs w:val="32"/>
        </w:rPr>
        <w:t>（发改投资规〔</w:t>
      </w:r>
      <w:r>
        <w:rPr>
          <w:rFonts w:ascii="仿宋" w:hAnsi="仿宋"/>
          <w:sz w:val="32"/>
          <w:szCs w:val="32"/>
        </w:rPr>
        <w:t>2019〕1035号</w:t>
      </w:r>
      <w:r>
        <w:rPr>
          <w:rFonts w:hint="eastAsia" w:ascii="仿宋" w:hAnsi="仿宋"/>
          <w:sz w:val="32"/>
          <w:szCs w:val="32"/>
        </w:rPr>
        <w:t>）</w:t>
      </w:r>
      <w:r>
        <w:rPr>
          <w:rFonts w:ascii="仿宋" w:hAnsi="仿宋"/>
          <w:sz w:val="32"/>
          <w:szCs w:val="32"/>
        </w:rPr>
        <w:t>要求，共谋划包括老旧小区改造和棚户区改造两个方面</w:t>
      </w:r>
      <w:r>
        <w:rPr>
          <w:rFonts w:hint="eastAsia" w:ascii="仿宋" w:hAnsi="仿宋"/>
          <w:sz w:val="32"/>
          <w:szCs w:val="32"/>
        </w:rPr>
        <w:t>5</w:t>
      </w:r>
      <w:r>
        <w:rPr>
          <w:rFonts w:ascii="仿宋" w:hAnsi="仿宋"/>
          <w:sz w:val="32"/>
          <w:szCs w:val="32"/>
        </w:rPr>
        <w:t>个项目，涉及投资</w:t>
      </w:r>
      <w:r>
        <w:rPr>
          <w:rFonts w:hint="eastAsia" w:ascii="仿宋" w:hAnsi="仿宋"/>
          <w:sz w:val="32"/>
          <w:szCs w:val="32"/>
        </w:rPr>
        <w:t>22</w:t>
      </w:r>
      <w:r>
        <w:rPr>
          <w:rFonts w:ascii="仿宋" w:hAnsi="仿宋"/>
          <w:sz w:val="32"/>
          <w:szCs w:val="32"/>
        </w:rPr>
        <w:t>亿</w:t>
      </w:r>
      <w:r>
        <w:rPr>
          <w:rFonts w:hint="eastAsia" w:ascii="仿宋" w:hAnsi="仿宋"/>
          <w:sz w:val="32"/>
          <w:szCs w:val="32"/>
        </w:rPr>
        <w:t>元</w:t>
      </w:r>
      <w:r>
        <w:rPr>
          <w:rFonts w:ascii="仿宋" w:hAnsi="仿宋"/>
          <w:sz w:val="32"/>
          <w:szCs w:val="32"/>
        </w:rPr>
        <w:t>。</w:t>
      </w:r>
    </w:p>
    <w:p w14:paraId="02BE932A">
      <w:pPr>
        <w:snapToGrid w:val="0"/>
        <w:spacing w:line="540" w:lineRule="exact"/>
        <w:ind w:firstLine="643"/>
        <w:contextualSpacing/>
        <w:rPr>
          <w:rFonts w:ascii="仿宋" w:hAnsi="仿宋"/>
          <w:sz w:val="32"/>
          <w:szCs w:val="32"/>
        </w:rPr>
      </w:pPr>
      <w:r>
        <w:rPr>
          <w:rFonts w:hint="eastAsia" w:ascii="仿宋" w:hAnsi="仿宋"/>
          <w:b/>
          <w:sz w:val="32"/>
          <w:szCs w:val="32"/>
        </w:rPr>
        <w:t>在排水防涝领域，</w:t>
      </w:r>
      <w:r>
        <w:rPr>
          <w:rFonts w:hint="eastAsia" w:ascii="仿宋" w:hAnsi="仿宋"/>
          <w:sz w:val="32"/>
          <w:szCs w:val="32"/>
        </w:rPr>
        <w:t>依据国家发改委《排水设施建设中央预算内投资专项管理暂行办法》（发改投资规〔</w:t>
      </w:r>
      <w:r>
        <w:rPr>
          <w:rFonts w:ascii="仿宋" w:hAnsi="仿宋"/>
          <w:sz w:val="32"/>
          <w:szCs w:val="32"/>
        </w:rPr>
        <w:t>2020〕528号</w:t>
      </w:r>
      <w:r>
        <w:rPr>
          <w:rFonts w:hint="eastAsia" w:ascii="仿宋" w:hAnsi="仿宋"/>
          <w:sz w:val="32"/>
          <w:szCs w:val="32"/>
        </w:rPr>
        <w:t>）要求，共谋划排水设施建设、流域整治等方面项目共10</w:t>
      </w:r>
      <w:r>
        <w:rPr>
          <w:rFonts w:ascii="仿宋" w:hAnsi="仿宋"/>
          <w:sz w:val="32"/>
          <w:szCs w:val="32"/>
        </w:rPr>
        <w:t>项，涉及投资</w:t>
      </w:r>
      <w:r>
        <w:rPr>
          <w:rFonts w:hint="eastAsia" w:ascii="仿宋" w:hAnsi="仿宋"/>
          <w:sz w:val="32"/>
          <w:szCs w:val="32"/>
        </w:rPr>
        <w:t>29</w:t>
      </w:r>
      <w:r>
        <w:rPr>
          <w:rFonts w:ascii="仿宋" w:hAnsi="仿宋"/>
          <w:sz w:val="32"/>
          <w:szCs w:val="32"/>
        </w:rPr>
        <w:t>亿元。</w:t>
      </w:r>
    </w:p>
    <w:p w14:paraId="4506E369">
      <w:pPr>
        <w:snapToGrid w:val="0"/>
        <w:spacing w:line="540" w:lineRule="exact"/>
        <w:ind w:firstLine="643"/>
        <w:contextualSpacing/>
        <w:rPr>
          <w:rFonts w:ascii="仿宋" w:hAnsi="仿宋"/>
          <w:sz w:val="32"/>
          <w:szCs w:val="32"/>
        </w:rPr>
      </w:pPr>
      <w:r>
        <w:rPr>
          <w:rFonts w:ascii="仿宋" w:hAnsi="仿宋"/>
          <w:b/>
          <w:bCs/>
          <w:sz w:val="32"/>
          <w:szCs w:val="32"/>
        </w:rPr>
        <w:t>在古城提质领域，</w:t>
      </w:r>
      <w:r>
        <w:rPr>
          <w:rFonts w:ascii="仿宋" w:hAnsi="仿宋"/>
          <w:sz w:val="32"/>
          <w:szCs w:val="32"/>
        </w:rPr>
        <w:t>依据国家发改委《文化旅游提升工程实施方案中央预算内投资管理办法》</w:t>
      </w:r>
      <w:r>
        <w:rPr>
          <w:rFonts w:hint="eastAsia" w:ascii="仿宋" w:hAnsi="仿宋"/>
          <w:sz w:val="32"/>
          <w:szCs w:val="32"/>
        </w:rPr>
        <w:t>（发改社会〔</w:t>
      </w:r>
      <w:r>
        <w:rPr>
          <w:rFonts w:ascii="仿宋" w:hAnsi="仿宋"/>
          <w:sz w:val="32"/>
          <w:szCs w:val="32"/>
        </w:rPr>
        <w:t>2019〕124号</w:t>
      </w:r>
      <w:r>
        <w:rPr>
          <w:rFonts w:hint="eastAsia" w:ascii="仿宋" w:hAnsi="仿宋"/>
          <w:sz w:val="32"/>
          <w:szCs w:val="32"/>
        </w:rPr>
        <w:t>）</w:t>
      </w:r>
      <w:r>
        <w:rPr>
          <w:rFonts w:ascii="仿宋" w:hAnsi="仿宋"/>
          <w:sz w:val="32"/>
          <w:szCs w:val="32"/>
        </w:rPr>
        <w:t>要求，共谋划包括国家文化和自然遗产保护利用设施建设和旅游基础设施和公共服务设施建设两个方面</w:t>
      </w:r>
      <w:r>
        <w:rPr>
          <w:rFonts w:hint="eastAsia" w:ascii="仿宋" w:hAnsi="仿宋"/>
          <w:sz w:val="32"/>
          <w:szCs w:val="32"/>
        </w:rPr>
        <w:t>10</w:t>
      </w:r>
      <w:r>
        <w:rPr>
          <w:rFonts w:ascii="仿宋" w:hAnsi="仿宋"/>
          <w:sz w:val="32"/>
          <w:szCs w:val="32"/>
        </w:rPr>
        <w:t>个项目，涉及投资</w:t>
      </w:r>
      <w:r>
        <w:rPr>
          <w:rFonts w:hint="eastAsia" w:ascii="仿宋" w:hAnsi="仿宋"/>
          <w:sz w:val="32"/>
          <w:szCs w:val="32"/>
        </w:rPr>
        <w:t>6</w:t>
      </w:r>
      <w:r>
        <w:rPr>
          <w:rFonts w:ascii="仿宋" w:hAnsi="仿宋"/>
          <w:sz w:val="32"/>
          <w:szCs w:val="32"/>
        </w:rPr>
        <w:t>亿元。</w:t>
      </w:r>
    </w:p>
    <w:p w14:paraId="12BEB5AF">
      <w:pPr>
        <w:snapToGrid w:val="0"/>
        <w:spacing w:line="540" w:lineRule="exact"/>
        <w:ind w:firstLine="643"/>
        <w:rPr>
          <w:rFonts w:ascii="仿宋" w:hAnsi="仿宋"/>
          <w:b/>
          <w:bCs/>
          <w:kern w:val="0"/>
          <w:sz w:val="32"/>
          <w:szCs w:val="32"/>
        </w:rPr>
      </w:pPr>
      <w:r>
        <w:rPr>
          <w:rFonts w:ascii="仿宋" w:hAnsi="仿宋"/>
          <w:b/>
          <w:bCs/>
          <w:kern w:val="0"/>
          <w:sz w:val="32"/>
          <w:szCs w:val="32"/>
        </w:rPr>
        <w:t>2</w:t>
      </w:r>
      <w:r>
        <w:rPr>
          <w:rFonts w:hint="eastAsia" w:ascii="仿宋" w:hAnsi="仿宋"/>
          <w:b/>
          <w:bCs/>
          <w:kern w:val="0"/>
          <w:sz w:val="32"/>
          <w:szCs w:val="32"/>
        </w:rPr>
        <w:t>.省级重大建设项目谋划</w:t>
      </w:r>
    </w:p>
    <w:p w14:paraId="123A81FC">
      <w:pPr>
        <w:tabs>
          <w:tab w:val="left" w:pos="720"/>
        </w:tabs>
        <w:spacing w:line="540" w:lineRule="exact"/>
        <w:ind w:firstLine="640"/>
        <w:contextualSpacing/>
        <w:rPr>
          <w:rFonts w:ascii="仿宋" w:hAnsi="仿宋"/>
          <w:sz w:val="32"/>
          <w:szCs w:val="32"/>
        </w:rPr>
      </w:pPr>
      <w:r>
        <w:rPr>
          <w:rFonts w:ascii="仿宋" w:hAnsi="仿宋"/>
          <w:sz w:val="32"/>
          <w:szCs w:val="32"/>
        </w:rPr>
        <w:t>依据《福建省发展和改革委员会关于做好2021年度省重点项目申报工作的通知》</w:t>
      </w:r>
      <w:r>
        <w:rPr>
          <w:rFonts w:hint="eastAsia" w:ascii="仿宋" w:hAnsi="仿宋"/>
          <w:sz w:val="32"/>
          <w:szCs w:val="32"/>
        </w:rPr>
        <w:t>（闽发改重综〔</w:t>
      </w:r>
      <w:r>
        <w:rPr>
          <w:rFonts w:ascii="仿宋" w:hAnsi="仿宋"/>
          <w:sz w:val="32"/>
          <w:szCs w:val="32"/>
        </w:rPr>
        <w:t>2020〕594号</w:t>
      </w:r>
      <w:r>
        <w:rPr>
          <w:rFonts w:hint="eastAsia" w:ascii="仿宋" w:hAnsi="仿宋"/>
          <w:sz w:val="32"/>
          <w:szCs w:val="32"/>
        </w:rPr>
        <w:t>）</w:t>
      </w:r>
      <w:r>
        <w:rPr>
          <w:rFonts w:ascii="仿宋" w:hAnsi="仿宋"/>
          <w:sz w:val="32"/>
          <w:szCs w:val="32"/>
        </w:rPr>
        <w:t>要求，谋划</w:t>
      </w:r>
      <w:r>
        <w:rPr>
          <w:rFonts w:hint="eastAsia" w:ascii="仿宋" w:hAnsi="仿宋"/>
          <w:sz w:val="32"/>
          <w:szCs w:val="32"/>
        </w:rPr>
        <w:t>重点项目43</w:t>
      </w:r>
      <w:r>
        <w:rPr>
          <w:rFonts w:ascii="仿宋" w:hAnsi="仿宋"/>
          <w:sz w:val="32"/>
          <w:szCs w:val="32"/>
        </w:rPr>
        <w:t>项，总投资10</w:t>
      </w:r>
      <w:r>
        <w:rPr>
          <w:rFonts w:hint="eastAsia" w:ascii="仿宋" w:hAnsi="仿宋"/>
          <w:sz w:val="32"/>
          <w:szCs w:val="32"/>
        </w:rPr>
        <w:t>59</w:t>
      </w:r>
      <w:r>
        <w:rPr>
          <w:rFonts w:ascii="仿宋" w:hAnsi="仿宋"/>
          <w:sz w:val="32"/>
          <w:szCs w:val="32"/>
        </w:rPr>
        <w:t>亿</w:t>
      </w:r>
      <w:r>
        <w:rPr>
          <w:rFonts w:hint="eastAsia" w:ascii="仿宋" w:hAnsi="仿宋"/>
          <w:sz w:val="32"/>
          <w:szCs w:val="32"/>
        </w:rPr>
        <w:t>元</w:t>
      </w:r>
      <w:r>
        <w:rPr>
          <w:rFonts w:ascii="仿宋" w:hAnsi="仿宋"/>
          <w:sz w:val="32"/>
          <w:szCs w:val="32"/>
        </w:rPr>
        <w:t>。</w:t>
      </w:r>
      <w:r>
        <w:rPr>
          <w:rFonts w:hint="eastAsia" w:ascii="仿宋" w:hAnsi="仿宋"/>
          <w:sz w:val="32"/>
          <w:szCs w:val="32"/>
        </w:rPr>
        <w:t>主要类型如下：</w:t>
      </w:r>
    </w:p>
    <w:p w14:paraId="721030A6">
      <w:pPr>
        <w:adjustRightInd w:val="0"/>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1）城际（市）轨道交通、综合交通枢纽工程、城市特大桥隧、总投资10亿元以上城市主干道、总投资1亿</w:t>
      </w:r>
      <w:r>
        <w:rPr>
          <w:rFonts w:hint="eastAsia" w:ascii="仿宋" w:hAnsi="仿宋"/>
          <w:sz w:val="32"/>
          <w:szCs w:val="32"/>
        </w:rPr>
        <w:t>元</w:t>
      </w:r>
      <w:r>
        <w:rPr>
          <w:rFonts w:ascii="仿宋" w:hAnsi="仿宋"/>
          <w:sz w:val="32"/>
          <w:szCs w:val="32"/>
        </w:rPr>
        <w:t>以上的公共停车场等方面的城市交通项目20个</w:t>
      </w:r>
      <w:r>
        <w:rPr>
          <w:rFonts w:hint="eastAsia" w:ascii="仿宋" w:hAnsi="仿宋"/>
          <w:sz w:val="32"/>
          <w:szCs w:val="32"/>
        </w:rPr>
        <w:t>。</w:t>
      </w:r>
    </w:p>
    <w:p w14:paraId="10114D62">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2）日供水5万吨以上供水设施项目</w:t>
      </w:r>
      <w:r>
        <w:rPr>
          <w:rFonts w:hint="eastAsia" w:ascii="仿宋" w:hAnsi="仿宋"/>
          <w:sz w:val="32"/>
          <w:szCs w:val="32"/>
        </w:rPr>
        <w:t>4</w:t>
      </w:r>
      <w:r>
        <w:rPr>
          <w:rFonts w:ascii="仿宋" w:hAnsi="仿宋"/>
          <w:sz w:val="32"/>
          <w:szCs w:val="32"/>
        </w:rPr>
        <w:t>个</w:t>
      </w:r>
      <w:r>
        <w:rPr>
          <w:rFonts w:hint="eastAsia" w:ascii="仿宋" w:hAnsi="仿宋"/>
          <w:sz w:val="32"/>
          <w:szCs w:val="32"/>
        </w:rPr>
        <w:t>。</w:t>
      </w:r>
    </w:p>
    <w:p w14:paraId="3E61F0D5">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3）日处理5万吨及以上污水处理厂、总投资10亿元以上城市黑臭水体治理工程和城镇生态环境整治、总投资2亿元以上流域综合整治、重要生态系统保护和修复重大工程等方面项目</w:t>
      </w:r>
      <w:r>
        <w:rPr>
          <w:rFonts w:hint="eastAsia" w:ascii="仿宋" w:hAnsi="仿宋"/>
          <w:sz w:val="32"/>
          <w:szCs w:val="32"/>
        </w:rPr>
        <w:t>10</w:t>
      </w:r>
      <w:r>
        <w:rPr>
          <w:rFonts w:ascii="仿宋" w:hAnsi="仿宋"/>
          <w:sz w:val="32"/>
          <w:szCs w:val="32"/>
        </w:rPr>
        <w:t>个</w:t>
      </w:r>
      <w:r>
        <w:rPr>
          <w:rFonts w:hint="eastAsia" w:ascii="仿宋" w:hAnsi="仿宋"/>
          <w:sz w:val="32"/>
          <w:szCs w:val="32"/>
        </w:rPr>
        <w:t>。</w:t>
      </w:r>
    </w:p>
    <w:p w14:paraId="6CDCD7BB">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4）日处理量500吨及以上垃圾焚烧发电项目</w:t>
      </w:r>
      <w:r>
        <w:rPr>
          <w:rFonts w:hint="eastAsia" w:ascii="仿宋" w:hAnsi="仿宋"/>
          <w:sz w:val="32"/>
          <w:szCs w:val="32"/>
        </w:rPr>
        <w:t>2</w:t>
      </w:r>
      <w:r>
        <w:rPr>
          <w:rFonts w:ascii="仿宋" w:hAnsi="仿宋"/>
          <w:sz w:val="32"/>
          <w:szCs w:val="32"/>
        </w:rPr>
        <w:t>个</w:t>
      </w:r>
      <w:r>
        <w:rPr>
          <w:rFonts w:hint="eastAsia" w:ascii="仿宋" w:hAnsi="仿宋"/>
          <w:sz w:val="32"/>
          <w:szCs w:val="32"/>
        </w:rPr>
        <w:t>。</w:t>
      </w:r>
    </w:p>
    <w:p w14:paraId="06350836">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5）LNG</w:t>
      </w:r>
      <w:r>
        <w:rPr>
          <w:rFonts w:hint="eastAsia" w:ascii="仿宋" w:hAnsi="仿宋"/>
          <w:sz w:val="32"/>
          <w:szCs w:val="32"/>
        </w:rPr>
        <w:t>应急储备中心</w:t>
      </w:r>
      <w:r>
        <w:rPr>
          <w:rFonts w:ascii="仿宋" w:hAnsi="仿宋"/>
          <w:sz w:val="32"/>
          <w:szCs w:val="32"/>
        </w:rPr>
        <w:t>1</w:t>
      </w:r>
      <w:r>
        <w:rPr>
          <w:rFonts w:hint="eastAsia" w:ascii="仿宋" w:hAnsi="仿宋"/>
          <w:sz w:val="32"/>
          <w:szCs w:val="32"/>
        </w:rPr>
        <w:t>个。</w:t>
      </w:r>
    </w:p>
    <w:p w14:paraId="3C00603C">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6）建筑面积10万平方米以上的棚户区改造项目</w:t>
      </w:r>
      <w:r>
        <w:rPr>
          <w:rFonts w:hint="eastAsia" w:ascii="仿宋" w:hAnsi="仿宋"/>
          <w:sz w:val="32"/>
          <w:szCs w:val="32"/>
        </w:rPr>
        <w:t>3</w:t>
      </w:r>
      <w:r>
        <w:rPr>
          <w:rFonts w:ascii="仿宋" w:hAnsi="仿宋"/>
          <w:sz w:val="32"/>
          <w:szCs w:val="32"/>
        </w:rPr>
        <w:t>个</w:t>
      </w:r>
      <w:r>
        <w:rPr>
          <w:rFonts w:hint="eastAsia" w:ascii="仿宋" w:hAnsi="仿宋"/>
          <w:sz w:val="32"/>
          <w:szCs w:val="32"/>
        </w:rPr>
        <w:t>。</w:t>
      </w:r>
    </w:p>
    <w:p w14:paraId="3E2E041D">
      <w:pPr>
        <w:spacing w:line="540" w:lineRule="exact"/>
        <w:ind w:firstLine="560" w:firstLineChars="0"/>
        <w:contextualSpacing/>
        <w:rPr>
          <w:rFonts w:ascii="黑体" w:hAnsi="黑体" w:eastAsia="黑体"/>
          <w:b/>
          <w:bCs/>
          <w:kern w:val="44"/>
          <w:sz w:val="40"/>
          <w:szCs w:val="56"/>
        </w:rPr>
      </w:pPr>
      <w:r>
        <w:rPr>
          <w:rFonts w:hint="eastAsia" w:ascii="仿宋" w:hAnsi="仿宋"/>
          <w:sz w:val="32"/>
          <w:szCs w:val="32"/>
        </w:rPr>
        <w:t>（</w:t>
      </w:r>
      <w:r>
        <w:rPr>
          <w:rFonts w:ascii="仿宋" w:hAnsi="仿宋"/>
          <w:sz w:val="32"/>
          <w:szCs w:val="32"/>
        </w:rPr>
        <w:t>7）总投资2亿元以上城市排水防涝设施项目</w:t>
      </w:r>
      <w:r>
        <w:rPr>
          <w:rFonts w:hint="eastAsia" w:ascii="仿宋" w:hAnsi="仿宋"/>
          <w:sz w:val="32"/>
          <w:szCs w:val="32"/>
        </w:rPr>
        <w:t>3</w:t>
      </w:r>
      <w:r>
        <w:rPr>
          <w:rFonts w:ascii="仿宋" w:hAnsi="仿宋"/>
          <w:sz w:val="32"/>
          <w:szCs w:val="32"/>
        </w:rPr>
        <w:t>个</w:t>
      </w:r>
      <w:bookmarkStart w:id="445" w:name="_Toc62163287"/>
      <w:bookmarkStart w:id="446" w:name="_Toc63077477"/>
      <w:bookmarkStart w:id="447" w:name="_Toc62176699"/>
      <w:r>
        <w:rPr>
          <w:rFonts w:hint="eastAsia" w:ascii="仿宋" w:hAnsi="仿宋"/>
          <w:sz w:val="32"/>
          <w:szCs w:val="32"/>
        </w:rPr>
        <w:t>。</w:t>
      </w:r>
      <w:r>
        <w:rPr>
          <w:rFonts w:ascii="黑体" w:hAnsi="黑体"/>
          <w:sz w:val="40"/>
          <w:szCs w:val="56"/>
        </w:rPr>
        <w:br w:type="page"/>
      </w:r>
    </w:p>
    <w:bookmarkEnd w:id="445"/>
    <w:bookmarkEnd w:id="446"/>
    <w:bookmarkEnd w:id="447"/>
    <w:p w14:paraId="40F327F3">
      <w:pPr>
        <w:pStyle w:val="2"/>
        <w:spacing w:after="394" w:afterLines="100"/>
        <w:rPr>
          <w:rFonts w:ascii="黑体" w:hAnsi="黑体"/>
          <w:sz w:val="40"/>
          <w:szCs w:val="40"/>
        </w:rPr>
      </w:pPr>
      <w:bookmarkStart w:id="448" w:name="_Toc5532"/>
      <w:bookmarkStart w:id="449" w:name="_Toc63077480"/>
      <w:bookmarkStart w:id="450" w:name="_Toc14126"/>
      <w:bookmarkStart w:id="451" w:name="_Toc62163290"/>
      <w:bookmarkStart w:id="452" w:name="_Toc30006"/>
      <w:bookmarkStart w:id="453" w:name="_Toc10199"/>
      <w:bookmarkStart w:id="454" w:name="_Toc62176702"/>
      <w:bookmarkStart w:id="455" w:name="_Toc30264"/>
      <w:r>
        <w:rPr>
          <w:rFonts w:hint="eastAsia" w:ascii="黑体" w:hAnsi="黑体"/>
          <w:sz w:val="40"/>
          <w:szCs w:val="40"/>
        </w:rPr>
        <w:t>第四章</w:t>
      </w:r>
      <w:r>
        <w:rPr>
          <w:rFonts w:ascii="黑体" w:hAnsi="黑体"/>
          <w:sz w:val="40"/>
          <w:szCs w:val="40"/>
        </w:rPr>
        <w:t xml:space="preserve">  </w:t>
      </w:r>
      <w:r>
        <w:rPr>
          <w:rFonts w:hint="eastAsia" w:ascii="黑体" w:hAnsi="黑体"/>
          <w:sz w:val="40"/>
          <w:szCs w:val="40"/>
        </w:rPr>
        <w:t>保障措施</w:t>
      </w:r>
      <w:bookmarkEnd w:id="448"/>
      <w:bookmarkEnd w:id="449"/>
      <w:bookmarkEnd w:id="450"/>
      <w:bookmarkEnd w:id="451"/>
      <w:bookmarkEnd w:id="452"/>
      <w:bookmarkEnd w:id="453"/>
      <w:bookmarkEnd w:id="454"/>
      <w:bookmarkEnd w:id="455"/>
    </w:p>
    <w:p w14:paraId="76A807E2">
      <w:pPr>
        <w:pStyle w:val="30"/>
        <w:snapToGrid w:val="0"/>
        <w:spacing w:before="394" w:beforeLines="100" w:after="197" w:afterLines="50" w:line="540" w:lineRule="exact"/>
        <w:ind w:firstLine="643"/>
        <w:outlineLvl w:val="1"/>
        <w:rPr>
          <w:rFonts w:ascii="黑体" w:hAnsi="黑体" w:eastAsia="黑体"/>
          <w:b/>
          <w:bCs/>
          <w:kern w:val="0"/>
          <w:sz w:val="32"/>
          <w:szCs w:val="32"/>
        </w:rPr>
      </w:pPr>
      <w:bookmarkStart w:id="456" w:name="_Toc22827"/>
      <w:bookmarkStart w:id="457" w:name="_Toc63077481"/>
      <w:bookmarkStart w:id="458" w:name="_Toc7652"/>
      <w:bookmarkStart w:id="459" w:name="_Toc62163291"/>
      <w:bookmarkStart w:id="460" w:name="_Toc27"/>
      <w:bookmarkStart w:id="461" w:name="_Toc62176703"/>
      <w:bookmarkStart w:id="462" w:name="_Toc29461"/>
      <w:bookmarkStart w:id="463" w:name="_Toc6482"/>
      <w:r>
        <w:rPr>
          <w:rFonts w:hint="eastAsia" w:ascii="黑体" w:hAnsi="黑体" w:eastAsia="黑体"/>
          <w:b/>
          <w:bCs/>
          <w:kern w:val="0"/>
          <w:sz w:val="32"/>
          <w:szCs w:val="32"/>
        </w:rPr>
        <w:t>一、推进规划统筹实施</w:t>
      </w:r>
      <w:bookmarkEnd w:id="456"/>
      <w:bookmarkEnd w:id="457"/>
      <w:bookmarkEnd w:id="458"/>
      <w:bookmarkEnd w:id="459"/>
      <w:bookmarkEnd w:id="460"/>
      <w:bookmarkEnd w:id="461"/>
      <w:bookmarkEnd w:id="462"/>
      <w:bookmarkEnd w:id="463"/>
    </w:p>
    <w:p w14:paraId="13E40640">
      <w:pPr>
        <w:snapToGrid w:val="0"/>
        <w:spacing w:line="540" w:lineRule="exact"/>
        <w:ind w:firstLine="643"/>
        <w:outlineLvl w:val="2"/>
        <w:rPr>
          <w:rFonts w:ascii="楷体" w:hAnsi="楷体" w:eastAsia="楷体"/>
          <w:b/>
          <w:bCs/>
          <w:kern w:val="0"/>
          <w:sz w:val="32"/>
          <w:szCs w:val="32"/>
        </w:rPr>
      </w:pPr>
      <w:bookmarkStart w:id="464" w:name="_Toc22866"/>
      <w:bookmarkStart w:id="465" w:name="_Toc27069"/>
      <w:bookmarkStart w:id="466" w:name="_Toc31774"/>
      <w:bookmarkStart w:id="467" w:name="_Toc31401"/>
      <w:bookmarkStart w:id="468" w:name="_Toc8912"/>
      <w:r>
        <w:rPr>
          <w:rFonts w:hint="eastAsia" w:ascii="楷体" w:hAnsi="楷体" w:eastAsia="楷体"/>
          <w:b/>
          <w:bCs/>
          <w:kern w:val="0"/>
          <w:sz w:val="32"/>
          <w:szCs w:val="32"/>
        </w:rPr>
        <w:t>（一）</w:t>
      </w:r>
      <w:r>
        <w:rPr>
          <w:rFonts w:ascii="楷体" w:hAnsi="楷体" w:eastAsia="楷体"/>
          <w:b/>
          <w:bCs/>
          <w:kern w:val="0"/>
          <w:sz w:val="32"/>
          <w:szCs w:val="32"/>
        </w:rPr>
        <w:t>健全跨区域规划联动机制</w:t>
      </w:r>
      <w:bookmarkEnd w:id="464"/>
      <w:bookmarkEnd w:id="465"/>
      <w:bookmarkEnd w:id="466"/>
      <w:bookmarkEnd w:id="467"/>
      <w:bookmarkEnd w:id="468"/>
    </w:p>
    <w:p w14:paraId="760D687C">
      <w:pPr>
        <w:pStyle w:val="34"/>
        <w:snapToGrid w:val="0"/>
        <w:spacing w:line="540" w:lineRule="exact"/>
        <w:ind w:firstLine="640"/>
        <w:rPr>
          <w:rFonts w:ascii="仿宋" w:hAnsi="仿宋" w:eastAsia="仿宋"/>
          <w:sz w:val="32"/>
          <w:szCs w:val="32"/>
        </w:rPr>
      </w:pPr>
      <w:r>
        <w:rPr>
          <w:rFonts w:hint="eastAsia" w:ascii="仿宋" w:hAnsi="仿宋" w:eastAsia="仿宋"/>
          <w:sz w:val="32"/>
          <w:szCs w:val="32"/>
        </w:rPr>
        <w:t>加强</w:t>
      </w:r>
      <w:r>
        <w:rPr>
          <w:rFonts w:ascii="仿宋" w:hAnsi="仿宋" w:eastAsia="仿宋"/>
          <w:sz w:val="32"/>
          <w:szCs w:val="32"/>
        </w:rPr>
        <w:t>跨区域的规划对接，推动建设跨区域规划协调审查制度，形成相互衔接的规划体系，促进</w:t>
      </w:r>
      <w:r>
        <w:rPr>
          <w:rFonts w:hint="eastAsia" w:ascii="仿宋" w:hAnsi="仿宋" w:eastAsia="仿宋"/>
          <w:sz w:val="32"/>
          <w:szCs w:val="32"/>
        </w:rPr>
        <w:t>城乡</w:t>
      </w:r>
      <w:r>
        <w:rPr>
          <w:rFonts w:ascii="仿宋" w:hAnsi="仿宋" w:eastAsia="仿宋"/>
          <w:sz w:val="32"/>
          <w:szCs w:val="32"/>
        </w:rPr>
        <w:t>一体化发展</w:t>
      </w:r>
      <w:r>
        <w:rPr>
          <w:rFonts w:hint="eastAsia" w:ascii="仿宋" w:hAnsi="仿宋" w:eastAsia="仿宋"/>
          <w:sz w:val="32"/>
          <w:szCs w:val="32"/>
        </w:rPr>
        <w:t>、</w:t>
      </w:r>
      <w:r>
        <w:rPr>
          <w:rFonts w:ascii="仿宋" w:hAnsi="仿宋" w:eastAsia="仿宋"/>
          <w:sz w:val="32"/>
          <w:szCs w:val="32"/>
        </w:rPr>
        <w:t>环湾融合发展</w:t>
      </w:r>
      <w:r>
        <w:rPr>
          <w:rFonts w:hint="eastAsia" w:ascii="仿宋" w:hAnsi="仿宋" w:eastAsia="仿宋"/>
          <w:sz w:val="32"/>
          <w:szCs w:val="32"/>
        </w:rPr>
        <w:t>、</w:t>
      </w:r>
      <w:r>
        <w:rPr>
          <w:rFonts w:ascii="仿宋" w:hAnsi="仿宋" w:eastAsia="仿宋"/>
          <w:sz w:val="32"/>
          <w:szCs w:val="32"/>
        </w:rPr>
        <w:t>泉厦同城化发展。</w:t>
      </w:r>
      <w:r>
        <w:rPr>
          <w:rFonts w:hint="eastAsia" w:ascii="仿宋" w:hAnsi="仿宋" w:eastAsia="仿宋"/>
          <w:sz w:val="32"/>
          <w:szCs w:val="32"/>
        </w:rPr>
        <w:t>各</w:t>
      </w:r>
      <w:r>
        <w:rPr>
          <w:rFonts w:ascii="仿宋" w:hAnsi="仿宋" w:eastAsia="仿宋"/>
          <w:sz w:val="32"/>
          <w:szCs w:val="32"/>
        </w:rPr>
        <w:t>县</w:t>
      </w:r>
      <w:r>
        <w:rPr>
          <w:rFonts w:hint="eastAsia" w:ascii="仿宋" w:hAnsi="仿宋" w:eastAsia="仿宋"/>
          <w:sz w:val="32"/>
          <w:szCs w:val="32"/>
        </w:rPr>
        <w:t>（</w:t>
      </w:r>
      <w:r>
        <w:rPr>
          <w:rFonts w:ascii="仿宋" w:hAnsi="仿宋" w:eastAsia="仿宋"/>
          <w:sz w:val="32"/>
          <w:szCs w:val="32"/>
        </w:rPr>
        <w:t>市</w:t>
      </w:r>
      <w:r>
        <w:rPr>
          <w:rFonts w:hint="eastAsia" w:ascii="仿宋" w:hAnsi="仿宋" w:eastAsia="仿宋"/>
          <w:sz w:val="32"/>
          <w:szCs w:val="32"/>
        </w:rPr>
        <w:t>、</w:t>
      </w:r>
      <w:r>
        <w:rPr>
          <w:rFonts w:ascii="仿宋" w:hAnsi="仿宋" w:eastAsia="仿宋"/>
          <w:sz w:val="32"/>
          <w:szCs w:val="32"/>
        </w:rPr>
        <w:t>区</w:t>
      </w:r>
      <w:r>
        <w:rPr>
          <w:rFonts w:hint="eastAsia" w:ascii="仿宋" w:hAnsi="仿宋" w:eastAsia="仿宋"/>
          <w:sz w:val="32"/>
          <w:szCs w:val="32"/>
        </w:rPr>
        <w:t>）</w:t>
      </w:r>
      <w:r>
        <w:rPr>
          <w:rFonts w:ascii="仿宋" w:hAnsi="仿宋" w:eastAsia="仿宋"/>
          <w:sz w:val="32"/>
          <w:szCs w:val="32"/>
        </w:rPr>
        <w:t>要认真贯彻落实规划内容，</w:t>
      </w:r>
      <w:r>
        <w:rPr>
          <w:rFonts w:hint="eastAsia" w:ascii="仿宋" w:hAnsi="仿宋" w:eastAsia="仿宋"/>
          <w:sz w:val="32"/>
          <w:szCs w:val="32"/>
        </w:rPr>
        <w:t>编制</w:t>
      </w:r>
      <w:r>
        <w:rPr>
          <w:rFonts w:ascii="仿宋" w:hAnsi="仿宋" w:eastAsia="仿宋"/>
          <w:sz w:val="32"/>
          <w:szCs w:val="32"/>
        </w:rPr>
        <w:t>各类</w:t>
      </w:r>
      <w:r>
        <w:rPr>
          <w:rFonts w:hint="eastAsia" w:ascii="仿宋" w:hAnsi="仿宋" w:eastAsia="仿宋"/>
          <w:sz w:val="32"/>
          <w:szCs w:val="32"/>
        </w:rPr>
        <w:t>专项</w:t>
      </w:r>
      <w:r>
        <w:rPr>
          <w:rFonts w:ascii="仿宋" w:hAnsi="仿宋" w:eastAsia="仿宋"/>
          <w:sz w:val="32"/>
          <w:szCs w:val="32"/>
        </w:rPr>
        <w:t>规划</w:t>
      </w:r>
      <w:r>
        <w:rPr>
          <w:rFonts w:hint="eastAsia" w:ascii="仿宋" w:hAnsi="仿宋" w:eastAsia="仿宋"/>
          <w:sz w:val="32"/>
          <w:szCs w:val="32"/>
        </w:rPr>
        <w:t>时</w:t>
      </w:r>
      <w:r>
        <w:rPr>
          <w:rFonts w:ascii="仿宋" w:hAnsi="仿宋" w:eastAsia="仿宋"/>
          <w:sz w:val="32"/>
          <w:szCs w:val="32"/>
        </w:rPr>
        <w:t>，应</w:t>
      </w:r>
      <w:r>
        <w:rPr>
          <w:rFonts w:hint="eastAsia" w:ascii="仿宋" w:hAnsi="仿宋" w:eastAsia="仿宋"/>
          <w:sz w:val="32"/>
          <w:szCs w:val="32"/>
        </w:rPr>
        <w:t>做好</w:t>
      </w:r>
      <w:r>
        <w:rPr>
          <w:rFonts w:ascii="仿宋" w:hAnsi="仿宋" w:eastAsia="仿宋"/>
          <w:sz w:val="32"/>
          <w:szCs w:val="32"/>
        </w:rPr>
        <w:t>与规划确定</w:t>
      </w:r>
      <w:r>
        <w:rPr>
          <w:rFonts w:hint="eastAsia" w:ascii="仿宋" w:hAnsi="仿宋" w:eastAsia="仿宋"/>
          <w:sz w:val="32"/>
          <w:szCs w:val="32"/>
        </w:rPr>
        <w:t>主要</w:t>
      </w:r>
      <w:r>
        <w:rPr>
          <w:rFonts w:ascii="仿宋" w:hAnsi="仿宋" w:eastAsia="仿宋"/>
          <w:sz w:val="32"/>
          <w:szCs w:val="32"/>
        </w:rPr>
        <w:t>发展目标、指标和重点任务的对接协调，</w:t>
      </w:r>
      <w:r>
        <w:rPr>
          <w:rFonts w:hint="eastAsia" w:ascii="仿宋" w:hAnsi="仿宋" w:eastAsia="仿宋"/>
          <w:sz w:val="32"/>
          <w:szCs w:val="32"/>
        </w:rPr>
        <w:t>特别</w:t>
      </w:r>
      <w:r>
        <w:rPr>
          <w:rFonts w:ascii="仿宋" w:hAnsi="仿宋" w:eastAsia="仿宋"/>
          <w:sz w:val="32"/>
          <w:szCs w:val="32"/>
        </w:rPr>
        <w:t>是加强约束</w:t>
      </w:r>
      <w:r>
        <w:rPr>
          <w:rFonts w:hint="eastAsia" w:ascii="仿宋" w:hAnsi="仿宋" w:eastAsia="仿宋"/>
          <w:sz w:val="32"/>
          <w:szCs w:val="32"/>
        </w:rPr>
        <w:t>性</w:t>
      </w:r>
      <w:r>
        <w:rPr>
          <w:rFonts w:ascii="仿宋" w:hAnsi="仿宋" w:eastAsia="仿宋"/>
          <w:sz w:val="32"/>
          <w:szCs w:val="32"/>
        </w:rPr>
        <w:t>指标和重大任务的衔接和联动，确定规划安排</w:t>
      </w:r>
      <w:r>
        <w:rPr>
          <w:rFonts w:hint="eastAsia" w:ascii="仿宋" w:hAnsi="仿宋" w:eastAsia="仿宋"/>
          <w:sz w:val="32"/>
          <w:szCs w:val="32"/>
        </w:rPr>
        <w:t>落到</w:t>
      </w:r>
      <w:r>
        <w:rPr>
          <w:rFonts w:ascii="仿宋" w:hAnsi="仿宋" w:eastAsia="仿宋"/>
          <w:sz w:val="32"/>
          <w:szCs w:val="32"/>
        </w:rPr>
        <w:t>实处。</w:t>
      </w:r>
    </w:p>
    <w:p w14:paraId="643F958B">
      <w:pPr>
        <w:snapToGrid w:val="0"/>
        <w:spacing w:line="540" w:lineRule="exact"/>
        <w:ind w:firstLine="643"/>
        <w:outlineLvl w:val="2"/>
        <w:rPr>
          <w:rFonts w:ascii="楷体" w:hAnsi="楷体" w:eastAsia="楷体"/>
          <w:b/>
          <w:bCs/>
          <w:kern w:val="0"/>
          <w:sz w:val="32"/>
          <w:szCs w:val="32"/>
        </w:rPr>
      </w:pPr>
      <w:bookmarkStart w:id="469" w:name="_Toc9320"/>
      <w:bookmarkStart w:id="470" w:name="_Toc9060"/>
      <w:bookmarkStart w:id="471" w:name="_Toc28552"/>
      <w:bookmarkStart w:id="472" w:name="_Toc32624"/>
      <w:bookmarkStart w:id="473" w:name="_Toc17665"/>
      <w:r>
        <w:rPr>
          <w:rFonts w:hint="eastAsia" w:ascii="楷体" w:hAnsi="楷体" w:eastAsia="楷体"/>
          <w:b/>
          <w:bCs/>
          <w:kern w:val="0"/>
          <w:sz w:val="32"/>
          <w:szCs w:val="32"/>
        </w:rPr>
        <w:t>（二）保障规划的引领作用</w:t>
      </w:r>
      <w:bookmarkEnd w:id="469"/>
      <w:bookmarkEnd w:id="470"/>
      <w:bookmarkEnd w:id="471"/>
      <w:bookmarkEnd w:id="472"/>
      <w:bookmarkEnd w:id="473"/>
    </w:p>
    <w:p w14:paraId="46F7A10C">
      <w:pPr>
        <w:snapToGrid w:val="0"/>
        <w:spacing w:line="540" w:lineRule="exact"/>
        <w:ind w:firstLine="640"/>
        <w:rPr>
          <w:rFonts w:ascii="仿宋" w:hAnsi="仿宋"/>
          <w:sz w:val="32"/>
          <w:szCs w:val="32"/>
        </w:rPr>
      </w:pPr>
      <w:r>
        <w:rPr>
          <w:rFonts w:hint="eastAsia" w:ascii="仿宋" w:hAnsi="仿宋"/>
          <w:sz w:val="32"/>
          <w:szCs w:val="32"/>
        </w:rPr>
        <w:t>本规划作为泉州市</w:t>
      </w:r>
      <w:r>
        <w:rPr>
          <w:rFonts w:ascii="仿宋" w:hAnsi="仿宋"/>
          <w:sz w:val="32"/>
          <w:szCs w:val="32"/>
        </w:rPr>
        <w:t>城乡基础设施建设与管理未来</w:t>
      </w:r>
      <w:r>
        <w:rPr>
          <w:rFonts w:hint="eastAsia" w:ascii="仿宋" w:hAnsi="仿宋"/>
          <w:sz w:val="32"/>
          <w:szCs w:val="32"/>
        </w:rPr>
        <w:t>5</w:t>
      </w:r>
      <w:r>
        <w:rPr>
          <w:rFonts w:ascii="仿宋" w:hAnsi="仿宋"/>
          <w:sz w:val="32"/>
          <w:szCs w:val="32"/>
        </w:rPr>
        <w:t>年</w:t>
      </w:r>
      <w:r>
        <w:rPr>
          <w:rFonts w:hint="eastAsia" w:ascii="仿宋" w:hAnsi="仿宋"/>
          <w:sz w:val="32"/>
          <w:szCs w:val="32"/>
        </w:rPr>
        <w:t>发展的纲领</w:t>
      </w:r>
      <w:r>
        <w:rPr>
          <w:rFonts w:ascii="仿宋" w:hAnsi="仿宋"/>
          <w:sz w:val="32"/>
          <w:szCs w:val="32"/>
        </w:rPr>
        <w:t>性规划，</w:t>
      </w:r>
      <w:r>
        <w:rPr>
          <w:rFonts w:hint="eastAsia" w:ascii="仿宋" w:hAnsi="仿宋"/>
          <w:sz w:val="32"/>
          <w:szCs w:val="32"/>
        </w:rPr>
        <w:t>应保障规划在未来城市</w:t>
      </w:r>
      <w:r>
        <w:rPr>
          <w:rFonts w:ascii="仿宋" w:hAnsi="仿宋"/>
          <w:sz w:val="32"/>
          <w:szCs w:val="32"/>
        </w:rPr>
        <w:t>建设中</w:t>
      </w:r>
      <w:r>
        <w:rPr>
          <w:rFonts w:hint="eastAsia" w:ascii="仿宋" w:hAnsi="仿宋"/>
          <w:sz w:val="32"/>
          <w:szCs w:val="32"/>
        </w:rPr>
        <w:t>处于统领地位，居于相关</w:t>
      </w:r>
      <w:r>
        <w:rPr>
          <w:rFonts w:ascii="仿宋" w:hAnsi="仿宋"/>
          <w:sz w:val="32"/>
          <w:szCs w:val="32"/>
        </w:rPr>
        <w:t>专项</w:t>
      </w:r>
      <w:r>
        <w:rPr>
          <w:rFonts w:hint="eastAsia" w:ascii="仿宋" w:hAnsi="仿宋"/>
          <w:sz w:val="32"/>
          <w:szCs w:val="32"/>
        </w:rPr>
        <w:t>规划体系上位，强化本规划对城乡</w:t>
      </w:r>
      <w:r>
        <w:rPr>
          <w:rFonts w:ascii="仿宋" w:hAnsi="仿宋"/>
          <w:sz w:val="32"/>
          <w:szCs w:val="32"/>
        </w:rPr>
        <w:t>基础设施建设与管理方面的</w:t>
      </w:r>
      <w:r>
        <w:rPr>
          <w:rFonts w:hint="eastAsia" w:ascii="仿宋" w:hAnsi="仿宋"/>
          <w:sz w:val="32"/>
          <w:szCs w:val="32"/>
        </w:rPr>
        <w:t>统揽引领。</w:t>
      </w:r>
    </w:p>
    <w:p w14:paraId="342F797A">
      <w:pPr>
        <w:pStyle w:val="30"/>
        <w:snapToGrid w:val="0"/>
        <w:spacing w:before="197" w:beforeLines="50" w:after="197" w:afterLines="50" w:line="540" w:lineRule="exact"/>
        <w:ind w:firstLine="643"/>
        <w:outlineLvl w:val="1"/>
        <w:rPr>
          <w:rFonts w:ascii="黑体" w:hAnsi="黑体" w:eastAsia="黑体"/>
          <w:b/>
          <w:bCs/>
          <w:kern w:val="0"/>
          <w:sz w:val="32"/>
          <w:szCs w:val="32"/>
        </w:rPr>
      </w:pPr>
      <w:bookmarkStart w:id="474" w:name="_Toc22594"/>
      <w:bookmarkStart w:id="475" w:name="_Toc29927"/>
      <w:bookmarkStart w:id="476" w:name="_Toc8951"/>
      <w:bookmarkStart w:id="477" w:name="_Toc62163292"/>
      <w:bookmarkStart w:id="478" w:name="_Toc21768"/>
      <w:bookmarkStart w:id="479" w:name="_Toc62176704"/>
      <w:bookmarkStart w:id="480" w:name="_Toc63077482"/>
      <w:bookmarkStart w:id="481" w:name="_Toc15000"/>
      <w:r>
        <w:rPr>
          <w:rFonts w:hint="eastAsia" w:ascii="黑体" w:hAnsi="黑体" w:eastAsia="黑体"/>
          <w:b/>
          <w:bCs/>
          <w:kern w:val="0"/>
          <w:sz w:val="32"/>
          <w:szCs w:val="32"/>
        </w:rPr>
        <w:t>二、加强规划实施保障</w:t>
      </w:r>
      <w:bookmarkEnd w:id="474"/>
      <w:bookmarkEnd w:id="475"/>
      <w:bookmarkEnd w:id="476"/>
      <w:bookmarkEnd w:id="477"/>
      <w:bookmarkEnd w:id="478"/>
      <w:bookmarkEnd w:id="479"/>
      <w:bookmarkEnd w:id="480"/>
      <w:bookmarkEnd w:id="481"/>
    </w:p>
    <w:p w14:paraId="5D1EF412">
      <w:pPr>
        <w:snapToGrid w:val="0"/>
        <w:spacing w:line="540" w:lineRule="exact"/>
        <w:ind w:firstLine="643"/>
        <w:outlineLvl w:val="2"/>
        <w:rPr>
          <w:rFonts w:ascii="楷体" w:hAnsi="楷体" w:eastAsia="楷体"/>
          <w:b/>
          <w:bCs/>
          <w:kern w:val="0"/>
          <w:sz w:val="32"/>
          <w:szCs w:val="32"/>
        </w:rPr>
      </w:pPr>
      <w:bookmarkStart w:id="482" w:name="_Toc11076"/>
      <w:bookmarkStart w:id="483" w:name="_Toc30913"/>
      <w:bookmarkStart w:id="484" w:name="_Toc31833"/>
      <w:bookmarkStart w:id="485" w:name="_Toc3163"/>
      <w:bookmarkStart w:id="486" w:name="_Toc16829"/>
      <w:r>
        <w:rPr>
          <w:rFonts w:hint="eastAsia" w:ascii="楷体" w:hAnsi="楷体" w:eastAsia="楷体"/>
          <w:b/>
          <w:bCs/>
          <w:kern w:val="0"/>
          <w:sz w:val="32"/>
          <w:szCs w:val="32"/>
        </w:rPr>
        <w:t>（一）</w:t>
      </w:r>
      <w:r>
        <w:rPr>
          <w:rFonts w:ascii="楷体" w:hAnsi="楷体" w:eastAsia="楷体"/>
          <w:b/>
          <w:bCs/>
          <w:kern w:val="0"/>
          <w:sz w:val="32"/>
          <w:szCs w:val="32"/>
        </w:rPr>
        <w:t>加强组织领导</w:t>
      </w:r>
      <w:bookmarkEnd w:id="482"/>
      <w:bookmarkEnd w:id="483"/>
      <w:bookmarkEnd w:id="484"/>
      <w:bookmarkEnd w:id="485"/>
      <w:bookmarkEnd w:id="486"/>
    </w:p>
    <w:p w14:paraId="1F795032">
      <w:pPr>
        <w:snapToGrid w:val="0"/>
        <w:spacing w:line="540" w:lineRule="exact"/>
        <w:ind w:firstLine="643"/>
        <w:rPr>
          <w:rFonts w:ascii="仿宋" w:hAnsi="仿宋"/>
          <w:sz w:val="32"/>
          <w:szCs w:val="32"/>
        </w:rPr>
      </w:pPr>
      <w:r>
        <w:rPr>
          <w:rFonts w:ascii="仿宋" w:hAnsi="仿宋" w:cs="宋体"/>
          <w:b/>
          <w:bCs/>
          <w:kern w:val="0"/>
          <w:sz w:val="32"/>
          <w:szCs w:val="32"/>
        </w:rPr>
        <w:t>1.</w:t>
      </w:r>
      <w:r>
        <w:rPr>
          <w:rFonts w:hint="eastAsia" w:ascii="仿宋" w:hAnsi="仿宋" w:cs="宋体"/>
          <w:b/>
          <w:bCs/>
          <w:kern w:val="0"/>
          <w:sz w:val="32"/>
          <w:szCs w:val="32"/>
        </w:rPr>
        <w:t>明确工作责任。</w:t>
      </w:r>
      <w:r>
        <w:rPr>
          <w:rFonts w:hint="eastAsia" w:ascii="仿宋" w:hAnsi="仿宋"/>
          <w:sz w:val="32"/>
          <w:szCs w:val="32"/>
        </w:rPr>
        <w:t>各级政府要将城乡建设工作纳入重要议事日程，强化谋划研究部署，按照“工作项目化、项目清单化”的要求，制定具体工作计划并实施通报制度。进度落后的项目，要明确责任单位，研究落实解决问题的时间表、路线图、责任人。各县级政府要落实属地责任，建立定期协调机制，抓紧推进实施，确保高质量完成各项工作任务。</w:t>
      </w:r>
    </w:p>
    <w:p w14:paraId="48160E63">
      <w:pPr>
        <w:snapToGrid w:val="0"/>
        <w:spacing w:line="540" w:lineRule="exact"/>
        <w:ind w:firstLine="643"/>
        <w:rPr>
          <w:rFonts w:ascii="仿宋" w:hAnsi="仿宋"/>
          <w:sz w:val="32"/>
          <w:szCs w:val="32"/>
        </w:rPr>
      </w:pPr>
      <w:r>
        <w:rPr>
          <w:rFonts w:ascii="仿宋" w:hAnsi="仿宋" w:cs="宋体"/>
          <w:b/>
          <w:bCs/>
          <w:kern w:val="0"/>
          <w:sz w:val="32"/>
          <w:szCs w:val="32"/>
        </w:rPr>
        <w:t>2.</w:t>
      </w:r>
      <w:r>
        <w:rPr>
          <w:rFonts w:hint="eastAsia" w:ascii="仿宋" w:hAnsi="仿宋" w:cs="宋体"/>
          <w:b/>
          <w:bCs/>
          <w:kern w:val="0"/>
          <w:sz w:val="32"/>
          <w:szCs w:val="32"/>
        </w:rPr>
        <w:t>健全工作机制。</w:t>
      </w:r>
      <w:r>
        <w:rPr>
          <w:rFonts w:hint="eastAsia" w:ascii="仿宋" w:hAnsi="仿宋"/>
          <w:sz w:val="32"/>
          <w:szCs w:val="32"/>
        </w:rPr>
        <w:t>重点抓历史文化复兴、片区更新、城乡品质提升、城乡环境整治、城市快速</w:t>
      </w:r>
      <w:r>
        <w:rPr>
          <w:rFonts w:ascii="仿宋" w:hAnsi="仿宋"/>
          <w:sz w:val="32"/>
          <w:szCs w:val="32"/>
        </w:rPr>
        <w:t>交通系统建设</w:t>
      </w:r>
      <w:r>
        <w:rPr>
          <w:rFonts w:hint="eastAsia" w:ascii="仿宋" w:hAnsi="仿宋"/>
          <w:sz w:val="32"/>
          <w:szCs w:val="32"/>
        </w:rPr>
        <w:t>、水环境综合治理区域、城市精细化管理等重要民生</w:t>
      </w:r>
      <w:r>
        <w:rPr>
          <w:rFonts w:ascii="仿宋" w:hAnsi="仿宋"/>
          <w:sz w:val="32"/>
          <w:szCs w:val="32"/>
        </w:rPr>
        <w:t>福祉领域</w:t>
      </w:r>
      <w:r>
        <w:rPr>
          <w:rFonts w:hint="eastAsia" w:ascii="仿宋" w:hAnsi="仿宋"/>
          <w:sz w:val="32"/>
          <w:szCs w:val="32"/>
        </w:rPr>
        <w:t>，通过</w:t>
      </w:r>
      <w:r>
        <w:rPr>
          <w:rFonts w:ascii="仿宋" w:hAnsi="仿宋"/>
          <w:sz w:val="32"/>
          <w:szCs w:val="32"/>
        </w:rPr>
        <w:t>典型示范样板</w:t>
      </w:r>
      <w:r>
        <w:rPr>
          <w:rFonts w:hint="eastAsia" w:ascii="仿宋" w:hAnsi="仿宋"/>
          <w:sz w:val="32"/>
          <w:szCs w:val="32"/>
        </w:rPr>
        <w:t>，</w:t>
      </w:r>
      <w:r>
        <w:rPr>
          <w:rFonts w:ascii="仿宋" w:hAnsi="仿宋"/>
          <w:sz w:val="32"/>
          <w:szCs w:val="32"/>
        </w:rPr>
        <w:t>发挥引领作用。</w:t>
      </w:r>
      <w:r>
        <w:rPr>
          <w:rFonts w:hint="eastAsia" w:ascii="仿宋" w:hAnsi="仿宋"/>
          <w:sz w:val="32"/>
          <w:szCs w:val="32"/>
        </w:rPr>
        <w:t>各级各有关部门要进一步深化工程建设项目审批制度改革，提速项目审批。积极推进土地管理制度要素改革创新，保障城乡建设重大工程项目建设用地。加强工程建设项目监管，指导项目规范实施。</w:t>
      </w:r>
    </w:p>
    <w:p w14:paraId="2EA0C667">
      <w:pPr>
        <w:snapToGrid w:val="0"/>
        <w:spacing w:line="540" w:lineRule="exact"/>
        <w:ind w:firstLine="643"/>
        <w:outlineLvl w:val="2"/>
        <w:rPr>
          <w:rFonts w:ascii="楷体" w:hAnsi="楷体" w:eastAsia="楷体"/>
          <w:b/>
          <w:bCs/>
          <w:kern w:val="0"/>
          <w:sz w:val="32"/>
          <w:szCs w:val="32"/>
        </w:rPr>
      </w:pPr>
      <w:bookmarkStart w:id="487" w:name="_Toc29288"/>
      <w:bookmarkStart w:id="488" w:name="_Toc5076"/>
      <w:bookmarkStart w:id="489" w:name="_Toc9005"/>
      <w:bookmarkStart w:id="490" w:name="_Toc8454"/>
      <w:bookmarkStart w:id="491" w:name="_Toc19421"/>
      <w:r>
        <w:rPr>
          <w:rFonts w:hint="eastAsia" w:ascii="楷体" w:hAnsi="楷体" w:eastAsia="楷体"/>
          <w:b/>
          <w:bCs/>
          <w:kern w:val="0"/>
          <w:sz w:val="32"/>
          <w:szCs w:val="32"/>
        </w:rPr>
        <w:t>（二）探索土地保障</w:t>
      </w:r>
      <w:r>
        <w:rPr>
          <w:rFonts w:ascii="楷体" w:hAnsi="楷体" w:eastAsia="楷体"/>
          <w:b/>
          <w:bCs/>
          <w:kern w:val="0"/>
          <w:sz w:val="32"/>
          <w:szCs w:val="32"/>
        </w:rPr>
        <w:t>机制</w:t>
      </w:r>
      <w:bookmarkEnd w:id="487"/>
      <w:bookmarkEnd w:id="488"/>
      <w:bookmarkEnd w:id="489"/>
      <w:bookmarkEnd w:id="490"/>
      <w:bookmarkEnd w:id="491"/>
    </w:p>
    <w:p w14:paraId="74B04EAE">
      <w:pPr>
        <w:snapToGrid w:val="0"/>
        <w:spacing w:line="540" w:lineRule="exact"/>
        <w:ind w:firstLine="643"/>
        <w:rPr>
          <w:sz w:val="32"/>
          <w:szCs w:val="32"/>
        </w:rPr>
      </w:pPr>
      <w:r>
        <w:rPr>
          <w:rFonts w:ascii="仿宋" w:hAnsi="仿宋"/>
          <w:b/>
          <w:sz w:val="32"/>
          <w:szCs w:val="32"/>
        </w:rPr>
        <w:t>1.</w:t>
      </w:r>
      <w:r>
        <w:rPr>
          <w:rFonts w:hint="eastAsia" w:ascii="仿宋" w:hAnsi="仿宋"/>
          <w:b/>
          <w:sz w:val="32"/>
          <w:szCs w:val="32"/>
        </w:rPr>
        <w:t>落实用地规模和指标。</w:t>
      </w:r>
      <w:r>
        <w:rPr>
          <w:rFonts w:hint="eastAsia"/>
          <w:sz w:val="32"/>
          <w:szCs w:val="32"/>
        </w:rPr>
        <w:t>严格执行土地利用总体规划实施管理规定，完善征收安置用地报批手续，征收安置用地可与基础设施主体工程用地一并报批，在符合土地利用总体规划的前提下核定征收安置用地规模。</w:t>
      </w:r>
    </w:p>
    <w:p w14:paraId="54D8B750">
      <w:pPr>
        <w:snapToGrid w:val="0"/>
        <w:spacing w:line="540" w:lineRule="exact"/>
        <w:ind w:firstLine="643"/>
        <w:rPr>
          <w:sz w:val="32"/>
          <w:szCs w:val="32"/>
        </w:rPr>
      </w:pPr>
      <w:r>
        <w:rPr>
          <w:rFonts w:ascii="仿宋" w:hAnsi="仿宋"/>
          <w:b/>
          <w:sz w:val="32"/>
          <w:szCs w:val="32"/>
        </w:rPr>
        <w:t>2.探索节约集约利用</w:t>
      </w:r>
      <w:r>
        <w:rPr>
          <w:rFonts w:hint="eastAsia" w:ascii="仿宋" w:hAnsi="仿宋"/>
          <w:b/>
          <w:sz w:val="32"/>
          <w:szCs w:val="32"/>
        </w:rPr>
        <w:t>。</w:t>
      </w:r>
      <w:r>
        <w:rPr>
          <w:rFonts w:hint="eastAsia"/>
          <w:sz w:val="32"/>
          <w:szCs w:val="32"/>
        </w:rPr>
        <w:t>完善以公共利益需要为目的的集体土地征收制度，从国土空间规划、征收用途细分方面减少对耕地的侵占；探索利用集体经营性建设用地存量，扩大建设用地市场供给，减少因城乡基础设施发展需要对耕地的进一步侵占；鼓励或通过立法规定部分投融项目退出划拨用地目录，以市场配置方式增加用地成本、资产总量和融资能力，促节约进集约利用土地</w:t>
      </w:r>
      <w:r>
        <w:rPr>
          <w:rFonts w:hint="eastAsia" w:ascii="仿宋" w:hAnsi="仿宋"/>
          <w:sz w:val="32"/>
          <w:szCs w:val="32"/>
        </w:rPr>
        <w:t>。</w:t>
      </w:r>
    </w:p>
    <w:p w14:paraId="7E2E9064">
      <w:pPr>
        <w:snapToGrid w:val="0"/>
        <w:spacing w:line="540" w:lineRule="exact"/>
        <w:ind w:firstLine="643"/>
        <w:outlineLvl w:val="2"/>
        <w:rPr>
          <w:rFonts w:ascii="楷体" w:hAnsi="楷体" w:eastAsia="楷体"/>
          <w:b/>
          <w:bCs/>
          <w:kern w:val="0"/>
          <w:sz w:val="32"/>
          <w:szCs w:val="32"/>
        </w:rPr>
      </w:pPr>
      <w:bookmarkStart w:id="492" w:name="_Toc22953"/>
      <w:bookmarkStart w:id="493" w:name="_Toc7641"/>
      <w:bookmarkStart w:id="494" w:name="_Toc30269"/>
      <w:bookmarkStart w:id="495" w:name="_Toc17120"/>
      <w:bookmarkStart w:id="496" w:name="_Toc9841"/>
      <w:r>
        <w:rPr>
          <w:rFonts w:hint="eastAsia" w:ascii="楷体" w:hAnsi="楷体" w:eastAsia="楷体"/>
          <w:b/>
          <w:bCs/>
          <w:kern w:val="0"/>
          <w:sz w:val="32"/>
          <w:szCs w:val="32"/>
        </w:rPr>
        <w:t>（三）</w:t>
      </w:r>
      <w:r>
        <w:rPr>
          <w:rFonts w:ascii="楷体" w:hAnsi="楷体" w:eastAsia="楷体"/>
          <w:b/>
          <w:bCs/>
          <w:kern w:val="0"/>
          <w:sz w:val="32"/>
          <w:szCs w:val="32"/>
        </w:rPr>
        <w:t>保障资金投入</w:t>
      </w:r>
      <w:bookmarkEnd w:id="492"/>
      <w:bookmarkEnd w:id="493"/>
      <w:bookmarkEnd w:id="494"/>
      <w:bookmarkEnd w:id="495"/>
      <w:bookmarkEnd w:id="496"/>
    </w:p>
    <w:p w14:paraId="7F274A49">
      <w:pPr>
        <w:snapToGrid w:val="0"/>
        <w:spacing w:line="540" w:lineRule="exact"/>
        <w:ind w:firstLine="643"/>
        <w:rPr>
          <w:rFonts w:ascii="仿宋" w:hAnsi="仿宋"/>
          <w:sz w:val="32"/>
          <w:szCs w:val="32"/>
        </w:rPr>
      </w:pPr>
      <w:r>
        <w:rPr>
          <w:rFonts w:ascii="仿宋" w:hAnsi="仿宋"/>
          <w:b/>
          <w:sz w:val="32"/>
          <w:szCs w:val="32"/>
        </w:rPr>
        <w:t>1.</w:t>
      </w:r>
      <w:r>
        <w:rPr>
          <w:rFonts w:hint="eastAsia" w:ascii="仿宋" w:hAnsi="仿宋"/>
          <w:b/>
          <w:sz w:val="32"/>
          <w:szCs w:val="32"/>
        </w:rPr>
        <w:t>要积极推动项目“争规列盘”。</w:t>
      </w:r>
      <w:r>
        <w:rPr>
          <w:rFonts w:hint="eastAsia" w:ascii="仿宋" w:hAnsi="仿宋"/>
          <w:sz w:val="32"/>
          <w:szCs w:val="32"/>
        </w:rPr>
        <w:t>用好</w:t>
      </w:r>
      <w:r>
        <w:rPr>
          <w:rFonts w:ascii="仿宋" w:hAnsi="仿宋"/>
          <w:sz w:val="32"/>
          <w:szCs w:val="32"/>
        </w:rPr>
        <w:t>闽台战略、</w:t>
      </w:r>
      <w:r>
        <w:rPr>
          <w:rFonts w:hint="eastAsia" w:ascii="仿宋" w:hAnsi="仿宋"/>
          <w:sz w:val="32"/>
          <w:szCs w:val="32"/>
          <w:lang w:eastAsia="zh-CN"/>
        </w:rPr>
        <w:t>“</w:t>
      </w:r>
      <w:r>
        <w:rPr>
          <w:rFonts w:hint="eastAsia" w:ascii="仿宋" w:hAnsi="仿宋"/>
          <w:sz w:val="32"/>
          <w:szCs w:val="32"/>
        </w:rPr>
        <w:t>一带一路</w:t>
      </w:r>
      <w:r>
        <w:rPr>
          <w:rFonts w:hint="eastAsia" w:ascii="仿宋" w:hAnsi="仿宋"/>
          <w:sz w:val="32"/>
          <w:szCs w:val="32"/>
          <w:lang w:eastAsia="zh-CN"/>
        </w:rPr>
        <w:t>”</w:t>
      </w:r>
      <w:r>
        <w:rPr>
          <w:rFonts w:hint="eastAsia" w:ascii="仿宋" w:hAnsi="仿宋"/>
          <w:sz w:val="32"/>
          <w:szCs w:val="32"/>
          <w:lang w:val="en-US" w:eastAsia="zh-CN"/>
        </w:rPr>
        <w:t>倡议</w:t>
      </w:r>
      <w:r>
        <w:rPr>
          <w:rFonts w:ascii="仿宋" w:hAnsi="仿宋"/>
          <w:sz w:val="32"/>
          <w:szCs w:val="32"/>
        </w:rPr>
        <w:t>、</w:t>
      </w:r>
      <w:r>
        <w:rPr>
          <w:rFonts w:hint="eastAsia" w:ascii="仿宋" w:hAnsi="仿宋"/>
          <w:sz w:val="32"/>
          <w:szCs w:val="32"/>
        </w:rPr>
        <w:t>闽西南协同发展区</w:t>
      </w:r>
      <w:bookmarkStart w:id="525" w:name="_GoBack"/>
      <w:bookmarkEnd w:id="525"/>
      <w:r>
        <w:rPr>
          <w:rFonts w:hint="eastAsia" w:ascii="仿宋" w:hAnsi="仿宋"/>
          <w:sz w:val="32"/>
          <w:szCs w:val="32"/>
        </w:rPr>
        <w:t>等国</w:t>
      </w:r>
      <w:r>
        <w:rPr>
          <w:rFonts w:ascii="仿宋" w:hAnsi="仿宋"/>
          <w:sz w:val="32"/>
          <w:szCs w:val="32"/>
        </w:rPr>
        <w:t>家</w:t>
      </w:r>
      <w:r>
        <w:rPr>
          <w:rFonts w:hint="eastAsia" w:ascii="仿宋" w:hAnsi="仿宋"/>
          <w:sz w:val="32"/>
          <w:szCs w:val="32"/>
        </w:rPr>
        <w:t>和</w:t>
      </w:r>
      <w:r>
        <w:rPr>
          <w:rFonts w:ascii="仿宋" w:hAnsi="仿宋"/>
          <w:sz w:val="32"/>
          <w:szCs w:val="32"/>
        </w:rPr>
        <w:t>省</w:t>
      </w:r>
      <w:r>
        <w:rPr>
          <w:rFonts w:hint="eastAsia" w:ascii="仿宋" w:hAnsi="仿宋"/>
          <w:sz w:val="32"/>
          <w:szCs w:val="32"/>
        </w:rPr>
        <w:t>的</w:t>
      </w:r>
      <w:r>
        <w:rPr>
          <w:rFonts w:ascii="仿宋" w:hAnsi="仿宋"/>
          <w:sz w:val="32"/>
          <w:szCs w:val="32"/>
        </w:rPr>
        <w:t>发展</w:t>
      </w:r>
      <w:r>
        <w:rPr>
          <w:rFonts w:hint="eastAsia" w:ascii="仿宋" w:hAnsi="仿宋"/>
          <w:sz w:val="32"/>
          <w:szCs w:val="32"/>
        </w:rPr>
        <w:t>战略，积极策划污水治理、老旧小区改造、古城提质等申请列入中央预算内投资建设项目，</w:t>
      </w:r>
      <w:r>
        <w:rPr>
          <w:rFonts w:ascii="仿宋" w:hAnsi="仿宋"/>
          <w:sz w:val="32"/>
          <w:szCs w:val="32"/>
        </w:rPr>
        <w:t>将</w:t>
      </w:r>
      <w:r>
        <w:rPr>
          <w:rFonts w:hint="eastAsia" w:ascii="仿宋" w:hAnsi="仿宋"/>
          <w:sz w:val="32"/>
          <w:szCs w:val="32"/>
        </w:rPr>
        <w:t>重大</w:t>
      </w:r>
      <w:r>
        <w:rPr>
          <w:rFonts w:ascii="仿宋" w:hAnsi="仿宋"/>
          <w:sz w:val="32"/>
          <w:szCs w:val="32"/>
        </w:rPr>
        <w:t>城乡基础设施建设</w:t>
      </w:r>
      <w:r>
        <w:rPr>
          <w:rFonts w:hint="eastAsia" w:ascii="仿宋" w:hAnsi="仿宋"/>
          <w:sz w:val="32"/>
          <w:szCs w:val="32"/>
        </w:rPr>
        <w:t>项目上升到国家和省战略层面，争取上级部门财政预算资金、政策和</w:t>
      </w:r>
      <w:r>
        <w:rPr>
          <w:rFonts w:ascii="仿宋" w:hAnsi="仿宋"/>
          <w:sz w:val="32"/>
          <w:szCs w:val="32"/>
        </w:rPr>
        <w:t>技术</w:t>
      </w:r>
      <w:r>
        <w:rPr>
          <w:rFonts w:hint="eastAsia" w:ascii="仿宋" w:hAnsi="仿宋"/>
          <w:sz w:val="32"/>
          <w:szCs w:val="32"/>
        </w:rPr>
        <w:t>支持泉州市城乡基础设施建设</w:t>
      </w:r>
      <w:r>
        <w:rPr>
          <w:rFonts w:ascii="仿宋" w:hAnsi="仿宋"/>
          <w:sz w:val="32"/>
          <w:szCs w:val="32"/>
        </w:rPr>
        <w:t>，</w:t>
      </w:r>
      <w:r>
        <w:rPr>
          <w:rFonts w:hint="eastAsia" w:ascii="仿宋" w:hAnsi="仿宋"/>
          <w:sz w:val="32"/>
          <w:szCs w:val="32"/>
        </w:rPr>
        <w:t>为全市经济社会发展注入生机和活力。</w:t>
      </w:r>
    </w:p>
    <w:p w14:paraId="39894FCB">
      <w:pPr>
        <w:snapToGrid w:val="0"/>
        <w:spacing w:line="540" w:lineRule="exact"/>
        <w:ind w:firstLine="643"/>
        <w:rPr>
          <w:rFonts w:ascii="仿宋" w:hAnsi="仿宋"/>
          <w:sz w:val="32"/>
          <w:szCs w:val="32"/>
        </w:rPr>
      </w:pPr>
      <w:r>
        <w:rPr>
          <w:rFonts w:ascii="仿宋" w:hAnsi="仿宋"/>
          <w:b/>
          <w:sz w:val="32"/>
          <w:szCs w:val="32"/>
        </w:rPr>
        <w:t>2.</w:t>
      </w:r>
      <w:r>
        <w:rPr>
          <w:rFonts w:hint="eastAsia" w:ascii="仿宋" w:hAnsi="仿宋"/>
          <w:b/>
          <w:sz w:val="32"/>
          <w:szCs w:val="32"/>
        </w:rPr>
        <w:t>争取政府专项债券资金投入。</w:t>
      </w:r>
      <w:r>
        <w:rPr>
          <w:rFonts w:hint="eastAsia" w:ascii="仿宋" w:hAnsi="仿宋"/>
          <w:sz w:val="32"/>
          <w:szCs w:val="32"/>
        </w:rPr>
        <w:t>按照国家专项债券政策</w:t>
      </w:r>
      <w:r>
        <w:rPr>
          <w:rFonts w:ascii="仿宋" w:hAnsi="仿宋"/>
          <w:sz w:val="32"/>
          <w:szCs w:val="32"/>
        </w:rPr>
        <w:t>，</w:t>
      </w:r>
      <w:r>
        <w:rPr>
          <w:rFonts w:ascii="仿宋" w:hAnsi="仿宋" w:cs="Arial"/>
          <w:sz w:val="32"/>
          <w:szCs w:val="32"/>
        </w:rPr>
        <w:t>在交通基础设施、能源项目、生态环保、民生服务、市政</w:t>
      </w:r>
      <w:r>
        <w:rPr>
          <w:rFonts w:hint="eastAsia" w:ascii="仿宋" w:hAnsi="仿宋" w:cs="Arial"/>
          <w:sz w:val="32"/>
          <w:szCs w:val="32"/>
        </w:rPr>
        <w:t>基础</w:t>
      </w:r>
      <w:r>
        <w:rPr>
          <w:rFonts w:ascii="仿宋" w:hAnsi="仿宋" w:cs="Arial"/>
          <w:sz w:val="32"/>
          <w:szCs w:val="32"/>
        </w:rPr>
        <w:t>设施和产业园区基础设施</w:t>
      </w:r>
      <w:r>
        <w:rPr>
          <w:rFonts w:hint="eastAsia" w:ascii="仿宋" w:hAnsi="仿宋" w:cs="Arial"/>
          <w:sz w:val="32"/>
          <w:szCs w:val="32"/>
        </w:rPr>
        <w:t>、</w:t>
      </w:r>
      <w:r>
        <w:rPr>
          <w:rFonts w:ascii="仿宋" w:hAnsi="仿宋" w:cs="Arial"/>
          <w:sz w:val="32"/>
          <w:szCs w:val="32"/>
        </w:rPr>
        <w:t>城镇老旧小区改造</w:t>
      </w:r>
      <w:r>
        <w:rPr>
          <w:rFonts w:hint="eastAsia" w:ascii="仿宋" w:hAnsi="仿宋" w:cs="Arial"/>
          <w:sz w:val="32"/>
          <w:szCs w:val="32"/>
        </w:rPr>
        <w:t>等</w:t>
      </w:r>
      <w:r>
        <w:rPr>
          <w:rFonts w:ascii="仿宋" w:hAnsi="仿宋" w:cs="Arial"/>
          <w:sz w:val="32"/>
          <w:szCs w:val="32"/>
        </w:rPr>
        <w:t>领域提高专项债券</w:t>
      </w:r>
      <w:r>
        <w:rPr>
          <w:rFonts w:hint="eastAsia" w:ascii="仿宋" w:hAnsi="仿宋" w:cs="Arial"/>
          <w:sz w:val="32"/>
          <w:szCs w:val="32"/>
        </w:rPr>
        <w:t>的</w:t>
      </w:r>
      <w:r>
        <w:rPr>
          <w:rFonts w:ascii="仿宋" w:hAnsi="仿宋" w:cs="Arial"/>
          <w:sz w:val="32"/>
          <w:szCs w:val="32"/>
        </w:rPr>
        <w:t>资本金比例</w:t>
      </w:r>
      <w:r>
        <w:rPr>
          <w:rFonts w:hint="eastAsia" w:ascii="仿宋" w:hAnsi="仿宋" w:cs="Arial"/>
          <w:sz w:val="32"/>
          <w:szCs w:val="32"/>
        </w:rPr>
        <w:t>，加快相关项目建设进度，确保专项债券发行收入可以迅速使用</w:t>
      </w:r>
      <w:r>
        <w:rPr>
          <w:rFonts w:hint="eastAsia" w:ascii="仿宋" w:hAnsi="仿宋"/>
          <w:sz w:val="32"/>
          <w:szCs w:val="32"/>
        </w:rPr>
        <w:t>。</w:t>
      </w:r>
    </w:p>
    <w:p w14:paraId="6508A4BC">
      <w:pPr>
        <w:snapToGrid w:val="0"/>
        <w:spacing w:line="540" w:lineRule="exact"/>
        <w:ind w:firstLine="643"/>
        <w:rPr>
          <w:rFonts w:ascii="仿宋" w:hAnsi="仿宋"/>
          <w:sz w:val="32"/>
          <w:szCs w:val="32"/>
        </w:rPr>
      </w:pPr>
      <w:r>
        <w:rPr>
          <w:rFonts w:ascii="仿宋" w:hAnsi="仿宋"/>
          <w:b/>
          <w:sz w:val="32"/>
          <w:szCs w:val="32"/>
        </w:rPr>
        <w:t>3.</w:t>
      </w:r>
      <w:r>
        <w:rPr>
          <w:rFonts w:hint="eastAsia" w:ascii="仿宋" w:hAnsi="仿宋"/>
          <w:b/>
          <w:sz w:val="32"/>
          <w:szCs w:val="32"/>
        </w:rPr>
        <w:t>充分调动民间投资积极性。</w:t>
      </w:r>
      <w:r>
        <w:rPr>
          <w:rFonts w:hint="eastAsia" w:ascii="仿宋" w:hAnsi="仿宋"/>
          <w:sz w:val="32"/>
          <w:szCs w:val="32"/>
        </w:rPr>
        <w:t>弘扬</w:t>
      </w:r>
      <w:r>
        <w:rPr>
          <w:rFonts w:ascii="仿宋" w:hAnsi="仿宋"/>
          <w:sz w:val="32"/>
          <w:szCs w:val="32"/>
        </w:rPr>
        <w:t>“</w:t>
      </w:r>
      <w:r>
        <w:rPr>
          <w:rFonts w:hint="eastAsia" w:ascii="仿宋" w:hAnsi="仿宋"/>
          <w:sz w:val="32"/>
          <w:szCs w:val="32"/>
        </w:rPr>
        <w:t>晋江经验</w:t>
      </w:r>
      <w:r>
        <w:rPr>
          <w:rFonts w:ascii="仿宋" w:hAnsi="仿宋"/>
          <w:sz w:val="32"/>
          <w:szCs w:val="32"/>
        </w:rPr>
        <w:t>”</w:t>
      </w:r>
      <w:r>
        <w:rPr>
          <w:rFonts w:hint="eastAsia" w:ascii="仿宋" w:hAnsi="仿宋"/>
          <w:sz w:val="32"/>
          <w:szCs w:val="32"/>
        </w:rPr>
        <w:t>，推出一批社会资本可参与的项目，发挥侨胞资源优势、用好民间</w:t>
      </w:r>
      <w:r>
        <w:rPr>
          <w:rFonts w:ascii="仿宋" w:hAnsi="仿宋"/>
          <w:sz w:val="32"/>
          <w:szCs w:val="32"/>
        </w:rPr>
        <w:t>社会资本，</w:t>
      </w:r>
      <w:r>
        <w:rPr>
          <w:rFonts w:hint="eastAsia" w:ascii="仿宋" w:hAnsi="仿宋"/>
          <w:sz w:val="32"/>
          <w:szCs w:val="32"/>
        </w:rPr>
        <w:t>鼓励和引导社会资本参与基础设施建设，</w:t>
      </w:r>
      <w:r>
        <w:rPr>
          <w:rFonts w:ascii="仿宋" w:hAnsi="仿宋"/>
          <w:sz w:val="32"/>
          <w:szCs w:val="32"/>
        </w:rPr>
        <w:t>加大投融资力度，积极</w:t>
      </w:r>
      <w:r>
        <w:rPr>
          <w:rFonts w:hint="eastAsia" w:ascii="仿宋" w:hAnsi="仿宋"/>
          <w:sz w:val="32"/>
          <w:szCs w:val="32"/>
        </w:rPr>
        <w:t>探索给排水、燃气等城乡基础</w:t>
      </w:r>
      <w:r>
        <w:rPr>
          <w:rFonts w:ascii="仿宋" w:hAnsi="仿宋"/>
          <w:sz w:val="32"/>
          <w:szCs w:val="32"/>
        </w:rPr>
        <w:t>设施</w:t>
      </w:r>
      <w:r>
        <w:rPr>
          <w:rFonts w:hint="eastAsia" w:ascii="仿宋" w:hAnsi="仿宋"/>
          <w:sz w:val="32"/>
          <w:szCs w:val="32"/>
        </w:rPr>
        <w:t>领域投融资</w:t>
      </w:r>
      <w:r>
        <w:rPr>
          <w:rFonts w:ascii="仿宋" w:hAnsi="仿宋"/>
          <w:sz w:val="32"/>
          <w:szCs w:val="32"/>
        </w:rPr>
        <w:t>模式</w:t>
      </w:r>
      <w:r>
        <w:rPr>
          <w:rFonts w:hint="eastAsia" w:ascii="仿宋" w:hAnsi="仿宋"/>
          <w:sz w:val="32"/>
          <w:szCs w:val="32"/>
        </w:rPr>
        <w:t>，多渠道筹措建设资金</w:t>
      </w:r>
      <w:r>
        <w:rPr>
          <w:rFonts w:ascii="仿宋" w:hAnsi="仿宋"/>
          <w:sz w:val="32"/>
          <w:szCs w:val="32"/>
        </w:rPr>
        <w:t>。</w:t>
      </w:r>
      <w:r>
        <w:rPr>
          <w:rFonts w:hint="eastAsia" w:ascii="仿宋" w:hAnsi="仿宋"/>
          <w:sz w:val="32"/>
          <w:szCs w:val="32"/>
        </w:rPr>
        <w:t>探索项目包统筹机制，将公益性项目与周边产业、园区、商业项目等进行捆绑，实行一体化开发和建设，建立运营补偿和区域间收益补偿机制。探索基础设施附属配套设施土地属性变更，鼓励产权单位在既有土地上开展经营性开发，有效盘活基础设施存量资产。</w:t>
      </w:r>
    </w:p>
    <w:p w14:paraId="606C4A88">
      <w:pPr>
        <w:snapToGrid w:val="0"/>
        <w:spacing w:line="540" w:lineRule="exact"/>
        <w:ind w:firstLine="643"/>
        <w:outlineLvl w:val="2"/>
        <w:rPr>
          <w:rFonts w:ascii="楷体" w:hAnsi="楷体" w:eastAsia="楷体"/>
          <w:b/>
          <w:bCs/>
          <w:kern w:val="0"/>
          <w:sz w:val="32"/>
          <w:szCs w:val="32"/>
        </w:rPr>
      </w:pPr>
      <w:bookmarkStart w:id="497" w:name="_Toc29049"/>
      <w:bookmarkStart w:id="498" w:name="_Toc10159"/>
      <w:bookmarkStart w:id="499" w:name="_Toc22429"/>
      <w:bookmarkStart w:id="500" w:name="_Toc19912"/>
      <w:bookmarkStart w:id="501" w:name="_Toc12493"/>
      <w:r>
        <w:rPr>
          <w:rFonts w:hint="eastAsia" w:ascii="楷体" w:hAnsi="楷体" w:eastAsia="楷体"/>
          <w:b/>
          <w:bCs/>
          <w:kern w:val="0"/>
          <w:sz w:val="32"/>
          <w:szCs w:val="32"/>
        </w:rPr>
        <w:t>（四）强化技术支撑</w:t>
      </w:r>
      <w:bookmarkEnd w:id="497"/>
      <w:bookmarkEnd w:id="498"/>
      <w:bookmarkEnd w:id="499"/>
      <w:bookmarkEnd w:id="500"/>
      <w:bookmarkEnd w:id="501"/>
    </w:p>
    <w:p w14:paraId="243DBD03">
      <w:pPr>
        <w:snapToGrid w:val="0"/>
        <w:spacing w:line="540" w:lineRule="exact"/>
        <w:ind w:firstLine="640"/>
        <w:rPr>
          <w:rFonts w:ascii="仿宋" w:hAnsi="仿宋"/>
          <w:sz w:val="32"/>
          <w:szCs w:val="32"/>
        </w:rPr>
      </w:pPr>
      <w:r>
        <w:rPr>
          <w:rFonts w:hint="eastAsia" w:ascii="仿宋" w:hAnsi="仿宋"/>
          <w:sz w:val="32"/>
          <w:szCs w:val="32"/>
        </w:rPr>
        <w:t>建立健全城乡基础设施建设管理相关地方性法规，完善相关标准体系，做好防范和化解社会风险工作。加强城市更新、防灾减灾救灾等标准建设，</w:t>
      </w:r>
      <w:r>
        <w:rPr>
          <w:rFonts w:ascii="仿宋" w:hAnsi="仿宋"/>
          <w:sz w:val="32"/>
          <w:szCs w:val="32"/>
        </w:rPr>
        <w:t>推进城乡基础设施建造和管养技术标准化、绿色化、转型升级。加快城乡基础设施构件的标准化，建立和完善</w:t>
      </w:r>
      <w:r>
        <w:rPr>
          <w:rFonts w:hint="eastAsia" w:ascii="仿宋" w:hAnsi="仿宋"/>
          <w:sz w:val="32"/>
          <w:szCs w:val="32"/>
        </w:rPr>
        <w:t>相应</w:t>
      </w:r>
      <w:r>
        <w:rPr>
          <w:rFonts w:ascii="仿宋" w:hAnsi="仿宋"/>
          <w:sz w:val="32"/>
          <w:szCs w:val="32"/>
        </w:rPr>
        <w:t>技术应用配套政策，探索实践更多的绿色基础设施，大力推进新型基础设施建设。</w:t>
      </w:r>
    </w:p>
    <w:p w14:paraId="6B5A113C">
      <w:pPr>
        <w:pStyle w:val="30"/>
        <w:snapToGrid w:val="0"/>
        <w:spacing w:before="197" w:beforeLines="50" w:after="197" w:afterLines="50" w:line="540" w:lineRule="exact"/>
        <w:ind w:firstLine="643"/>
        <w:outlineLvl w:val="1"/>
        <w:rPr>
          <w:rFonts w:ascii="黑体" w:hAnsi="黑体" w:eastAsia="黑体"/>
          <w:b/>
          <w:bCs/>
          <w:kern w:val="0"/>
          <w:sz w:val="32"/>
          <w:szCs w:val="32"/>
        </w:rPr>
      </w:pPr>
      <w:bookmarkStart w:id="502" w:name="_Toc9634"/>
      <w:bookmarkStart w:id="503" w:name="_Toc32231"/>
      <w:bookmarkStart w:id="504" w:name="_Toc15806"/>
      <w:bookmarkStart w:id="505" w:name="_Toc63077483"/>
      <w:bookmarkStart w:id="506" w:name="_Toc62163293"/>
      <w:bookmarkStart w:id="507" w:name="_Toc13275"/>
      <w:bookmarkStart w:id="508" w:name="_Toc62176705"/>
      <w:bookmarkStart w:id="509" w:name="_Toc27779"/>
      <w:r>
        <w:rPr>
          <w:rFonts w:hint="eastAsia" w:ascii="黑体" w:hAnsi="黑体" w:eastAsia="黑体"/>
          <w:b/>
          <w:bCs/>
          <w:kern w:val="0"/>
          <w:sz w:val="32"/>
          <w:szCs w:val="32"/>
        </w:rPr>
        <w:t>三、落实规划监督考评</w:t>
      </w:r>
      <w:bookmarkEnd w:id="502"/>
      <w:bookmarkEnd w:id="503"/>
      <w:bookmarkEnd w:id="504"/>
      <w:bookmarkEnd w:id="505"/>
      <w:bookmarkEnd w:id="506"/>
      <w:bookmarkEnd w:id="507"/>
      <w:bookmarkEnd w:id="508"/>
      <w:bookmarkEnd w:id="509"/>
    </w:p>
    <w:p w14:paraId="36F58763">
      <w:pPr>
        <w:snapToGrid w:val="0"/>
        <w:spacing w:line="540" w:lineRule="exact"/>
        <w:ind w:firstLine="562" w:firstLineChars="0"/>
        <w:outlineLvl w:val="2"/>
        <w:rPr>
          <w:rFonts w:eastAsia="楷体_GB2312" w:cs="楷体_GB2312"/>
          <w:b/>
          <w:bCs/>
          <w:kern w:val="0"/>
          <w:sz w:val="32"/>
          <w:szCs w:val="32"/>
        </w:rPr>
      </w:pPr>
      <w:bookmarkStart w:id="510" w:name="_Toc19011"/>
      <w:bookmarkStart w:id="511" w:name="_Toc22992"/>
      <w:bookmarkStart w:id="512" w:name="_Toc9967"/>
      <w:bookmarkStart w:id="513" w:name="_Toc15754"/>
      <w:bookmarkStart w:id="514" w:name="_Toc13698"/>
      <w:r>
        <w:rPr>
          <w:rFonts w:hint="eastAsia" w:eastAsia="楷体_GB2312" w:cs="楷体_GB2312"/>
          <w:b/>
          <w:bCs/>
          <w:kern w:val="0"/>
          <w:sz w:val="32"/>
          <w:szCs w:val="32"/>
        </w:rPr>
        <w:t>（一）开展城市体检</w:t>
      </w:r>
      <w:bookmarkEnd w:id="510"/>
      <w:bookmarkEnd w:id="511"/>
      <w:bookmarkEnd w:id="512"/>
      <w:bookmarkEnd w:id="513"/>
      <w:bookmarkEnd w:id="514"/>
    </w:p>
    <w:p w14:paraId="322F9C4E">
      <w:pPr>
        <w:snapToGrid w:val="0"/>
        <w:spacing w:line="540" w:lineRule="exact"/>
        <w:ind w:firstLine="560" w:firstLineChars="0"/>
        <w:rPr>
          <w:rFonts w:ascii="仿宋" w:hAnsi="仿宋"/>
          <w:sz w:val="32"/>
          <w:szCs w:val="32"/>
        </w:rPr>
      </w:pPr>
      <w:r>
        <w:rPr>
          <w:rFonts w:hint="eastAsia" w:ascii="仿宋" w:hAnsi="仿宋"/>
          <w:sz w:val="32"/>
          <w:szCs w:val="32"/>
        </w:rPr>
        <w:t>建立完善城市体检评估机制。利用现有城市规划建设管理信息化基础，加快建设市级城市体检评估信息平台，加强城市体检数据管理、综合评价和监测预警。通过城市体检工作，统筹城市规划建设管理，系统治理“城市病”，有的放矢地推动城市结构优化、功能完善和品质提升。</w:t>
      </w:r>
    </w:p>
    <w:p w14:paraId="4A7DEC0E">
      <w:pPr>
        <w:snapToGrid w:val="0"/>
        <w:spacing w:line="540" w:lineRule="exact"/>
        <w:ind w:firstLine="562" w:firstLineChars="0"/>
        <w:outlineLvl w:val="2"/>
        <w:rPr>
          <w:rFonts w:eastAsia="楷体_GB2312" w:cs="楷体_GB2312"/>
          <w:b/>
          <w:bCs/>
          <w:kern w:val="0"/>
          <w:sz w:val="32"/>
          <w:szCs w:val="32"/>
        </w:rPr>
      </w:pPr>
      <w:bookmarkStart w:id="515" w:name="_Toc26362"/>
      <w:bookmarkStart w:id="516" w:name="_Toc19287"/>
      <w:bookmarkStart w:id="517" w:name="_Toc2540"/>
      <w:bookmarkStart w:id="518" w:name="_Toc23193"/>
      <w:bookmarkStart w:id="519" w:name="_Toc22519"/>
      <w:r>
        <w:rPr>
          <w:rFonts w:hint="eastAsia" w:ascii="楷体" w:hAnsi="楷体" w:eastAsia="楷体"/>
          <w:b/>
          <w:bCs/>
          <w:kern w:val="0"/>
          <w:sz w:val="32"/>
          <w:szCs w:val="32"/>
        </w:rPr>
        <w:t>（二）</w:t>
      </w:r>
      <w:r>
        <w:rPr>
          <w:rFonts w:hint="eastAsia" w:eastAsia="楷体_GB2312" w:cs="楷体_GB2312"/>
          <w:b/>
          <w:bCs/>
          <w:kern w:val="0"/>
          <w:sz w:val="32"/>
          <w:szCs w:val="32"/>
        </w:rPr>
        <w:t>规划实施评估与督查</w:t>
      </w:r>
      <w:bookmarkEnd w:id="515"/>
      <w:bookmarkEnd w:id="516"/>
      <w:bookmarkEnd w:id="517"/>
      <w:bookmarkEnd w:id="518"/>
      <w:bookmarkEnd w:id="519"/>
    </w:p>
    <w:p w14:paraId="73E8DBBF">
      <w:pPr>
        <w:snapToGrid w:val="0"/>
        <w:spacing w:line="540" w:lineRule="exact"/>
        <w:ind w:firstLine="562" w:firstLineChars="0"/>
        <w:rPr>
          <w:rFonts w:ascii="仿宋" w:hAnsi="仿宋"/>
          <w:sz w:val="32"/>
          <w:szCs w:val="32"/>
        </w:rPr>
      </w:pPr>
      <w:r>
        <w:rPr>
          <w:rFonts w:hint="eastAsia" w:ascii="仿宋" w:hAnsi="仿宋"/>
          <w:sz w:val="32"/>
          <w:szCs w:val="32"/>
        </w:rPr>
        <w:t>建立城乡基础设施建设规划中期评估和项目调整机制，委托第三方机构开展工作，推动规划顺利实施。建立考核与奖励相挂钩机制，对典型示范项目，市级财政给予正向激励奖励。纳入市对县绩效考评指标内容</w:t>
      </w:r>
      <w:r>
        <w:rPr>
          <w:rFonts w:ascii="仿宋" w:hAnsi="仿宋"/>
          <w:sz w:val="32"/>
          <w:szCs w:val="32"/>
        </w:rPr>
        <w:t>，</w:t>
      </w:r>
      <w:r>
        <w:rPr>
          <w:rFonts w:hint="eastAsia" w:ascii="仿宋" w:hAnsi="仿宋"/>
          <w:sz w:val="32"/>
          <w:szCs w:val="32"/>
        </w:rPr>
        <w:t>由市</w:t>
      </w:r>
      <w:r>
        <w:rPr>
          <w:rFonts w:ascii="仿宋" w:hAnsi="仿宋"/>
          <w:sz w:val="32"/>
          <w:szCs w:val="32"/>
        </w:rPr>
        <w:t>住建</w:t>
      </w:r>
      <w:r>
        <w:rPr>
          <w:rFonts w:hint="eastAsia" w:ascii="仿宋" w:hAnsi="仿宋"/>
          <w:sz w:val="32"/>
          <w:szCs w:val="32"/>
        </w:rPr>
        <w:t>局、市</w:t>
      </w:r>
      <w:r>
        <w:rPr>
          <w:rFonts w:ascii="仿宋" w:hAnsi="仿宋"/>
          <w:sz w:val="32"/>
          <w:szCs w:val="32"/>
        </w:rPr>
        <w:t>城管局</w:t>
      </w:r>
      <w:r>
        <w:rPr>
          <w:rFonts w:hint="eastAsia" w:ascii="仿宋" w:hAnsi="仿宋"/>
          <w:sz w:val="32"/>
          <w:szCs w:val="32"/>
        </w:rPr>
        <w:t>对主要</w:t>
      </w:r>
      <w:r>
        <w:rPr>
          <w:rFonts w:ascii="仿宋" w:hAnsi="仿宋"/>
          <w:sz w:val="32"/>
          <w:szCs w:val="32"/>
        </w:rPr>
        <w:t>发展目标、约束性指标、主要预期性指标年度</w:t>
      </w:r>
      <w:r>
        <w:rPr>
          <w:rFonts w:hint="eastAsia" w:ascii="仿宋" w:hAnsi="仿宋"/>
          <w:sz w:val="32"/>
          <w:szCs w:val="32"/>
        </w:rPr>
        <w:t>进展</w:t>
      </w:r>
      <w:r>
        <w:rPr>
          <w:rFonts w:ascii="仿宋" w:hAnsi="仿宋"/>
          <w:sz w:val="32"/>
          <w:szCs w:val="32"/>
        </w:rPr>
        <w:t>情况和重大任务年度完成情况</w:t>
      </w:r>
      <w:r>
        <w:rPr>
          <w:rFonts w:hint="eastAsia" w:ascii="仿宋" w:hAnsi="仿宋"/>
          <w:sz w:val="32"/>
          <w:szCs w:val="32"/>
        </w:rPr>
        <w:t>进行</w:t>
      </w:r>
      <w:r>
        <w:rPr>
          <w:rFonts w:ascii="仿宋" w:hAnsi="仿宋"/>
          <w:sz w:val="32"/>
          <w:szCs w:val="32"/>
        </w:rPr>
        <w:t>监督检查</w:t>
      </w:r>
      <w:r>
        <w:rPr>
          <w:rFonts w:hint="eastAsia" w:ascii="仿宋" w:hAnsi="仿宋"/>
          <w:sz w:val="32"/>
          <w:szCs w:val="32"/>
        </w:rPr>
        <w:t>，市政府督查室、市效能办适时组织开展专项督查督办和察访核验。</w:t>
      </w:r>
    </w:p>
    <w:p w14:paraId="1A5D4AC3">
      <w:pPr>
        <w:snapToGrid w:val="0"/>
        <w:spacing w:line="540" w:lineRule="exact"/>
        <w:ind w:firstLine="643"/>
        <w:outlineLvl w:val="2"/>
        <w:rPr>
          <w:rFonts w:ascii="楷体" w:hAnsi="楷体" w:eastAsia="楷体"/>
          <w:b/>
          <w:bCs/>
          <w:kern w:val="0"/>
          <w:sz w:val="32"/>
          <w:szCs w:val="32"/>
        </w:rPr>
      </w:pPr>
      <w:bookmarkStart w:id="520" w:name="_Toc15172"/>
      <w:bookmarkStart w:id="521" w:name="_Toc27320"/>
      <w:bookmarkStart w:id="522" w:name="_Toc19555"/>
      <w:bookmarkStart w:id="523" w:name="_Toc28675"/>
      <w:bookmarkStart w:id="524" w:name="_Toc16367"/>
      <w:r>
        <w:rPr>
          <w:rFonts w:hint="eastAsia" w:ascii="楷体" w:hAnsi="楷体" w:eastAsia="楷体"/>
          <w:b/>
          <w:bCs/>
          <w:kern w:val="0"/>
          <w:sz w:val="32"/>
          <w:szCs w:val="32"/>
        </w:rPr>
        <w:t>（三）</w:t>
      </w:r>
      <w:r>
        <w:rPr>
          <w:rFonts w:ascii="楷体" w:hAnsi="楷体" w:eastAsia="楷体"/>
          <w:b/>
          <w:bCs/>
          <w:kern w:val="0"/>
          <w:sz w:val="32"/>
          <w:szCs w:val="32"/>
        </w:rPr>
        <w:t>加强公众参与</w:t>
      </w:r>
      <w:bookmarkEnd w:id="520"/>
      <w:bookmarkEnd w:id="521"/>
      <w:bookmarkEnd w:id="522"/>
      <w:bookmarkEnd w:id="523"/>
      <w:bookmarkEnd w:id="524"/>
    </w:p>
    <w:p w14:paraId="6A16F2E8">
      <w:pPr>
        <w:snapToGrid w:val="0"/>
        <w:spacing w:line="540" w:lineRule="exact"/>
        <w:ind w:firstLine="640"/>
        <w:rPr>
          <w:rFonts w:ascii="仿宋" w:hAnsi="仿宋"/>
          <w:sz w:val="32"/>
          <w:szCs w:val="32"/>
        </w:rPr>
      </w:pPr>
      <w:r>
        <w:rPr>
          <w:rFonts w:ascii="仿宋" w:hAnsi="仿宋"/>
          <w:sz w:val="32"/>
          <w:szCs w:val="32"/>
        </w:rPr>
        <w:t>深入贯彻落实“人民城市人民建，人民城市为人民”重要理念</w:t>
      </w:r>
      <w:r>
        <w:rPr>
          <w:rFonts w:hint="eastAsia" w:ascii="仿宋" w:hAnsi="仿宋"/>
          <w:sz w:val="32"/>
          <w:szCs w:val="32"/>
        </w:rPr>
        <w:t>，激发公众参与城市建设的主体责任意识。利用手机</w:t>
      </w:r>
      <w:r>
        <w:rPr>
          <w:rFonts w:ascii="仿宋" w:hAnsi="仿宋"/>
          <w:sz w:val="32"/>
          <w:szCs w:val="32"/>
        </w:rPr>
        <w:t>APP</w:t>
      </w:r>
      <w:r>
        <w:rPr>
          <w:rFonts w:hint="eastAsia" w:ascii="仿宋" w:hAnsi="仿宋"/>
          <w:sz w:val="32"/>
          <w:szCs w:val="32"/>
        </w:rPr>
        <w:t>、专项邮箱等手段提高参与渠道的互动性、高效性，促进公众参与渠道的互动性和有效性。</w:t>
      </w:r>
    </w:p>
    <w:p w14:paraId="437C41FB">
      <w:pPr>
        <w:snapToGrid w:val="0"/>
        <w:spacing w:line="540" w:lineRule="exact"/>
        <w:ind w:firstLine="560"/>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418" w:bottom="1440" w:left="1474" w:header="851" w:footer="992" w:gutter="0"/>
      <w:cols w:space="0" w:num="1"/>
      <w:docGrid w:type="lines" w:linePitch="39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6099">
    <w:pPr>
      <w:pStyle w:val="1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0D43">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62B1">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186652"/>
    </w:sdtPr>
    <w:sdtContent>
      <w:p w14:paraId="04C5D8E5">
        <w:pPr>
          <w:pStyle w:val="13"/>
          <w:adjustRightInd w:val="0"/>
          <w:spacing w:line="240" w:lineRule="auto"/>
          <w:ind w:firstLine="0" w:firstLineChars="0"/>
          <w:jc w:val="center"/>
        </w:pPr>
        <w:r>
          <w:fldChar w:fldCharType="begin"/>
        </w:r>
        <w:r>
          <w:instrText xml:space="preserve">PAGE   \* MERGEFORMAT</w:instrText>
        </w:r>
        <w:r>
          <w:fldChar w:fldCharType="separate"/>
        </w:r>
        <w:r>
          <w:rPr>
            <w:lang w:val="zh-CN"/>
          </w:rPr>
          <w:t>15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4744868"/>
    </w:sdtPr>
    <w:sdtContent>
      <w:p w14:paraId="1670ADC1">
        <w:pPr>
          <w:pStyle w:val="13"/>
          <w:adjustRightInd w:val="0"/>
          <w:spacing w:line="240" w:lineRule="auto"/>
          <w:ind w:firstLine="0" w:firstLineChars="0"/>
          <w:jc w:val="center"/>
        </w:pPr>
        <w:r>
          <w:fldChar w:fldCharType="begin"/>
        </w:r>
        <w:r>
          <w:instrText xml:space="preserve">PAGE   \* MERGEFORMAT</w:instrText>
        </w:r>
        <w:r>
          <w:fldChar w:fldCharType="separate"/>
        </w:r>
        <w:r>
          <w:rPr>
            <w:lang w:val="zh-CN"/>
          </w:rPr>
          <w:t>26</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2A90D">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BEEF">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240" w:lineRule="auto"/>
        <w:ind w:firstLine="560"/>
      </w:pPr>
      <w:r>
        <w:separator/>
      </w:r>
    </w:p>
  </w:footnote>
  <w:footnote w:type="continuationSeparator" w:id="9">
    <w:p>
      <w:pPr>
        <w:spacing w:line="240" w:lineRule="auto"/>
        <w:ind w:firstLine="560"/>
      </w:pPr>
      <w:r>
        <w:continuationSeparator/>
      </w:r>
    </w:p>
  </w:footnote>
  <w:footnote w:id="0">
    <w:p w14:paraId="2058AEB6">
      <w:pPr>
        <w:pStyle w:val="17"/>
        <w:spacing w:line="360" w:lineRule="auto"/>
        <w:ind w:firstLine="0" w:firstLineChars="0"/>
      </w:pPr>
      <w:r>
        <w:rPr>
          <w:rStyle w:val="29"/>
          <w:rFonts w:asciiTheme="minorHAnsi" w:hAnsiTheme="minorHAnsi" w:eastAsiaTheme="minorEastAsia" w:cstheme="minorEastAsia"/>
          <w:sz w:val="24"/>
          <w:szCs w:val="24"/>
          <w:vertAlign w:val="baseline"/>
        </w:rPr>
        <w:footnoteRef/>
      </w:r>
      <w:r>
        <w:rPr>
          <w:rFonts w:hint="eastAsia"/>
          <w:sz w:val="24"/>
          <w:szCs w:val="24"/>
        </w:rPr>
        <w:t>“五个泉州”指创新泉州、智造泉州、海丝泉州、美丽泉州及幸福泉州。</w:t>
      </w:r>
    </w:p>
  </w:footnote>
  <w:footnote w:id="1">
    <w:p w14:paraId="0844B3D1">
      <w:pPr>
        <w:pStyle w:val="17"/>
        <w:spacing w:line="240" w:lineRule="auto"/>
        <w:ind w:firstLine="0" w:firstLineChars="0"/>
        <w:rPr>
          <w:rFonts w:ascii="仿宋" w:hAnsi="仿宋"/>
          <w:sz w:val="24"/>
          <w:szCs w:val="24"/>
        </w:rPr>
      </w:pPr>
      <w:r>
        <w:rPr>
          <w:rFonts w:hint="eastAsia" w:ascii="仿宋" w:hAnsi="仿宋"/>
          <w:sz w:val="24"/>
          <w:szCs w:val="24"/>
        </w:rPr>
        <w:t>2中心城区指《泉州市城市总体规划》的规划用地布局范围，面积</w:t>
      </w:r>
      <w:r>
        <w:rPr>
          <w:rFonts w:ascii="仿宋" w:hAnsi="仿宋"/>
          <w:sz w:val="24"/>
          <w:szCs w:val="24"/>
        </w:rPr>
        <w:t>980平方公里</w:t>
      </w:r>
      <w:r>
        <w:rPr>
          <w:rFonts w:hint="eastAsia" w:ascii="仿宋" w:hAnsi="仿宋"/>
          <w:sz w:val="24"/>
          <w:szCs w:val="24"/>
        </w:rPr>
        <w:t>。</w:t>
      </w:r>
    </w:p>
    <w:p w14:paraId="23D59F8A">
      <w:pPr>
        <w:pStyle w:val="17"/>
        <w:spacing w:line="240" w:lineRule="auto"/>
        <w:ind w:firstLine="0" w:firstLineChars="0"/>
      </w:pPr>
      <w:r>
        <w:rPr>
          <w:rFonts w:hint="eastAsia" w:ascii="仿宋" w:hAnsi="仿宋"/>
          <w:sz w:val="24"/>
          <w:szCs w:val="24"/>
        </w:rPr>
        <w:t>3市区指鲤城区</w:t>
      </w:r>
      <w:r>
        <w:rPr>
          <w:rFonts w:hint="eastAsia"/>
          <w:sz w:val="24"/>
          <w:szCs w:val="24"/>
        </w:rPr>
        <w:t>、丰泽区及洛江区万安、双阳街道。</w:t>
      </w:r>
    </w:p>
  </w:footnote>
  <w:footnote w:id="2">
    <w:p w14:paraId="3E43B34E">
      <w:pPr>
        <w:pStyle w:val="17"/>
        <w:spacing w:line="240" w:lineRule="auto"/>
        <w:ind w:firstLine="0" w:firstLineChars="0"/>
      </w:pPr>
    </w:p>
  </w:footnote>
  <w:footnote w:id="3">
    <w:p w14:paraId="29B401DB">
      <w:pPr>
        <w:pStyle w:val="17"/>
        <w:spacing w:line="240" w:lineRule="auto"/>
        <w:ind w:firstLine="0" w:firstLineChars="0"/>
      </w:pPr>
      <w:r>
        <w:rPr>
          <w:sz w:val="24"/>
          <w:szCs w:val="24"/>
        </w:rPr>
        <w:footnoteRef/>
      </w:r>
      <w:r>
        <w:rPr>
          <w:rFonts w:hint="eastAsia"/>
          <w:sz w:val="24"/>
          <w:szCs w:val="24"/>
        </w:rPr>
        <w:t>泉州</w:t>
      </w:r>
      <w:r>
        <w:rPr>
          <w:sz w:val="24"/>
          <w:szCs w:val="24"/>
        </w:rPr>
        <w:t>1999</w:t>
      </w:r>
      <w:r>
        <w:rPr>
          <w:rFonts w:hint="eastAsia"/>
          <w:sz w:val="24"/>
          <w:szCs w:val="24"/>
        </w:rPr>
        <w:t>年</w:t>
      </w:r>
      <w:r>
        <w:rPr>
          <w:sz w:val="24"/>
          <w:szCs w:val="24"/>
        </w:rPr>
        <w:t>至2020</w:t>
      </w:r>
      <w:r>
        <w:rPr>
          <w:rFonts w:hint="eastAsia"/>
          <w:sz w:val="24"/>
          <w:szCs w:val="24"/>
        </w:rPr>
        <w:t>年的</w:t>
      </w:r>
      <w:r>
        <w:rPr>
          <w:sz w:val="24"/>
          <w:szCs w:val="24"/>
        </w:rPr>
        <w:t>GDP</w:t>
      </w:r>
      <w:r>
        <w:rPr>
          <w:rFonts w:hint="eastAsia"/>
          <w:sz w:val="24"/>
          <w:szCs w:val="24"/>
        </w:rPr>
        <w:t>排名福建省全省第一。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1A4D">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6DA5">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DF59">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3E4D">
    <w:pPr>
      <w:ind w:left="56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D5EA">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702F">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40"/>
  <w:drawingGridVerticalSpacing w:val="200"/>
  <w:noPunctuationKerning w:val="1"/>
  <w:characterSpacingControl w:val="compressPunctuation"/>
  <w:footnotePr>
    <w:footnote w:id="8"/>
    <w:footnote w:id="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mMTZhMTE1NDA0NDA5YTA4MjJkMzc1MzMzZmZiZDUifQ=="/>
  </w:docVars>
  <w:rsids>
    <w:rsidRoot w:val="002506FE"/>
    <w:rsid w:val="000002F1"/>
    <w:rsid w:val="00000751"/>
    <w:rsid w:val="00000FEE"/>
    <w:rsid w:val="000012D0"/>
    <w:rsid w:val="00001A52"/>
    <w:rsid w:val="00002528"/>
    <w:rsid w:val="0000299A"/>
    <w:rsid w:val="00003590"/>
    <w:rsid w:val="000037CC"/>
    <w:rsid w:val="00004399"/>
    <w:rsid w:val="0000498D"/>
    <w:rsid w:val="00005C78"/>
    <w:rsid w:val="0000653C"/>
    <w:rsid w:val="00006873"/>
    <w:rsid w:val="00006E40"/>
    <w:rsid w:val="00007585"/>
    <w:rsid w:val="000078AB"/>
    <w:rsid w:val="00007B77"/>
    <w:rsid w:val="000100BC"/>
    <w:rsid w:val="000115B4"/>
    <w:rsid w:val="00012F53"/>
    <w:rsid w:val="00014F40"/>
    <w:rsid w:val="00015748"/>
    <w:rsid w:val="00016139"/>
    <w:rsid w:val="0001654B"/>
    <w:rsid w:val="00020104"/>
    <w:rsid w:val="00021473"/>
    <w:rsid w:val="0002157A"/>
    <w:rsid w:val="0002163C"/>
    <w:rsid w:val="000235F9"/>
    <w:rsid w:val="00023AFD"/>
    <w:rsid w:val="00025EF2"/>
    <w:rsid w:val="00026765"/>
    <w:rsid w:val="0002735A"/>
    <w:rsid w:val="00027759"/>
    <w:rsid w:val="00027D52"/>
    <w:rsid w:val="0003009B"/>
    <w:rsid w:val="000304C3"/>
    <w:rsid w:val="0003061A"/>
    <w:rsid w:val="00030939"/>
    <w:rsid w:val="00030BF5"/>
    <w:rsid w:val="000329E2"/>
    <w:rsid w:val="00032A2B"/>
    <w:rsid w:val="00032AA8"/>
    <w:rsid w:val="00032F46"/>
    <w:rsid w:val="00033539"/>
    <w:rsid w:val="0003363E"/>
    <w:rsid w:val="00035640"/>
    <w:rsid w:val="000356F8"/>
    <w:rsid w:val="00035C64"/>
    <w:rsid w:val="00036659"/>
    <w:rsid w:val="00037260"/>
    <w:rsid w:val="0004204A"/>
    <w:rsid w:val="0004264A"/>
    <w:rsid w:val="000433E1"/>
    <w:rsid w:val="00043AC5"/>
    <w:rsid w:val="0004578F"/>
    <w:rsid w:val="00045BD8"/>
    <w:rsid w:val="000468C6"/>
    <w:rsid w:val="00046C6D"/>
    <w:rsid w:val="00046F09"/>
    <w:rsid w:val="00047DD1"/>
    <w:rsid w:val="000502A7"/>
    <w:rsid w:val="000502ED"/>
    <w:rsid w:val="000508B4"/>
    <w:rsid w:val="00052D64"/>
    <w:rsid w:val="0005321F"/>
    <w:rsid w:val="000536D7"/>
    <w:rsid w:val="000545D6"/>
    <w:rsid w:val="00055387"/>
    <w:rsid w:val="00056150"/>
    <w:rsid w:val="0005747B"/>
    <w:rsid w:val="00060F2F"/>
    <w:rsid w:val="0006127D"/>
    <w:rsid w:val="00061AEA"/>
    <w:rsid w:val="00063853"/>
    <w:rsid w:val="00064476"/>
    <w:rsid w:val="00065AB7"/>
    <w:rsid w:val="00065F80"/>
    <w:rsid w:val="00066AB0"/>
    <w:rsid w:val="00067963"/>
    <w:rsid w:val="00070308"/>
    <w:rsid w:val="00070CE9"/>
    <w:rsid w:val="00072F90"/>
    <w:rsid w:val="000737F5"/>
    <w:rsid w:val="000745EA"/>
    <w:rsid w:val="000750A4"/>
    <w:rsid w:val="00075BA0"/>
    <w:rsid w:val="000809F2"/>
    <w:rsid w:val="00081774"/>
    <w:rsid w:val="00081C1B"/>
    <w:rsid w:val="00084B1F"/>
    <w:rsid w:val="0008603D"/>
    <w:rsid w:val="000872C4"/>
    <w:rsid w:val="00087B03"/>
    <w:rsid w:val="00090903"/>
    <w:rsid w:val="00090C1A"/>
    <w:rsid w:val="000913A0"/>
    <w:rsid w:val="000913C3"/>
    <w:rsid w:val="000931E2"/>
    <w:rsid w:val="00093696"/>
    <w:rsid w:val="0009378A"/>
    <w:rsid w:val="00093B12"/>
    <w:rsid w:val="00096582"/>
    <w:rsid w:val="000A06FA"/>
    <w:rsid w:val="000A29C7"/>
    <w:rsid w:val="000A316C"/>
    <w:rsid w:val="000A3671"/>
    <w:rsid w:val="000A3C5D"/>
    <w:rsid w:val="000A3D2E"/>
    <w:rsid w:val="000A3DE8"/>
    <w:rsid w:val="000A5AB6"/>
    <w:rsid w:val="000A5C71"/>
    <w:rsid w:val="000A5EBA"/>
    <w:rsid w:val="000A7321"/>
    <w:rsid w:val="000A771C"/>
    <w:rsid w:val="000B0477"/>
    <w:rsid w:val="000B298B"/>
    <w:rsid w:val="000B2E41"/>
    <w:rsid w:val="000B2FB6"/>
    <w:rsid w:val="000B3D0F"/>
    <w:rsid w:val="000B40F6"/>
    <w:rsid w:val="000B5669"/>
    <w:rsid w:val="000B5A9A"/>
    <w:rsid w:val="000B61F6"/>
    <w:rsid w:val="000C000E"/>
    <w:rsid w:val="000C0454"/>
    <w:rsid w:val="000C328B"/>
    <w:rsid w:val="000C499C"/>
    <w:rsid w:val="000C5F22"/>
    <w:rsid w:val="000D0565"/>
    <w:rsid w:val="000D0790"/>
    <w:rsid w:val="000D3759"/>
    <w:rsid w:val="000D4D55"/>
    <w:rsid w:val="000D6935"/>
    <w:rsid w:val="000E02D0"/>
    <w:rsid w:val="000E0563"/>
    <w:rsid w:val="000E0C41"/>
    <w:rsid w:val="000E2CF8"/>
    <w:rsid w:val="000E2E70"/>
    <w:rsid w:val="000E4E8B"/>
    <w:rsid w:val="000E55AF"/>
    <w:rsid w:val="000E5B9E"/>
    <w:rsid w:val="000E6CD3"/>
    <w:rsid w:val="000E7DF1"/>
    <w:rsid w:val="000F0C91"/>
    <w:rsid w:val="000F1D95"/>
    <w:rsid w:val="000F267F"/>
    <w:rsid w:val="000F3F08"/>
    <w:rsid w:val="000F40BE"/>
    <w:rsid w:val="000F52A5"/>
    <w:rsid w:val="000F62A5"/>
    <w:rsid w:val="000F7E7C"/>
    <w:rsid w:val="001018C5"/>
    <w:rsid w:val="00102B2B"/>
    <w:rsid w:val="00102F31"/>
    <w:rsid w:val="00105D73"/>
    <w:rsid w:val="001061C2"/>
    <w:rsid w:val="00107439"/>
    <w:rsid w:val="00107C8A"/>
    <w:rsid w:val="00110FC8"/>
    <w:rsid w:val="00111F07"/>
    <w:rsid w:val="0011345B"/>
    <w:rsid w:val="001140F8"/>
    <w:rsid w:val="00114829"/>
    <w:rsid w:val="00114D54"/>
    <w:rsid w:val="0011640D"/>
    <w:rsid w:val="00116C0C"/>
    <w:rsid w:val="001207A5"/>
    <w:rsid w:val="00121A6F"/>
    <w:rsid w:val="00121C71"/>
    <w:rsid w:val="00121F0F"/>
    <w:rsid w:val="001239BD"/>
    <w:rsid w:val="00123AE3"/>
    <w:rsid w:val="001244B9"/>
    <w:rsid w:val="00125F2E"/>
    <w:rsid w:val="0012734F"/>
    <w:rsid w:val="00127464"/>
    <w:rsid w:val="00130519"/>
    <w:rsid w:val="00130F06"/>
    <w:rsid w:val="00131ECF"/>
    <w:rsid w:val="00132E33"/>
    <w:rsid w:val="0014257D"/>
    <w:rsid w:val="00143376"/>
    <w:rsid w:val="00143DA7"/>
    <w:rsid w:val="00145750"/>
    <w:rsid w:val="00146257"/>
    <w:rsid w:val="001464E4"/>
    <w:rsid w:val="00151445"/>
    <w:rsid w:val="00152FF2"/>
    <w:rsid w:val="00154139"/>
    <w:rsid w:val="0015543A"/>
    <w:rsid w:val="00155E0A"/>
    <w:rsid w:val="001570A4"/>
    <w:rsid w:val="001607A8"/>
    <w:rsid w:val="0016096A"/>
    <w:rsid w:val="00161B31"/>
    <w:rsid w:val="00161FBA"/>
    <w:rsid w:val="0016295A"/>
    <w:rsid w:val="001646B5"/>
    <w:rsid w:val="0016472F"/>
    <w:rsid w:val="00166FDD"/>
    <w:rsid w:val="00166FDE"/>
    <w:rsid w:val="00170B30"/>
    <w:rsid w:val="00170CF1"/>
    <w:rsid w:val="00171A6F"/>
    <w:rsid w:val="00172C2C"/>
    <w:rsid w:val="00172D63"/>
    <w:rsid w:val="001738B9"/>
    <w:rsid w:val="001740AE"/>
    <w:rsid w:val="001760CF"/>
    <w:rsid w:val="001803DE"/>
    <w:rsid w:val="0018041E"/>
    <w:rsid w:val="00182389"/>
    <w:rsid w:val="00183DF2"/>
    <w:rsid w:val="00183E51"/>
    <w:rsid w:val="00185349"/>
    <w:rsid w:val="001868BB"/>
    <w:rsid w:val="00187E4C"/>
    <w:rsid w:val="001909CE"/>
    <w:rsid w:val="00190BFA"/>
    <w:rsid w:val="00191AD9"/>
    <w:rsid w:val="00193571"/>
    <w:rsid w:val="00197881"/>
    <w:rsid w:val="001A1722"/>
    <w:rsid w:val="001A1A60"/>
    <w:rsid w:val="001A1BC7"/>
    <w:rsid w:val="001A2A1E"/>
    <w:rsid w:val="001A3226"/>
    <w:rsid w:val="001A7A4F"/>
    <w:rsid w:val="001A7A7B"/>
    <w:rsid w:val="001A7E7E"/>
    <w:rsid w:val="001B284A"/>
    <w:rsid w:val="001B2BB3"/>
    <w:rsid w:val="001B60D8"/>
    <w:rsid w:val="001B6DF7"/>
    <w:rsid w:val="001C1521"/>
    <w:rsid w:val="001C234B"/>
    <w:rsid w:val="001C39B5"/>
    <w:rsid w:val="001C57C5"/>
    <w:rsid w:val="001D047C"/>
    <w:rsid w:val="001D05A6"/>
    <w:rsid w:val="001D3F77"/>
    <w:rsid w:val="001D4AD9"/>
    <w:rsid w:val="001D5588"/>
    <w:rsid w:val="001D6A81"/>
    <w:rsid w:val="001E1516"/>
    <w:rsid w:val="001E2081"/>
    <w:rsid w:val="001E234C"/>
    <w:rsid w:val="001E26F0"/>
    <w:rsid w:val="001E33F6"/>
    <w:rsid w:val="001E3C76"/>
    <w:rsid w:val="001E499D"/>
    <w:rsid w:val="001E5BE5"/>
    <w:rsid w:val="001E5F76"/>
    <w:rsid w:val="001E78E5"/>
    <w:rsid w:val="001F0074"/>
    <w:rsid w:val="001F2788"/>
    <w:rsid w:val="001F39A3"/>
    <w:rsid w:val="001F3D5B"/>
    <w:rsid w:val="001F4C3C"/>
    <w:rsid w:val="001F5CE4"/>
    <w:rsid w:val="001F6744"/>
    <w:rsid w:val="001F68F6"/>
    <w:rsid w:val="001F71D3"/>
    <w:rsid w:val="0020141E"/>
    <w:rsid w:val="00201A41"/>
    <w:rsid w:val="00201C1D"/>
    <w:rsid w:val="0020273E"/>
    <w:rsid w:val="00203810"/>
    <w:rsid w:val="00203EAD"/>
    <w:rsid w:val="002042CF"/>
    <w:rsid w:val="002043E4"/>
    <w:rsid w:val="0020481F"/>
    <w:rsid w:val="00204F09"/>
    <w:rsid w:val="002055F8"/>
    <w:rsid w:val="0021077C"/>
    <w:rsid w:val="00210888"/>
    <w:rsid w:val="00211E79"/>
    <w:rsid w:val="00212780"/>
    <w:rsid w:val="002127D4"/>
    <w:rsid w:val="0021356D"/>
    <w:rsid w:val="002135F9"/>
    <w:rsid w:val="00213D86"/>
    <w:rsid w:val="00214384"/>
    <w:rsid w:val="00214BE1"/>
    <w:rsid w:val="0021544A"/>
    <w:rsid w:val="00217EB0"/>
    <w:rsid w:val="00220486"/>
    <w:rsid w:val="00220499"/>
    <w:rsid w:val="00220C54"/>
    <w:rsid w:val="00220CA6"/>
    <w:rsid w:val="002231E7"/>
    <w:rsid w:val="00223DEB"/>
    <w:rsid w:val="002259CC"/>
    <w:rsid w:val="00227418"/>
    <w:rsid w:val="00231480"/>
    <w:rsid w:val="002335FA"/>
    <w:rsid w:val="00236E20"/>
    <w:rsid w:val="002406F9"/>
    <w:rsid w:val="0024103C"/>
    <w:rsid w:val="0024154D"/>
    <w:rsid w:val="002419FE"/>
    <w:rsid w:val="00242696"/>
    <w:rsid w:val="002433CD"/>
    <w:rsid w:val="00246519"/>
    <w:rsid w:val="0024678E"/>
    <w:rsid w:val="00246CF4"/>
    <w:rsid w:val="00247854"/>
    <w:rsid w:val="002505F5"/>
    <w:rsid w:val="002506FE"/>
    <w:rsid w:val="00250F49"/>
    <w:rsid w:val="002561E9"/>
    <w:rsid w:val="0025685E"/>
    <w:rsid w:val="00262B29"/>
    <w:rsid w:val="00262D14"/>
    <w:rsid w:val="00264CA9"/>
    <w:rsid w:val="00265943"/>
    <w:rsid w:val="00265B54"/>
    <w:rsid w:val="00265E3C"/>
    <w:rsid w:val="00267473"/>
    <w:rsid w:val="00270F6B"/>
    <w:rsid w:val="00271AFA"/>
    <w:rsid w:val="002720D6"/>
    <w:rsid w:val="0027245A"/>
    <w:rsid w:val="0027266D"/>
    <w:rsid w:val="002758D5"/>
    <w:rsid w:val="00275EBD"/>
    <w:rsid w:val="002761EF"/>
    <w:rsid w:val="002765B2"/>
    <w:rsid w:val="00277164"/>
    <w:rsid w:val="00277D38"/>
    <w:rsid w:val="00277F01"/>
    <w:rsid w:val="00282DFC"/>
    <w:rsid w:val="002835A0"/>
    <w:rsid w:val="0029011F"/>
    <w:rsid w:val="00290DD8"/>
    <w:rsid w:val="00292882"/>
    <w:rsid w:val="00294043"/>
    <w:rsid w:val="00297805"/>
    <w:rsid w:val="002979E9"/>
    <w:rsid w:val="002A05CD"/>
    <w:rsid w:val="002A14DE"/>
    <w:rsid w:val="002A253E"/>
    <w:rsid w:val="002A272A"/>
    <w:rsid w:val="002A45AE"/>
    <w:rsid w:val="002A4CD4"/>
    <w:rsid w:val="002A574A"/>
    <w:rsid w:val="002B0681"/>
    <w:rsid w:val="002B0795"/>
    <w:rsid w:val="002B300A"/>
    <w:rsid w:val="002B3136"/>
    <w:rsid w:val="002B34CC"/>
    <w:rsid w:val="002B36E4"/>
    <w:rsid w:val="002B3E7B"/>
    <w:rsid w:val="002B499A"/>
    <w:rsid w:val="002B55F2"/>
    <w:rsid w:val="002B5E55"/>
    <w:rsid w:val="002B5EEA"/>
    <w:rsid w:val="002B66D2"/>
    <w:rsid w:val="002B7D33"/>
    <w:rsid w:val="002C039A"/>
    <w:rsid w:val="002C0707"/>
    <w:rsid w:val="002C2409"/>
    <w:rsid w:val="002C5D2E"/>
    <w:rsid w:val="002D012B"/>
    <w:rsid w:val="002D3EE8"/>
    <w:rsid w:val="002D5081"/>
    <w:rsid w:val="002D5B40"/>
    <w:rsid w:val="002E00B7"/>
    <w:rsid w:val="002E0BA9"/>
    <w:rsid w:val="002E1CC2"/>
    <w:rsid w:val="002E2814"/>
    <w:rsid w:val="002E3F9F"/>
    <w:rsid w:val="002E43ED"/>
    <w:rsid w:val="002E470F"/>
    <w:rsid w:val="002E5681"/>
    <w:rsid w:val="002E60C4"/>
    <w:rsid w:val="002E6108"/>
    <w:rsid w:val="002E64F9"/>
    <w:rsid w:val="002E6FB8"/>
    <w:rsid w:val="002E7A7D"/>
    <w:rsid w:val="002E7CBE"/>
    <w:rsid w:val="002F239A"/>
    <w:rsid w:val="002F2627"/>
    <w:rsid w:val="002F3D79"/>
    <w:rsid w:val="002F3E94"/>
    <w:rsid w:val="002F4DB9"/>
    <w:rsid w:val="002F72AD"/>
    <w:rsid w:val="002F7B9C"/>
    <w:rsid w:val="002F7DCD"/>
    <w:rsid w:val="00300102"/>
    <w:rsid w:val="00300BE3"/>
    <w:rsid w:val="00300F76"/>
    <w:rsid w:val="00302408"/>
    <w:rsid w:val="00305521"/>
    <w:rsid w:val="00306391"/>
    <w:rsid w:val="0031063A"/>
    <w:rsid w:val="003154E1"/>
    <w:rsid w:val="00315B6D"/>
    <w:rsid w:val="00316568"/>
    <w:rsid w:val="0031665C"/>
    <w:rsid w:val="00320A4E"/>
    <w:rsid w:val="00321A91"/>
    <w:rsid w:val="00322F6E"/>
    <w:rsid w:val="00324C87"/>
    <w:rsid w:val="003263CC"/>
    <w:rsid w:val="00326AC7"/>
    <w:rsid w:val="0032746B"/>
    <w:rsid w:val="00327BD0"/>
    <w:rsid w:val="00327D04"/>
    <w:rsid w:val="003308F7"/>
    <w:rsid w:val="00330A8C"/>
    <w:rsid w:val="0033213A"/>
    <w:rsid w:val="00332467"/>
    <w:rsid w:val="00335125"/>
    <w:rsid w:val="003358BF"/>
    <w:rsid w:val="00336995"/>
    <w:rsid w:val="003371A7"/>
    <w:rsid w:val="003379DD"/>
    <w:rsid w:val="00340BB2"/>
    <w:rsid w:val="00340C50"/>
    <w:rsid w:val="00340D76"/>
    <w:rsid w:val="00342C85"/>
    <w:rsid w:val="003431F0"/>
    <w:rsid w:val="0034458F"/>
    <w:rsid w:val="0034479A"/>
    <w:rsid w:val="0034554E"/>
    <w:rsid w:val="003464BC"/>
    <w:rsid w:val="003465C1"/>
    <w:rsid w:val="003471B9"/>
    <w:rsid w:val="00347B24"/>
    <w:rsid w:val="0035271D"/>
    <w:rsid w:val="00352B80"/>
    <w:rsid w:val="00353697"/>
    <w:rsid w:val="003538F1"/>
    <w:rsid w:val="00354884"/>
    <w:rsid w:val="00354F60"/>
    <w:rsid w:val="00355036"/>
    <w:rsid w:val="0035748B"/>
    <w:rsid w:val="00357754"/>
    <w:rsid w:val="00360E43"/>
    <w:rsid w:val="00361CD3"/>
    <w:rsid w:val="00362430"/>
    <w:rsid w:val="00364646"/>
    <w:rsid w:val="00364AF2"/>
    <w:rsid w:val="00366EF4"/>
    <w:rsid w:val="00370A0B"/>
    <w:rsid w:val="00371F07"/>
    <w:rsid w:val="00372A5B"/>
    <w:rsid w:val="00372EF0"/>
    <w:rsid w:val="0037371E"/>
    <w:rsid w:val="00373C3A"/>
    <w:rsid w:val="00374083"/>
    <w:rsid w:val="0037471F"/>
    <w:rsid w:val="00375004"/>
    <w:rsid w:val="003750A0"/>
    <w:rsid w:val="003757E2"/>
    <w:rsid w:val="003767E5"/>
    <w:rsid w:val="00377751"/>
    <w:rsid w:val="00377B1F"/>
    <w:rsid w:val="00380721"/>
    <w:rsid w:val="00380790"/>
    <w:rsid w:val="00380C34"/>
    <w:rsid w:val="00380E76"/>
    <w:rsid w:val="00387CA9"/>
    <w:rsid w:val="00387DB7"/>
    <w:rsid w:val="00387E82"/>
    <w:rsid w:val="00390B79"/>
    <w:rsid w:val="0039209B"/>
    <w:rsid w:val="00392C67"/>
    <w:rsid w:val="00393ACD"/>
    <w:rsid w:val="003955BE"/>
    <w:rsid w:val="003958E5"/>
    <w:rsid w:val="0039794C"/>
    <w:rsid w:val="00397BF9"/>
    <w:rsid w:val="003A0F77"/>
    <w:rsid w:val="003A26E7"/>
    <w:rsid w:val="003A2C72"/>
    <w:rsid w:val="003A30A5"/>
    <w:rsid w:val="003A5029"/>
    <w:rsid w:val="003A55C2"/>
    <w:rsid w:val="003B0700"/>
    <w:rsid w:val="003B1658"/>
    <w:rsid w:val="003B2955"/>
    <w:rsid w:val="003B2C49"/>
    <w:rsid w:val="003B3B16"/>
    <w:rsid w:val="003B50CB"/>
    <w:rsid w:val="003B6A31"/>
    <w:rsid w:val="003B6E6E"/>
    <w:rsid w:val="003B7925"/>
    <w:rsid w:val="003B7DE4"/>
    <w:rsid w:val="003C08B7"/>
    <w:rsid w:val="003C2779"/>
    <w:rsid w:val="003C28E4"/>
    <w:rsid w:val="003C3AC8"/>
    <w:rsid w:val="003C4542"/>
    <w:rsid w:val="003C56FC"/>
    <w:rsid w:val="003C66C2"/>
    <w:rsid w:val="003C69AA"/>
    <w:rsid w:val="003C716E"/>
    <w:rsid w:val="003D1233"/>
    <w:rsid w:val="003D1AEA"/>
    <w:rsid w:val="003D2929"/>
    <w:rsid w:val="003D32CC"/>
    <w:rsid w:val="003D37B0"/>
    <w:rsid w:val="003D4C85"/>
    <w:rsid w:val="003D5116"/>
    <w:rsid w:val="003D5E2C"/>
    <w:rsid w:val="003D760B"/>
    <w:rsid w:val="003E087C"/>
    <w:rsid w:val="003E1C99"/>
    <w:rsid w:val="003E20F2"/>
    <w:rsid w:val="003E2702"/>
    <w:rsid w:val="003E2B58"/>
    <w:rsid w:val="003E3B45"/>
    <w:rsid w:val="003E3DF0"/>
    <w:rsid w:val="003E50CF"/>
    <w:rsid w:val="003E6BA6"/>
    <w:rsid w:val="003E74EA"/>
    <w:rsid w:val="003E7B35"/>
    <w:rsid w:val="003F2AE9"/>
    <w:rsid w:val="003F3E85"/>
    <w:rsid w:val="003F4119"/>
    <w:rsid w:val="003F4453"/>
    <w:rsid w:val="003F72E8"/>
    <w:rsid w:val="003F7774"/>
    <w:rsid w:val="00400157"/>
    <w:rsid w:val="00400180"/>
    <w:rsid w:val="00400A0A"/>
    <w:rsid w:val="00401121"/>
    <w:rsid w:val="00403208"/>
    <w:rsid w:val="00404F01"/>
    <w:rsid w:val="00404F35"/>
    <w:rsid w:val="0040514C"/>
    <w:rsid w:val="00405DCF"/>
    <w:rsid w:val="00406A5B"/>
    <w:rsid w:val="00407527"/>
    <w:rsid w:val="00407E21"/>
    <w:rsid w:val="00407EA1"/>
    <w:rsid w:val="0041024B"/>
    <w:rsid w:val="0041039E"/>
    <w:rsid w:val="004106F3"/>
    <w:rsid w:val="004107F4"/>
    <w:rsid w:val="00410AB0"/>
    <w:rsid w:val="00410E71"/>
    <w:rsid w:val="00412333"/>
    <w:rsid w:val="00412942"/>
    <w:rsid w:val="0041352B"/>
    <w:rsid w:val="00413D44"/>
    <w:rsid w:val="004140C2"/>
    <w:rsid w:val="00414311"/>
    <w:rsid w:val="004150D8"/>
    <w:rsid w:val="004162B4"/>
    <w:rsid w:val="0041701D"/>
    <w:rsid w:val="00417914"/>
    <w:rsid w:val="00417BEE"/>
    <w:rsid w:val="00417E9B"/>
    <w:rsid w:val="00421CA6"/>
    <w:rsid w:val="004244F3"/>
    <w:rsid w:val="004261E6"/>
    <w:rsid w:val="00426AF0"/>
    <w:rsid w:val="00426B43"/>
    <w:rsid w:val="00427129"/>
    <w:rsid w:val="0042759C"/>
    <w:rsid w:val="00427A91"/>
    <w:rsid w:val="00430D90"/>
    <w:rsid w:val="00430F3D"/>
    <w:rsid w:val="004321E8"/>
    <w:rsid w:val="00433E16"/>
    <w:rsid w:val="00434105"/>
    <w:rsid w:val="00434298"/>
    <w:rsid w:val="0043460D"/>
    <w:rsid w:val="00435DC5"/>
    <w:rsid w:val="00435DD7"/>
    <w:rsid w:val="00435E8E"/>
    <w:rsid w:val="004360E4"/>
    <w:rsid w:val="004362F8"/>
    <w:rsid w:val="00436B4C"/>
    <w:rsid w:val="00437528"/>
    <w:rsid w:val="00437755"/>
    <w:rsid w:val="00437A32"/>
    <w:rsid w:val="00437BE0"/>
    <w:rsid w:val="00441ECD"/>
    <w:rsid w:val="00443E43"/>
    <w:rsid w:val="00444A71"/>
    <w:rsid w:val="0044665B"/>
    <w:rsid w:val="00447054"/>
    <w:rsid w:val="00451728"/>
    <w:rsid w:val="004529F6"/>
    <w:rsid w:val="00452A97"/>
    <w:rsid w:val="00454622"/>
    <w:rsid w:val="004547A1"/>
    <w:rsid w:val="004555C8"/>
    <w:rsid w:val="00456143"/>
    <w:rsid w:val="00460231"/>
    <w:rsid w:val="0046073D"/>
    <w:rsid w:val="00460C40"/>
    <w:rsid w:val="00461B84"/>
    <w:rsid w:val="00461CA5"/>
    <w:rsid w:val="00461D58"/>
    <w:rsid w:val="00462B8A"/>
    <w:rsid w:val="00463021"/>
    <w:rsid w:val="00463427"/>
    <w:rsid w:val="004653E1"/>
    <w:rsid w:val="0046562E"/>
    <w:rsid w:val="00465D7B"/>
    <w:rsid w:val="00465EF4"/>
    <w:rsid w:val="00466A81"/>
    <w:rsid w:val="00466D47"/>
    <w:rsid w:val="004679CF"/>
    <w:rsid w:val="00470DD8"/>
    <w:rsid w:val="00471774"/>
    <w:rsid w:val="00471951"/>
    <w:rsid w:val="004737AB"/>
    <w:rsid w:val="00474452"/>
    <w:rsid w:val="00476D80"/>
    <w:rsid w:val="004803B0"/>
    <w:rsid w:val="00481101"/>
    <w:rsid w:val="00481829"/>
    <w:rsid w:val="00482A06"/>
    <w:rsid w:val="00483881"/>
    <w:rsid w:val="004840B0"/>
    <w:rsid w:val="00484DB6"/>
    <w:rsid w:val="00485903"/>
    <w:rsid w:val="004910A6"/>
    <w:rsid w:val="00491233"/>
    <w:rsid w:val="00493489"/>
    <w:rsid w:val="00495BE4"/>
    <w:rsid w:val="00496B9D"/>
    <w:rsid w:val="004977EF"/>
    <w:rsid w:val="00497B43"/>
    <w:rsid w:val="004A15EF"/>
    <w:rsid w:val="004A1C84"/>
    <w:rsid w:val="004A4FE8"/>
    <w:rsid w:val="004A59E1"/>
    <w:rsid w:val="004B1FED"/>
    <w:rsid w:val="004B2552"/>
    <w:rsid w:val="004B3CAA"/>
    <w:rsid w:val="004B4301"/>
    <w:rsid w:val="004B47BA"/>
    <w:rsid w:val="004C1895"/>
    <w:rsid w:val="004C25DD"/>
    <w:rsid w:val="004C617B"/>
    <w:rsid w:val="004D047D"/>
    <w:rsid w:val="004D058A"/>
    <w:rsid w:val="004D3141"/>
    <w:rsid w:val="004D424C"/>
    <w:rsid w:val="004D75B6"/>
    <w:rsid w:val="004E087A"/>
    <w:rsid w:val="004E095E"/>
    <w:rsid w:val="004E0F21"/>
    <w:rsid w:val="004E1635"/>
    <w:rsid w:val="004E3DCD"/>
    <w:rsid w:val="004E53E6"/>
    <w:rsid w:val="004E540F"/>
    <w:rsid w:val="004E5B50"/>
    <w:rsid w:val="004E6123"/>
    <w:rsid w:val="004E6450"/>
    <w:rsid w:val="004E6A4A"/>
    <w:rsid w:val="004F0EE3"/>
    <w:rsid w:val="004F2FEA"/>
    <w:rsid w:val="004F3579"/>
    <w:rsid w:val="004F3F69"/>
    <w:rsid w:val="004F560A"/>
    <w:rsid w:val="004F5BFC"/>
    <w:rsid w:val="004F62A9"/>
    <w:rsid w:val="0050375C"/>
    <w:rsid w:val="00503C51"/>
    <w:rsid w:val="00503DE9"/>
    <w:rsid w:val="00504115"/>
    <w:rsid w:val="00504EE4"/>
    <w:rsid w:val="0050523C"/>
    <w:rsid w:val="00507C6B"/>
    <w:rsid w:val="00507CF7"/>
    <w:rsid w:val="00514650"/>
    <w:rsid w:val="00514E24"/>
    <w:rsid w:val="00517E12"/>
    <w:rsid w:val="00521340"/>
    <w:rsid w:val="005238DD"/>
    <w:rsid w:val="005245BA"/>
    <w:rsid w:val="00524F5A"/>
    <w:rsid w:val="005315BB"/>
    <w:rsid w:val="005318DF"/>
    <w:rsid w:val="00531A30"/>
    <w:rsid w:val="00532993"/>
    <w:rsid w:val="00534EA4"/>
    <w:rsid w:val="00535226"/>
    <w:rsid w:val="00536959"/>
    <w:rsid w:val="00537865"/>
    <w:rsid w:val="005379B3"/>
    <w:rsid w:val="00537B03"/>
    <w:rsid w:val="00540074"/>
    <w:rsid w:val="00540522"/>
    <w:rsid w:val="00540868"/>
    <w:rsid w:val="00541117"/>
    <w:rsid w:val="00541971"/>
    <w:rsid w:val="00542D44"/>
    <w:rsid w:val="00542DEB"/>
    <w:rsid w:val="00542E9B"/>
    <w:rsid w:val="00544C2B"/>
    <w:rsid w:val="00544CE8"/>
    <w:rsid w:val="0054539C"/>
    <w:rsid w:val="00545494"/>
    <w:rsid w:val="00545700"/>
    <w:rsid w:val="0054762A"/>
    <w:rsid w:val="00551DFD"/>
    <w:rsid w:val="00552DE2"/>
    <w:rsid w:val="0055365B"/>
    <w:rsid w:val="0055484A"/>
    <w:rsid w:val="00554C4C"/>
    <w:rsid w:val="0055509B"/>
    <w:rsid w:val="00557B2D"/>
    <w:rsid w:val="00560726"/>
    <w:rsid w:val="005618E9"/>
    <w:rsid w:val="00562109"/>
    <w:rsid w:val="005629F3"/>
    <w:rsid w:val="00563750"/>
    <w:rsid w:val="00563EBE"/>
    <w:rsid w:val="00565495"/>
    <w:rsid w:val="0056668D"/>
    <w:rsid w:val="005673EC"/>
    <w:rsid w:val="00567796"/>
    <w:rsid w:val="00567DE0"/>
    <w:rsid w:val="005701F5"/>
    <w:rsid w:val="00570881"/>
    <w:rsid w:val="0057090D"/>
    <w:rsid w:val="005719EB"/>
    <w:rsid w:val="00571F6A"/>
    <w:rsid w:val="00572835"/>
    <w:rsid w:val="00572AFD"/>
    <w:rsid w:val="0057344C"/>
    <w:rsid w:val="005748C2"/>
    <w:rsid w:val="005773EC"/>
    <w:rsid w:val="00577477"/>
    <w:rsid w:val="00577BF4"/>
    <w:rsid w:val="0058094E"/>
    <w:rsid w:val="00581051"/>
    <w:rsid w:val="005826D7"/>
    <w:rsid w:val="00582BB6"/>
    <w:rsid w:val="00583641"/>
    <w:rsid w:val="00583E64"/>
    <w:rsid w:val="00585FE4"/>
    <w:rsid w:val="00586997"/>
    <w:rsid w:val="00586A73"/>
    <w:rsid w:val="00586A88"/>
    <w:rsid w:val="00587DBF"/>
    <w:rsid w:val="00587E69"/>
    <w:rsid w:val="00591100"/>
    <w:rsid w:val="00591AAA"/>
    <w:rsid w:val="00592106"/>
    <w:rsid w:val="005926DF"/>
    <w:rsid w:val="00592D5D"/>
    <w:rsid w:val="00593F0B"/>
    <w:rsid w:val="005952B1"/>
    <w:rsid w:val="0059572E"/>
    <w:rsid w:val="00595FF3"/>
    <w:rsid w:val="005A0141"/>
    <w:rsid w:val="005A06D7"/>
    <w:rsid w:val="005A0A40"/>
    <w:rsid w:val="005A14A0"/>
    <w:rsid w:val="005A18CA"/>
    <w:rsid w:val="005A25AB"/>
    <w:rsid w:val="005A416B"/>
    <w:rsid w:val="005A41CE"/>
    <w:rsid w:val="005A6CD9"/>
    <w:rsid w:val="005A6D5E"/>
    <w:rsid w:val="005A6F2E"/>
    <w:rsid w:val="005A7197"/>
    <w:rsid w:val="005B1553"/>
    <w:rsid w:val="005B3FE0"/>
    <w:rsid w:val="005B4DDD"/>
    <w:rsid w:val="005B4FC5"/>
    <w:rsid w:val="005B57CC"/>
    <w:rsid w:val="005C0539"/>
    <w:rsid w:val="005C0713"/>
    <w:rsid w:val="005C1963"/>
    <w:rsid w:val="005C311E"/>
    <w:rsid w:val="005C536F"/>
    <w:rsid w:val="005C6B8C"/>
    <w:rsid w:val="005C6D19"/>
    <w:rsid w:val="005C7FC3"/>
    <w:rsid w:val="005D165E"/>
    <w:rsid w:val="005D1DD8"/>
    <w:rsid w:val="005D397A"/>
    <w:rsid w:val="005D3FF6"/>
    <w:rsid w:val="005D403F"/>
    <w:rsid w:val="005D576A"/>
    <w:rsid w:val="005D63A0"/>
    <w:rsid w:val="005D6788"/>
    <w:rsid w:val="005D6981"/>
    <w:rsid w:val="005E255D"/>
    <w:rsid w:val="005E3E07"/>
    <w:rsid w:val="005E43C8"/>
    <w:rsid w:val="005E4581"/>
    <w:rsid w:val="005E6D99"/>
    <w:rsid w:val="005E78C3"/>
    <w:rsid w:val="005E7AE0"/>
    <w:rsid w:val="005F01B8"/>
    <w:rsid w:val="005F1A9C"/>
    <w:rsid w:val="005F2C64"/>
    <w:rsid w:val="005F4E26"/>
    <w:rsid w:val="005F63C6"/>
    <w:rsid w:val="005F7446"/>
    <w:rsid w:val="005F74E5"/>
    <w:rsid w:val="005F7A50"/>
    <w:rsid w:val="005F7C35"/>
    <w:rsid w:val="0060160C"/>
    <w:rsid w:val="00601E05"/>
    <w:rsid w:val="006036AC"/>
    <w:rsid w:val="0060380A"/>
    <w:rsid w:val="0060469D"/>
    <w:rsid w:val="0061059E"/>
    <w:rsid w:val="006109AC"/>
    <w:rsid w:val="00610B5F"/>
    <w:rsid w:val="006122BC"/>
    <w:rsid w:val="00612547"/>
    <w:rsid w:val="00612DE6"/>
    <w:rsid w:val="00613E28"/>
    <w:rsid w:val="00614456"/>
    <w:rsid w:val="00614E47"/>
    <w:rsid w:val="006168F5"/>
    <w:rsid w:val="006175CB"/>
    <w:rsid w:val="00620040"/>
    <w:rsid w:val="00620299"/>
    <w:rsid w:val="00621DD1"/>
    <w:rsid w:val="0062264E"/>
    <w:rsid w:val="00622D9E"/>
    <w:rsid w:val="00624942"/>
    <w:rsid w:val="006254F0"/>
    <w:rsid w:val="006337ED"/>
    <w:rsid w:val="0063611B"/>
    <w:rsid w:val="00636413"/>
    <w:rsid w:val="00637173"/>
    <w:rsid w:val="006374B4"/>
    <w:rsid w:val="00637A8F"/>
    <w:rsid w:val="00637FB2"/>
    <w:rsid w:val="00640B9B"/>
    <w:rsid w:val="00640DD1"/>
    <w:rsid w:val="00642EB8"/>
    <w:rsid w:val="00643D90"/>
    <w:rsid w:val="00644564"/>
    <w:rsid w:val="0064506E"/>
    <w:rsid w:val="006547A5"/>
    <w:rsid w:val="00654B4B"/>
    <w:rsid w:val="00654B85"/>
    <w:rsid w:val="00655090"/>
    <w:rsid w:val="00657597"/>
    <w:rsid w:val="00657EC5"/>
    <w:rsid w:val="00660A40"/>
    <w:rsid w:val="00660B64"/>
    <w:rsid w:val="00662DFC"/>
    <w:rsid w:val="006649F2"/>
    <w:rsid w:val="00664C9F"/>
    <w:rsid w:val="00664F21"/>
    <w:rsid w:val="00665C0A"/>
    <w:rsid w:val="00665D38"/>
    <w:rsid w:val="0066668E"/>
    <w:rsid w:val="0066789C"/>
    <w:rsid w:val="00667D9C"/>
    <w:rsid w:val="00670900"/>
    <w:rsid w:val="00670B69"/>
    <w:rsid w:val="00670CCB"/>
    <w:rsid w:val="00670FA0"/>
    <w:rsid w:val="00671277"/>
    <w:rsid w:val="00671E76"/>
    <w:rsid w:val="0067234F"/>
    <w:rsid w:val="00673C9B"/>
    <w:rsid w:val="0067475B"/>
    <w:rsid w:val="00675D12"/>
    <w:rsid w:val="006760DD"/>
    <w:rsid w:val="00676C46"/>
    <w:rsid w:val="00681298"/>
    <w:rsid w:val="00681E01"/>
    <w:rsid w:val="00682B84"/>
    <w:rsid w:val="0068380E"/>
    <w:rsid w:val="006838A6"/>
    <w:rsid w:val="0068548A"/>
    <w:rsid w:val="00686FE6"/>
    <w:rsid w:val="00687AEF"/>
    <w:rsid w:val="0069385D"/>
    <w:rsid w:val="00695EBA"/>
    <w:rsid w:val="00696BD1"/>
    <w:rsid w:val="006A2F0D"/>
    <w:rsid w:val="006A7649"/>
    <w:rsid w:val="006B12E6"/>
    <w:rsid w:val="006B3D9F"/>
    <w:rsid w:val="006B56D0"/>
    <w:rsid w:val="006C09EA"/>
    <w:rsid w:val="006C1970"/>
    <w:rsid w:val="006C3EB9"/>
    <w:rsid w:val="006C4CE0"/>
    <w:rsid w:val="006C7780"/>
    <w:rsid w:val="006D1269"/>
    <w:rsid w:val="006D1B0E"/>
    <w:rsid w:val="006D1E4B"/>
    <w:rsid w:val="006D2BBA"/>
    <w:rsid w:val="006D2DEA"/>
    <w:rsid w:val="006D447C"/>
    <w:rsid w:val="006D480E"/>
    <w:rsid w:val="006D4F8E"/>
    <w:rsid w:val="006D629A"/>
    <w:rsid w:val="006D661F"/>
    <w:rsid w:val="006D6E6A"/>
    <w:rsid w:val="006D6F87"/>
    <w:rsid w:val="006D779C"/>
    <w:rsid w:val="006E0F1C"/>
    <w:rsid w:val="006E15D1"/>
    <w:rsid w:val="006E3946"/>
    <w:rsid w:val="006E42A4"/>
    <w:rsid w:val="006E4B0A"/>
    <w:rsid w:val="006E4B7B"/>
    <w:rsid w:val="006E4B7D"/>
    <w:rsid w:val="006E4D11"/>
    <w:rsid w:val="006E663C"/>
    <w:rsid w:val="006E6F31"/>
    <w:rsid w:val="006E7573"/>
    <w:rsid w:val="006F1863"/>
    <w:rsid w:val="006F2154"/>
    <w:rsid w:val="006F3EEA"/>
    <w:rsid w:val="006F409A"/>
    <w:rsid w:val="006F439A"/>
    <w:rsid w:val="006F527A"/>
    <w:rsid w:val="006F62A5"/>
    <w:rsid w:val="00701DAB"/>
    <w:rsid w:val="00702AC5"/>
    <w:rsid w:val="00702AC8"/>
    <w:rsid w:val="00703259"/>
    <w:rsid w:val="007032F6"/>
    <w:rsid w:val="00704416"/>
    <w:rsid w:val="00704A0E"/>
    <w:rsid w:val="007059E4"/>
    <w:rsid w:val="0070625E"/>
    <w:rsid w:val="00707BEB"/>
    <w:rsid w:val="00707CE6"/>
    <w:rsid w:val="007109AB"/>
    <w:rsid w:val="00710A56"/>
    <w:rsid w:val="0071106A"/>
    <w:rsid w:val="0071124C"/>
    <w:rsid w:val="00712654"/>
    <w:rsid w:val="00715F24"/>
    <w:rsid w:val="007176D8"/>
    <w:rsid w:val="007202C1"/>
    <w:rsid w:val="007218D5"/>
    <w:rsid w:val="0072265F"/>
    <w:rsid w:val="007255A4"/>
    <w:rsid w:val="00727199"/>
    <w:rsid w:val="00727ABD"/>
    <w:rsid w:val="00727D98"/>
    <w:rsid w:val="007300F1"/>
    <w:rsid w:val="00730250"/>
    <w:rsid w:val="00730F34"/>
    <w:rsid w:val="0073110C"/>
    <w:rsid w:val="00732C1B"/>
    <w:rsid w:val="00733E3B"/>
    <w:rsid w:val="00734B2F"/>
    <w:rsid w:val="00734C2D"/>
    <w:rsid w:val="00735E79"/>
    <w:rsid w:val="007362D9"/>
    <w:rsid w:val="00736774"/>
    <w:rsid w:val="00737966"/>
    <w:rsid w:val="00740289"/>
    <w:rsid w:val="007403F1"/>
    <w:rsid w:val="00741144"/>
    <w:rsid w:val="0074119A"/>
    <w:rsid w:val="00742056"/>
    <w:rsid w:val="00744FA2"/>
    <w:rsid w:val="007460BD"/>
    <w:rsid w:val="00746D81"/>
    <w:rsid w:val="00747C7F"/>
    <w:rsid w:val="00750210"/>
    <w:rsid w:val="007511A0"/>
    <w:rsid w:val="007529FF"/>
    <w:rsid w:val="00752A4E"/>
    <w:rsid w:val="00753510"/>
    <w:rsid w:val="00755C59"/>
    <w:rsid w:val="00756D88"/>
    <w:rsid w:val="00757DA6"/>
    <w:rsid w:val="0076169B"/>
    <w:rsid w:val="00762A8F"/>
    <w:rsid w:val="007643A1"/>
    <w:rsid w:val="007646D9"/>
    <w:rsid w:val="00765C6D"/>
    <w:rsid w:val="00765D3D"/>
    <w:rsid w:val="007664D5"/>
    <w:rsid w:val="007672FA"/>
    <w:rsid w:val="00767D45"/>
    <w:rsid w:val="00767DF3"/>
    <w:rsid w:val="00770FD2"/>
    <w:rsid w:val="00771B8A"/>
    <w:rsid w:val="00771D55"/>
    <w:rsid w:val="007725C5"/>
    <w:rsid w:val="0077397A"/>
    <w:rsid w:val="00775568"/>
    <w:rsid w:val="00775744"/>
    <w:rsid w:val="007761E5"/>
    <w:rsid w:val="00777745"/>
    <w:rsid w:val="00777C65"/>
    <w:rsid w:val="00777F3D"/>
    <w:rsid w:val="007802F2"/>
    <w:rsid w:val="0078074A"/>
    <w:rsid w:val="00780A2E"/>
    <w:rsid w:val="007811B4"/>
    <w:rsid w:val="007816C0"/>
    <w:rsid w:val="007839C7"/>
    <w:rsid w:val="007840C0"/>
    <w:rsid w:val="007845A8"/>
    <w:rsid w:val="00784647"/>
    <w:rsid w:val="00784A24"/>
    <w:rsid w:val="00786223"/>
    <w:rsid w:val="00786FA9"/>
    <w:rsid w:val="0078742D"/>
    <w:rsid w:val="00790747"/>
    <w:rsid w:val="007924BE"/>
    <w:rsid w:val="007931A3"/>
    <w:rsid w:val="00793CA3"/>
    <w:rsid w:val="007955AE"/>
    <w:rsid w:val="007955EB"/>
    <w:rsid w:val="00795884"/>
    <w:rsid w:val="00795D21"/>
    <w:rsid w:val="00797131"/>
    <w:rsid w:val="007A0E32"/>
    <w:rsid w:val="007A1726"/>
    <w:rsid w:val="007A1DB5"/>
    <w:rsid w:val="007A2FAC"/>
    <w:rsid w:val="007A3E0B"/>
    <w:rsid w:val="007A3E7E"/>
    <w:rsid w:val="007A50E4"/>
    <w:rsid w:val="007A5766"/>
    <w:rsid w:val="007A6409"/>
    <w:rsid w:val="007A6834"/>
    <w:rsid w:val="007A6B26"/>
    <w:rsid w:val="007A72F4"/>
    <w:rsid w:val="007B05E6"/>
    <w:rsid w:val="007B1509"/>
    <w:rsid w:val="007B2F00"/>
    <w:rsid w:val="007B3788"/>
    <w:rsid w:val="007B402E"/>
    <w:rsid w:val="007B4190"/>
    <w:rsid w:val="007B71EC"/>
    <w:rsid w:val="007B73D4"/>
    <w:rsid w:val="007B755E"/>
    <w:rsid w:val="007C01C9"/>
    <w:rsid w:val="007C045D"/>
    <w:rsid w:val="007C0ED1"/>
    <w:rsid w:val="007C1D01"/>
    <w:rsid w:val="007C2434"/>
    <w:rsid w:val="007C2E41"/>
    <w:rsid w:val="007C3004"/>
    <w:rsid w:val="007C3438"/>
    <w:rsid w:val="007C3ED2"/>
    <w:rsid w:val="007C6DAA"/>
    <w:rsid w:val="007C7BF9"/>
    <w:rsid w:val="007D1675"/>
    <w:rsid w:val="007D31CF"/>
    <w:rsid w:val="007D329B"/>
    <w:rsid w:val="007D3E51"/>
    <w:rsid w:val="007D42AD"/>
    <w:rsid w:val="007D76D0"/>
    <w:rsid w:val="007D7825"/>
    <w:rsid w:val="007D7D71"/>
    <w:rsid w:val="007E1EE6"/>
    <w:rsid w:val="007E489D"/>
    <w:rsid w:val="007E5079"/>
    <w:rsid w:val="007E5915"/>
    <w:rsid w:val="007E6776"/>
    <w:rsid w:val="007E6BBE"/>
    <w:rsid w:val="007E7B3C"/>
    <w:rsid w:val="007F01B4"/>
    <w:rsid w:val="007F056D"/>
    <w:rsid w:val="007F08AB"/>
    <w:rsid w:val="007F0C69"/>
    <w:rsid w:val="007F1741"/>
    <w:rsid w:val="007F1A7D"/>
    <w:rsid w:val="007F241B"/>
    <w:rsid w:val="007F284E"/>
    <w:rsid w:val="007F494C"/>
    <w:rsid w:val="007F70F8"/>
    <w:rsid w:val="007F7501"/>
    <w:rsid w:val="007F7DD4"/>
    <w:rsid w:val="00800494"/>
    <w:rsid w:val="00803F30"/>
    <w:rsid w:val="00804659"/>
    <w:rsid w:val="0080550C"/>
    <w:rsid w:val="00806312"/>
    <w:rsid w:val="008071C6"/>
    <w:rsid w:val="0080753B"/>
    <w:rsid w:val="00810341"/>
    <w:rsid w:val="008122F3"/>
    <w:rsid w:val="008144E0"/>
    <w:rsid w:val="00814D0B"/>
    <w:rsid w:val="00815E86"/>
    <w:rsid w:val="00817235"/>
    <w:rsid w:val="008175D6"/>
    <w:rsid w:val="008209F0"/>
    <w:rsid w:val="008211EF"/>
    <w:rsid w:val="008231DF"/>
    <w:rsid w:val="00825B71"/>
    <w:rsid w:val="00831429"/>
    <w:rsid w:val="00831894"/>
    <w:rsid w:val="00831AE9"/>
    <w:rsid w:val="00831E73"/>
    <w:rsid w:val="008322E7"/>
    <w:rsid w:val="0083319D"/>
    <w:rsid w:val="0083336C"/>
    <w:rsid w:val="00834B3A"/>
    <w:rsid w:val="008356CE"/>
    <w:rsid w:val="00840895"/>
    <w:rsid w:val="00840BCA"/>
    <w:rsid w:val="00840E43"/>
    <w:rsid w:val="00842A0A"/>
    <w:rsid w:val="00843F48"/>
    <w:rsid w:val="00844338"/>
    <w:rsid w:val="00844EFD"/>
    <w:rsid w:val="00846503"/>
    <w:rsid w:val="00850AAF"/>
    <w:rsid w:val="008517BA"/>
    <w:rsid w:val="0085285D"/>
    <w:rsid w:val="00853D7C"/>
    <w:rsid w:val="00854CD2"/>
    <w:rsid w:val="00855B9E"/>
    <w:rsid w:val="00856254"/>
    <w:rsid w:val="008576D5"/>
    <w:rsid w:val="008578F7"/>
    <w:rsid w:val="00857B8F"/>
    <w:rsid w:val="00860C8C"/>
    <w:rsid w:val="00861C80"/>
    <w:rsid w:val="00861F38"/>
    <w:rsid w:val="008625DD"/>
    <w:rsid w:val="008646B4"/>
    <w:rsid w:val="008647A8"/>
    <w:rsid w:val="00866BB8"/>
    <w:rsid w:val="008732BD"/>
    <w:rsid w:val="008737A2"/>
    <w:rsid w:val="00873BEE"/>
    <w:rsid w:val="0087443A"/>
    <w:rsid w:val="00874575"/>
    <w:rsid w:val="0087536A"/>
    <w:rsid w:val="00876D01"/>
    <w:rsid w:val="00877D0E"/>
    <w:rsid w:val="00877DB1"/>
    <w:rsid w:val="00880943"/>
    <w:rsid w:val="00881B51"/>
    <w:rsid w:val="00881F35"/>
    <w:rsid w:val="00882D74"/>
    <w:rsid w:val="00882E83"/>
    <w:rsid w:val="0089174D"/>
    <w:rsid w:val="0089185C"/>
    <w:rsid w:val="00892251"/>
    <w:rsid w:val="0089396A"/>
    <w:rsid w:val="00895863"/>
    <w:rsid w:val="00896466"/>
    <w:rsid w:val="008A1A64"/>
    <w:rsid w:val="008A22F4"/>
    <w:rsid w:val="008A25FA"/>
    <w:rsid w:val="008A4A2A"/>
    <w:rsid w:val="008A69E8"/>
    <w:rsid w:val="008A6ED6"/>
    <w:rsid w:val="008B0FB0"/>
    <w:rsid w:val="008B11D4"/>
    <w:rsid w:val="008B1FAF"/>
    <w:rsid w:val="008B2092"/>
    <w:rsid w:val="008B346E"/>
    <w:rsid w:val="008B410D"/>
    <w:rsid w:val="008B4C95"/>
    <w:rsid w:val="008B4E85"/>
    <w:rsid w:val="008B534C"/>
    <w:rsid w:val="008B655A"/>
    <w:rsid w:val="008C3D5F"/>
    <w:rsid w:val="008C58E2"/>
    <w:rsid w:val="008C5A26"/>
    <w:rsid w:val="008C6742"/>
    <w:rsid w:val="008C6A1D"/>
    <w:rsid w:val="008C6AD2"/>
    <w:rsid w:val="008C6AF8"/>
    <w:rsid w:val="008D009E"/>
    <w:rsid w:val="008D0935"/>
    <w:rsid w:val="008D15F1"/>
    <w:rsid w:val="008D1E5D"/>
    <w:rsid w:val="008D283E"/>
    <w:rsid w:val="008D2F98"/>
    <w:rsid w:val="008D4117"/>
    <w:rsid w:val="008D4784"/>
    <w:rsid w:val="008D69B6"/>
    <w:rsid w:val="008D6A36"/>
    <w:rsid w:val="008D6AF6"/>
    <w:rsid w:val="008D6BF1"/>
    <w:rsid w:val="008E033B"/>
    <w:rsid w:val="008E036F"/>
    <w:rsid w:val="008E093A"/>
    <w:rsid w:val="008E0D00"/>
    <w:rsid w:val="008E0F6F"/>
    <w:rsid w:val="008E135E"/>
    <w:rsid w:val="008E1A11"/>
    <w:rsid w:val="008E1AEC"/>
    <w:rsid w:val="008E20AF"/>
    <w:rsid w:val="008E4736"/>
    <w:rsid w:val="008E4E7C"/>
    <w:rsid w:val="008E689A"/>
    <w:rsid w:val="008E73E6"/>
    <w:rsid w:val="008E7E3D"/>
    <w:rsid w:val="008F1BFD"/>
    <w:rsid w:val="008F2CAE"/>
    <w:rsid w:val="008F3C4B"/>
    <w:rsid w:val="008F4B8D"/>
    <w:rsid w:val="008F4C0F"/>
    <w:rsid w:val="008F59BC"/>
    <w:rsid w:val="008F5DF8"/>
    <w:rsid w:val="008F65B0"/>
    <w:rsid w:val="00900CBB"/>
    <w:rsid w:val="009016ED"/>
    <w:rsid w:val="00901A16"/>
    <w:rsid w:val="00901AB6"/>
    <w:rsid w:val="00904719"/>
    <w:rsid w:val="00904F0B"/>
    <w:rsid w:val="00906B59"/>
    <w:rsid w:val="0090765C"/>
    <w:rsid w:val="00907EBC"/>
    <w:rsid w:val="00910331"/>
    <w:rsid w:val="009104FD"/>
    <w:rsid w:val="00912B31"/>
    <w:rsid w:val="00912BDD"/>
    <w:rsid w:val="00915373"/>
    <w:rsid w:val="00916B3B"/>
    <w:rsid w:val="0092015D"/>
    <w:rsid w:val="009206D9"/>
    <w:rsid w:val="00920963"/>
    <w:rsid w:val="00922B6A"/>
    <w:rsid w:val="009248F0"/>
    <w:rsid w:val="00925BC1"/>
    <w:rsid w:val="00926F69"/>
    <w:rsid w:val="0092702D"/>
    <w:rsid w:val="009316D6"/>
    <w:rsid w:val="00931D2A"/>
    <w:rsid w:val="00932E92"/>
    <w:rsid w:val="00934930"/>
    <w:rsid w:val="00936A5B"/>
    <w:rsid w:val="009400F0"/>
    <w:rsid w:val="009403AD"/>
    <w:rsid w:val="009416D3"/>
    <w:rsid w:val="00941A54"/>
    <w:rsid w:val="0094227C"/>
    <w:rsid w:val="009466C1"/>
    <w:rsid w:val="00950101"/>
    <w:rsid w:val="00950987"/>
    <w:rsid w:val="0095389E"/>
    <w:rsid w:val="00954976"/>
    <w:rsid w:val="00955FCB"/>
    <w:rsid w:val="00956831"/>
    <w:rsid w:val="00956A03"/>
    <w:rsid w:val="00957367"/>
    <w:rsid w:val="00961D03"/>
    <w:rsid w:val="00965670"/>
    <w:rsid w:val="00967F69"/>
    <w:rsid w:val="00971990"/>
    <w:rsid w:val="00973178"/>
    <w:rsid w:val="00974494"/>
    <w:rsid w:val="00976D38"/>
    <w:rsid w:val="0098133B"/>
    <w:rsid w:val="0098228A"/>
    <w:rsid w:val="00982AD8"/>
    <w:rsid w:val="009859EA"/>
    <w:rsid w:val="009869C8"/>
    <w:rsid w:val="009875BD"/>
    <w:rsid w:val="0099026D"/>
    <w:rsid w:val="00990793"/>
    <w:rsid w:val="00991805"/>
    <w:rsid w:val="00992053"/>
    <w:rsid w:val="00992839"/>
    <w:rsid w:val="00992C6E"/>
    <w:rsid w:val="00994E9D"/>
    <w:rsid w:val="00995697"/>
    <w:rsid w:val="0099641D"/>
    <w:rsid w:val="0099655B"/>
    <w:rsid w:val="009967C3"/>
    <w:rsid w:val="009975BB"/>
    <w:rsid w:val="009A08FA"/>
    <w:rsid w:val="009A0A77"/>
    <w:rsid w:val="009A1D2D"/>
    <w:rsid w:val="009A3BB0"/>
    <w:rsid w:val="009A4027"/>
    <w:rsid w:val="009A521C"/>
    <w:rsid w:val="009A76E0"/>
    <w:rsid w:val="009A7C32"/>
    <w:rsid w:val="009B03BD"/>
    <w:rsid w:val="009B161C"/>
    <w:rsid w:val="009B19A3"/>
    <w:rsid w:val="009B2091"/>
    <w:rsid w:val="009B2196"/>
    <w:rsid w:val="009B21AE"/>
    <w:rsid w:val="009B2C92"/>
    <w:rsid w:val="009B4337"/>
    <w:rsid w:val="009B43CB"/>
    <w:rsid w:val="009B443A"/>
    <w:rsid w:val="009B460F"/>
    <w:rsid w:val="009B4A99"/>
    <w:rsid w:val="009B4F0C"/>
    <w:rsid w:val="009B76BF"/>
    <w:rsid w:val="009B7CEC"/>
    <w:rsid w:val="009C17AA"/>
    <w:rsid w:val="009C1A36"/>
    <w:rsid w:val="009C1BDF"/>
    <w:rsid w:val="009C25B1"/>
    <w:rsid w:val="009C674B"/>
    <w:rsid w:val="009C6B0B"/>
    <w:rsid w:val="009C6B70"/>
    <w:rsid w:val="009D19E7"/>
    <w:rsid w:val="009D221E"/>
    <w:rsid w:val="009D2F26"/>
    <w:rsid w:val="009D30A2"/>
    <w:rsid w:val="009D32F1"/>
    <w:rsid w:val="009D3793"/>
    <w:rsid w:val="009D65C8"/>
    <w:rsid w:val="009E060C"/>
    <w:rsid w:val="009E1514"/>
    <w:rsid w:val="009E2962"/>
    <w:rsid w:val="009E3154"/>
    <w:rsid w:val="009E5E18"/>
    <w:rsid w:val="009E60DA"/>
    <w:rsid w:val="009E6BCD"/>
    <w:rsid w:val="009E7AC9"/>
    <w:rsid w:val="009E7C16"/>
    <w:rsid w:val="009E7D77"/>
    <w:rsid w:val="009E7E8C"/>
    <w:rsid w:val="009F0924"/>
    <w:rsid w:val="009F1D52"/>
    <w:rsid w:val="009F2B11"/>
    <w:rsid w:val="009F5653"/>
    <w:rsid w:val="009F6C4B"/>
    <w:rsid w:val="009F6D2E"/>
    <w:rsid w:val="00A00179"/>
    <w:rsid w:val="00A031BF"/>
    <w:rsid w:val="00A0327F"/>
    <w:rsid w:val="00A04A58"/>
    <w:rsid w:val="00A102D0"/>
    <w:rsid w:val="00A113DA"/>
    <w:rsid w:val="00A11732"/>
    <w:rsid w:val="00A12740"/>
    <w:rsid w:val="00A12955"/>
    <w:rsid w:val="00A13B51"/>
    <w:rsid w:val="00A15CAB"/>
    <w:rsid w:val="00A163F4"/>
    <w:rsid w:val="00A20C06"/>
    <w:rsid w:val="00A22680"/>
    <w:rsid w:val="00A2409F"/>
    <w:rsid w:val="00A2450E"/>
    <w:rsid w:val="00A2551F"/>
    <w:rsid w:val="00A267A4"/>
    <w:rsid w:val="00A26F30"/>
    <w:rsid w:val="00A31058"/>
    <w:rsid w:val="00A32315"/>
    <w:rsid w:val="00A323EB"/>
    <w:rsid w:val="00A324D9"/>
    <w:rsid w:val="00A34051"/>
    <w:rsid w:val="00A3481E"/>
    <w:rsid w:val="00A34F6A"/>
    <w:rsid w:val="00A36690"/>
    <w:rsid w:val="00A375C7"/>
    <w:rsid w:val="00A42C31"/>
    <w:rsid w:val="00A42CF0"/>
    <w:rsid w:val="00A43321"/>
    <w:rsid w:val="00A43538"/>
    <w:rsid w:val="00A44F74"/>
    <w:rsid w:val="00A4594F"/>
    <w:rsid w:val="00A45DD4"/>
    <w:rsid w:val="00A45F13"/>
    <w:rsid w:val="00A5040D"/>
    <w:rsid w:val="00A5067C"/>
    <w:rsid w:val="00A50693"/>
    <w:rsid w:val="00A50B21"/>
    <w:rsid w:val="00A50B25"/>
    <w:rsid w:val="00A51C59"/>
    <w:rsid w:val="00A52227"/>
    <w:rsid w:val="00A52665"/>
    <w:rsid w:val="00A53667"/>
    <w:rsid w:val="00A547E7"/>
    <w:rsid w:val="00A54FF8"/>
    <w:rsid w:val="00A55102"/>
    <w:rsid w:val="00A55863"/>
    <w:rsid w:val="00A5589E"/>
    <w:rsid w:val="00A56448"/>
    <w:rsid w:val="00A56820"/>
    <w:rsid w:val="00A573D1"/>
    <w:rsid w:val="00A579B7"/>
    <w:rsid w:val="00A60ABB"/>
    <w:rsid w:val="00A60DEB"/>
    <w:rsid w:val="00A61C7D"/>
    <w:rsid w:val="00A61F69"/>
    <w:rsid w:val="00A64C4E"/>
    <w:rsid w:val="00A65DB8"/>
    <w:rsid w:val="00A66494"/>
    <w:rsid w:val="00A67471"/>
    <w:rsid w:val="00A718DF"/>
    <w:rsid w:val="00A72919"/>
    <w:rsid w:val="00A7483E"/>
    <w:rsid w:val="00A758A8"/>
    <w:rsid w:val="00A76C27"/>
    <w:rsid w:val="00A77180"/>
    <w:rsid w:val="00A813DC"/>
    <w:rsid w:val="00A82707"/>
    <w:rsid w:val="00A82C25"/>
    <w:rsid w:val="00A837FD"/>
    <w:rsid w:val="00A84134"/>
    <w:rsid w:val="00A85307"/>
    <w:rsid w:val="00A8565E"/>
    <w:rsid w:val="00A861B8"/>
    <w:rsid w:val="00A87CF2"/>
    <w:rsid w:val="00A9272C"/>
    <w:rsid w:val="00A93FC7"/>
    <w:rsid w:val="00A94742"/>
    <w:rsid w:val="00A95646"/>
    <w:rsid w:val="00A95C92"/>
    <w:rsid w:val="00A96149"/>
    <w:rsid w:val="00A96CEA"/>
    <w:rsid w:val="00A9717A"/>
    <w:rsid w:val="00AA106D"/>
    <w:rsid w:val="00AA1266"/>
    <w:rsid w:val="00AA396E"/>
    <w:rsid w:val="00AA3ED2"/>
    <w:rsid w:val="00AA3F73"/>
    <w:rsid w:val="00AA4A84"/>
    <w:rsid w:val="00AA4D09"/>
    <w:rsid w:val="00AA58E7"/>
    <w:rsid w:val="00AA6454"/>
    <w:rsid w:val="00AA6683"/>
    <w:rsid w:val="00AB1C12"/>
    <w:rsid w:val="00AB1CC1"/>
    <w:rsid w:val="00AB258A"/>
    <w:rsid w:val="00AB3772"/>
    <w:rsid w:val="00AB3982"/>
    <w:rsid w:val="00AB3E92"/>
    <w:rsid w:val="00AC0630"/>
    <w:rsid w:val="00AC0DF0"/>
    <w:rsid w:val="00AC1222"/>
    <w:rsid w:val="00AC4B1B"/>
    <w:rsid w:val="00AC4E10"/>
    <w:rsid w:val="00AC7C89"/>
    <w:rsid w:val="00AD0599"/>
    <w:rsid w:val="00AD0DA9"/>
    <w:rsid w:val="00AD1593"/>
    <w:rsid w:val="00AD18D4"/>
    <w:rsid w:val="00AD3235"/>
    <w:rsid w:val="00AD41B1"/>
    <w:rsid w:val="00AD46A8"/>
    <w:rsid w:val="00AD4DEA"/>
    <w:rsid w:val="00AD50C9"/>
    <w:rsid w:val="00AD51A7"/>
    <w:rsid w:val="00AD7347"/>
    <w:rsid w:val="00AE06D1"/>
    <w:rsid w:val="00AE249D"/>
    <w:rsid w:val="00AE3A50"/>
    <w:rsid w:val="00AE3E7B"/>
    <w:rsid w:val="00AE3EE2"/>
    <w:rsid w:val="00AE5679"/>
    <w:rsid w:val="00AE720A"/>
    <w:rsid w:val="00AE7817"/>
    <w:rsid w:val="00AF00AA"/>
    <w:rsid w:val="00AF1DBB"/>
    <w:rsid w:val="00AF4097"/>
    <w:rsid w:val="00AF4581"/>
    <w:rsid w:val="00AF57F2"/>
    <w:rsid w:val="00AF5BE6"/>
    <w:rsid w:val="00AF79F8"/>
    <w:rsid w:val="00B00AF5"/>
    <w:rsid w:val="00B012DB"/>
    <w:rsid w:val="00B01375"/>
    <w:rsid w:val="00B0147D"/>
    <w:rsid w:val="00B027BD"/>
    <w:rsid w:val="00B0318C"/>
    <w:rsid w:val="00B036D6"/>
    <w:rsid w:val="00B06C89"/>
    <w:rsid w:val="00B07DB3"/>
    <w:rsid w:val="00B10695"/>
    <w:rsid w:val="00B10CA3"/>
    <w:rsid w:val="00B12369"/>
    <w:rsid w:val="00B12DF8"/>
    <w:rsid w:val="00B12EE8"/>
    <w:rsid w:val="00B137A8"/>
    <w:rsid w:val="00B150D1"/>
    <w:rsid w:val="00B16E19"/>
    <w:rsid w:val="00B1796F"/>
    <w:rsid w:val="00B20394"/>
    <w:rsid w:val="00B211CE"/>
    <w:rsid w:val="00B21586"/>
    <w:rsid w:val="00B2238E"/>
    <w:rsid w:val="00B22B31"/>
    <w:rsid w:val="00B22CF0"/>
    <w:rsid w:val="00B2366D"/>
    <w:rsid w:val="00B238C8"/>
    <w:rsid w:val="00B25036"/>
    <w:rsid w:val="00B25211"/>
    <w:rsid w:val="00B2534B"/>
    <w:rsid w:val="00B25939"/>
    <w:rsid w:val="00B2653B"/>
    <w:rsid w:val="00B279FC"/>
    <w:rsid w:val="00B27F16"/>
    <w:rsid w:val="00B27F2C"/>
    <w:rsid w:val="00B3066E"/>
    <w:rsid w:val="00B30785"/>
    <w:rsid w:val="00B30AD8"/>
    <w:rsid w:val="00B311C4"/>
    <w:rsid w:val="00B314AE"/>
    <w:rsid w:val="00B323F1"/>
    <w:rsid w:val="00B3382D"/>
    <w:rsid w:val="00B33E4B"/>
    <w:rsid w:val="00B348D4"/>
    <w:rsid w:val="00B3513E"/>
    <w:rsid w:val="00B370AD"/>
    <w:rsid w:val="00B404D8"/>
    <w:rsid w:val="00B40CB0"/>
    <w:rsid w:val="00B40D10"/>
    <w:rsid w:val="00B508C6"/>
    <w:rsid w:val="00B518CE"/>
    <w:rsid w:val="00B520A8"/>
    <w:rsid w:val="00B52E9B"/>
    <w:rsid w:val="00B53793"/>
    <w:rsid w:val="00B54551"/>
    <w:rsid w:val="00B54BE0"/>
    <w:rsid w:val="00B5541F"/>
    <w:rsid w:val="00B558B2"/>
    <w:rsid w:val="00B56126"/>
    <w:rsid w:val="00B568B4"/>
    <w:rsid w:val="00B56D5E"/>
    <w:rsid w:val="00B57168"/>
    <w:rsid w:val="00B57A64"/>
    <w:rsid w:val="00B57D05"/>
    <w:rsid w:val="00B60FF6"/>
    <w:rsid w:val="00B6153F"/>
    <w:rsid w:val="00B61A8D"/>
    <w:rsid w:val="00B63285"/>
    <w:rsid w:val="00B655CD"/>
    <w:rsid w:val="00B65CF6"/>
    <w:rsid w:val="00B65E0D"/>
    <w:rsid w:val="00B66D80"/>
    <w:rsid w:val="00B674B4"/>
    <w:rsid w:val="00B70756"/>
    <w:rsid w:val="00B73A84"/>
    <w:rsid w:val="00B73BD7"/>
    <w:rsid w:val="00B74026"/>
    <w:rsid w:val="00B743FB"/>
    <w:rsid w:val="00B7535E"/>
    <w:rsid w:val="00B75665"/>
    <w:rsid w:val="00B76956"/>
    <w:rsid w:val="00B77C42"/>
    <w:rsid w:val="00B805DD"/>
    <w:rsid w:val="00B808DB"/>
    <w:rsid w:val="00B816F0"/>
    <w:rsid w:val="00B81AF3"/>
    <w:rsid w:val="00B81CB7"/>
    <w:rsid w:val="00B83ACA"/>
    <w:rsid w:val="00B84DEB"/>
    <w:rsid w:val="00B86522"/>
    <w:rsid w:val="00B87109"/>
    <w:rsid w:val="00B90A29"/>
    <w:rsid w:val="00B91C4E"/>
    <w:rsid w:val="00B938E3"/>
    <w:rsid w:val="00B9406D"/>
    <w:rsid w:val="00B955E0"/>
    <w:rsid w:val="00B95CCD"/>
    <w:rsid w:val="00B9633A"/>
    <w:rsid w:val="00B96CD7"/>
    <w:rsid w:val="00B977ED"/>
    <w:rsid w:val="00BA01F6"/>
    <w:rsid w:val="00BA12DA"/>
    <w:rsid w:val="00BA3CA5"/>
    <w:rsid w:val="00BA4D6B"/>
    <w:rsid w:val="00BA4D79"/>
    <w:rsid w:val="00BA7429"/>
    <w:rsid w:val="00BB0974"/>
    <w:rsid w:val="00BB1381"/>
    <w:rsid w:val="00BB1E22"/>
    <w:rsid w:val="00BB21E8"/>
    <w:rsid w:val="00BB41F5"/>
    <w:rsid w:val="00BB6ABB"/>
    <w:rsid w:val="00BB77DB"/>
    <w:rsid w:val="00BC03FD"/>
    <w:rsid w:val="00BC0B90"/>
    <w:rsid w:val="00BC2660"/>
    <w:rsid w:val="00BC3B12"/>
    <w:rsid w:val="00BC46F5"/>
    <w:rsid w:val="00BC4AF1"/>
    <w:rsid w:val="00BC533A"/>
    <w:rsid w:val="00BC5492"/>
    <w:rsid w:val="00BC6539"/>
    <w:rsid w:val="00BC747E"/>
    <w:rsid w:val="00BC74EF"/>
    <w:rsid w:val="00BD20D7"/>
    <w:rsid w:val="00BD3352"/>
    <w:rsid w:val="00BD34FA"/>
    <w:rsid w:val="00BD3670"/>
    <w:rsid w:val="00BD567C"/>
    <w:rsid w:val="00BD5808"/>
    <w:rsid w:val="00BD7C81"/>
    <w:rsid w:val="00BE0C4B"/>
    <w:rsid w:val="00BE15BA"/>
    <w:rsid w:val="00BE4015"/>
    <w:rsid w:val="00BE4F4F"/>
    <w:rsid w:val="00BE5C19"/>
    <w:rsid w:val="00BE6FA5"/>
    <w:rsid w:val="00BE72C9"/>
    <w:rsid w:val="00BF2A38"/>
    <w:rsid w:val="00BF440C"/>
    <w:rsid w:val="00BF5AFA"/>
    <w:rsid w:val="00BF68E3"/>
    <w:rsid w:val="00BF6F77"/>
    <w:rsid w:val="00C00DD8"/>
    <w:rsid w:val="00C021EA"/>
    <w:rsid w:val="00C022FF"/>
    <w:rsid w:val="00C02BE9"/>
    <w:rsid w:val="00C02C75"/>
    <w:rsid w:val="00C03AC0"/>
    <w:rsid w:val="00C057C7"/>
    <w:rsid w:val="00C06579"/>
    <w:rsid w:val="00C078BE"/>
    <w:rsid w:val="00C113E0"/>
    <w:rsid w:val="00C11918"/>
    <w:rsid w:val="00C12453"/>
    <w:rsid w:val="00C12C43"/>
    <w:rsid w:val="00C12CC5"/>
    <w:rsid w:val="00C15CB3"/>
    <w:rsid w:val="00C16700"/>
    <w:rsid w:val="00C16AA9"/>
    <w:rsid w:val="00C16E11"/>
    <w:rsid w:val="00C16F59"/>
    <w:rsid w:val="00C231DF"/>
    <w:rsid w:val="00C242A3"/>
    <w:rsid w:val="00C249CE"/>
    <w:rsid w:val="00C26905"/>
    <w:rsid w:val="00C30309"/>
    <w:rsid w:val="00C303A0"/>
    <w:rsid w:val="00C3047B"/>
    <w:rsid w:val="00C30823"/>
    <w:rsid w:val="00C3158D"/>
    <w:rsid w:val="00C31A04"/>
    <w:rsid w:val="00C31E83"/>
    <w:rsid w:val="00C3307C"/>
    <w:rsid w:val="00C330A9"/>
    <w:rsid w:val="00C33D05"/>
    <w:rsid w:val="00C34AA7"/>
    <w:rsid w:val="00C34BF5"/>
    <w:rsid w:val="00C354F0"/>
    <w:rsid w:val="00C35EAA"/>
    <w:rsid w:val="00C378C9"/>
    <w:rsid w:val="00C41439"/>
    <w:rsid w:val="00C429D7"/>
    <w:rsid w:val="00C43463"/>
    <w:rsid w:val="00C4413A"/>
    <w:rsid w:val="00C44759"/>
    <w:rsid w:val="00C4749F"/>
    <w:rsid w:val="00C507DB"/>
    <w:rsid w:val="00C50E03"/>
    <w:rsid w:val="00C533D8"/>
    <w:rsid w:val="00C53C06"/>
    <w:rsid w:val="00C53E38"/>
    <w:rsid w:val="00C5400B"/>
    <w:rsid w:val="00C540FA"/>
    <w:rsid w:val="00C54679"/>
    <w:rsid w:val="00C546FD"/>
    <w:rsid w:val="00C55868"/>
    <w:rsid w:val="00C562EC"/>
    <w:rsid w:val="00C5686F"/>
    <w:rsid w:val="00C60694"/>
    <w:rsid w:val="00C6158D"/>
    <w:rsid w:val="00C61ED4"/>
    <w:rsid w:val="00C620A9"/>
    <w:rsid w:val="00C62C9E"/>
    <w:rsid w:val="00C638F7"/>
    <w:rsid w:val="00C63DA2"/>
    <w:rsid w:val="00C642A7"/>
    <w:rsid w:val="00C644CB"/>
    <w:rsid w:val="00C65987"/>
    <w:rsid w:val="00C65D01"/>
    <w:rsid w:val="00C66ABD"/>
    <w:rsid w:val="00C66EBB"/>
    <w:rsid w:val="00C66FBC"/>
    <w:rsid w:val="00C72761"/>
    <w:rsid w:val="00C72C34"/>
    <w:rsid w:val="00C74311"/>
    <w:rsid w:val="00C74A6B"/>
    <w:rsid w:val="00C75917"/>
    <w:rsid w:val="00C75D73"/>
    <w:rsid w:val="00C7677C"/>
    <w:rsid w:val="00C77891"/>
    <w:rsid w:val="00C807AD"/>
    <w:rsid w:val="00C80B36"/>
    <w:rsid w:val="00C819AA"/>
    <w:rsid w:val="00C837B7"/>
    <w:rsid w:val="00C84A3C"/>
    <w:rsid w:val="00C85AB2"/>
    <w:rsid w:val="00C85C0B"/>
    <w:rsid w:val="00C8719C"/>
    <w:rsid w:val="00C902DC"/>
    <w:rsid w:val="00C9039E"/>
    <w:rsid w:val="00C913EB"/>
    <w:rsid w:val="00C926D9"/>
    <w:rsid w:val="00C96B5B"/>
    <w:rsid w:val="00C96FA5"/>
    <w:rsid w:val="00CA15EE"/>
    <w:rsid w:val="00CA1A85"/>
    <w:rsid w:val="00CA2015"/>
    <w:rsid w:val="00CA386A"/>
    <w:rsid w:val="00CA3D6F"/>
    <w:rsid w:val="00CA546E"/>
    <w:rsid w:val="00CA5E05"/>
    <w:rsid w:val="00CB108E"/>
    <w:rsid w:val="00CB245F"/>
    <w:rsid w:val="00CB2460"/>
    <w:rsid w:val="00CB3445"/>
    <w:rsid w:val="00CB5031"/>
    <w:rsid w:val="00CB5CFF"/>
    <w:rsid w:val="00CB6392"/>
    <w:rsid w:val="00CB6580"/>
    <w:rsid w:val="00CB6602"/>
    <w:rsid w:val="00CB75AF"/>
    <w:rsid w:val="00CB7C4B"/>
    <w:rsid w:val="00CB7E62"/>
    <w:rsid w:val="00CC0501"/>
    <w:rsid w:val="00CC1203"/>
    <w:rsid w:val="00CC1BE0"/>
    <w:rsid w:val="00CC2E2E"/>
    <w:rsid w:val="00CC434B"/>
    <w:rsid w:val="00CC4896"/>
    <w:rsid w:val="00CC4F25"/>
    <w:rsid w:val="00CC4F5C"/>
    <w:rsid w:val="00CC50D8"/>
    <w:rsid w:val="00CC73B4"/>
    <w:rsid w:val="00CD0DBE"/>
    <w:rsid w:val="00CD1213"/>
    <w:rsid w:val="00CD1F4A"/>
    <w:rsid w:val="00CD2C30"/>
    <w:rsid w:val="00CD2FEE"/>
    <w:rsid w:val="00CD3106"/>
    <w:rsid w:val="00CD6727"/>
    <w:rsid w:val="00CD6C84"/>
    <w:rsid w:val="00CD7732"/>
    <w:rsid w:val="00CD7B41"/>
    <w:rsid w:val="00CE2BE4"/>
    <w:rsid w:val="00CE2E42"/>
    <w:rsid w:val="00CE6324"/>
    <w:rsid w:val="00CF40B7"/>
    <w:rsid w:val="00CF65D1"/>
    <w:rsid w:val="00CF6D27"/>
    <w:rsid w:val="00CF75A8"/>
    <w:rsid w:val="00CF7C05"/>
    <w:rsid w:val="00D02CD9"/>
    <w:rsid w:val="00D03DC0"/>
    <w:rsid w:val="00D03E94"/>
    <w:rsid w:val="00D05C5F"/>
    <w:rsid w:val="00D067BA"/>
    <w:rsid w:val="00D06E0F"/>
    <w:rsid w:val="00D07135"/>
    <w:rsid w:val="00D0722D"/>
    <w:rsid w:val="00D0754B"/>
    <w:rsid w:val="00D10582"/>
    <w:rsid w:val="00D11308"/>
    <w:rsid w:val="00D12097"/>
    <w:rsid w:val="00D14F39"/>
    <w:rsid w:val="00D152A4"/>
    <w:rsid w:val="00D17DDA"/>
    <w:rsid w:val="00D20B59"/>
    <w:rsid w:val="00D22029"/>
    <w:rsid w:val="00D222D3"/>
    <w:rsid w:val="00D2235D"/>
    <w:rsid w:val="00D2272B"/>
    <w:rsid w:val="00D22E61"/>
    <w:rsid w:val="00D23729"/>
    <w:rsid w:val="00D25161"/>
    <w:rsid w:val="00D2601A"/>
    <w:rsid w:val="00D26D93"/>
    <w:rsid w:val="00D3220C"/>
    <w:rsid w:val="00D32988"/>
    <w:rsid w:val="00D32A09"/>
    <w:rsid w:val="00D353C8"/>
    <w:rsid w:val="00D35F87"/>
    <w:rsid w:val="00D366ED"/>
    <w:rsid w:val="00D375A2"/>
    <w:rsid w:val="00D37A54"/>
    <w:rsid w:val="00D41143"/>
    <w:rsid w:val="00D41BAF"/>
    <w:rsid w:val="00D41EB1"/>
    <w:rsid w:val="00D433F2"/>
    <w:rsid w:val="00D50260"/>
    <w:rsid w:val="00D50B31"/>
    <w:rsid w:val="00D510B8"/>
    <w:rsid w:val="00D5251D"/>
    <w:rsid w:val="00D529EB"/>
    <w:rsid w:val="00D544E5"/>
    <w:rsid w:val="00D54EBB"/>
    <w:rsid w:val="00D55F42"/>
    <w:rsid w:val="00D607B1"/>
    <w:rsid w:val="00D62106"/>
    <w:rsid w:val="00D62620"/>
    <w:rsid w:val="00D6547D"/>
    <w:rsid w:val="00D65A64"/>
    <w:rsid w:val="00D65A79"/>
    <w:rsid w:val="00D67ADA"/>
    <w:rsid w:val="00D73BBB"/>
    <w:rsid w:val="00D7400C"/>
    <w:rsid w:val="00D740D7"/>
    <w:rsid w:val="00D743A6"/>
    <w:rsid w:val="00D760DB"/>
    <w:rsid w:val="00D76609"/>
    <w:rsid w:val="00D773EE"/>
    <w:rsid w:val="00D81357"/>
    <w:rsid w:val="00D81518"/>
    <w:rsid w:val="00D81911"/>
    <w:rsid w:val="00D81D3B"/>
    <w:rsid w:val="00D85B36"/>
    <w:rsid w:val="00D863E2"/>
    <w:rsid w:val="00D87976"/>
    <w:rsid w:val="00D879EC"/>
    <w:rsid w:val="00D900DA"/>
    <w:rsid w:val="00D90808"/>
    <w:rsid w:val="00D90968"/>
    <w:rsid w:val="00D90CBC"/>
    <w:rsid w:val="00D91823"/>
    <w:rsid w:val="00D9231C"/>
    <w:rsid w:val="00D9239E"/>
    <w:rsid w:val="00D92861"/>
    <w:rsid w:val="00D93F62"/>
    <w:rsid w:val="00D94721"/>
    <w:rsid w:val="00D947B7"/>
    <w:rsid w:val="00D94A56"/>
    <w:rsid w:val="00D97314"/>
    <w:rsid w:val="00D97805"/>
    <w:rsid w:val="00DA3422"/>
    <w:rsid w:val="00DA45F4"/>
    <w:rsid w:val="00DA597E"/>
    <w:rsid w:val="00DA7E61"/>
    <w:rsid w:val="00DB1785"/>
    <w:rsid w:val="00DB25E1"/>
    <w:rsid w:val="00DB3208"/>
    <w:rsid w:val="00DB3743"/>
    <w:rsid w:val="00DB3A6D"/>
    <w:rsid w:val="00DB3E5B"/>
    <w:rsid w:val="00DB4DE7"/>
    <w:rsid w:val="00DB4ECD"/>
    <w:rsid w:val="00DB5F0E"/>
    <w:rsid w:val="00DB7E23"/>
    <w:rsid w:val="00DB7F2F"/>
    <w:rsid w:val="00DC0C56"/>
    <w:rsid w:val="00DC36D8"/>
    <w:rsid w:val="00DC41C9"/>
    <w:rsid w:val="00DC56C3"/>
    <w:rsid w:val="00DC62BB"/>
    <w:rsid w:val="00DC6607"/>
    <w:rsid w:val="00DC7390"/>
    <w:rsid w:val="00DC7AF6"/>
    <w:rsid w:val="00DD0D5B"/>
    <w:rsid w:val="00DD0E48"/>
    <w:rsid w:val="00DD177B"/>
    <w:rsid w:val="00DD25C7"/>
    <w:rsid w:val="00DD2A38"/>
    <w:rsid w:val="00DD3ACA"/>
    <w:rsid w:val="00DD4CF8"/>
    <w:rsid w:val="00DD5FBB"/>
    <w:rsid w:val="00DE02F3"/>
    <w:rsid w:val="00DE235E"/>
    <w:rsid w:val="00DE2C5E"/>
    <w:rsid w:val="00DE2FFF"/>
    <w:rsid w:val="00DE6D24"/>
    <w:rsid w:val="00DF212F"/>
    <w:rsid w:val="00DF640E"/>
    <w:rsid w:val="00DF7BA2"/>
    <w:rsid w:val="00E00251"/>
    <w:rsid w:val="00E0033A"/>
    <w:rsid w:val="00E01C16"/>
    <w:rsid w:val="00E024BE"/>
    <w:rsid w:val="00E03447"/>
    <w:rsid w:val="00E043B1"/>
    <w:rsid w:val="00E04BF3"/>
    <w:rsid w:val="00E06915"/>
    <w:rsid w:val="00E07FFD"/>
    <w:rsid w:val="00E1084C"/>
    <w:rsid w:val="00E127E8"/>
    <w:rsid w:val="00E13670"/>
    <w:rsid w:val="00E173AF"/>
    <w:rsid w:val="00E1784E"/>
    <w:rsid w:val="00E2078B"/>
    <w:rsid w:val="00E20FB0"/>
    <w:rsid w:val="00E263EF"/>
    <w:rsid w:val="00E2742A"/>
    <w:rsid w:val="00E3031C"/>
    <w:rsid w:val="00E305B0"/>
    <w:rsid w:val="00E3220E"/>
    <w:rsid w:val="00E3467E"/>
    <w:rsid w:val="00E34DBC"/>
    <w:rsid w:val="00E35639"/>
    <w:rsid w:val="00E356D9"/>
    <w:rsid w:val="00E37428"/>
    <w:rsid w:val="00E4074F"/>
    <w:rsid w:val="00E409A7"/>
    <w:rsid w:val="00E412BD"/>
    <w:rsid w:val="00E4184B"/>
    <w:rsid w:val="00E42A20"/>
    <w:rsid w:val="00E43AA8"/>
    <w:rsid w:val="00E43C14"/>
    <w:rsid w:val="00E448A3"/>
    <w:rsid w:val="00E45FAF"/>
    <w:rsid w:val="00E51100"/>
    <w:rsid w:val="00E5219E"/>
    <w:rsid w:val="00E530D3"/>
    <w:rsid w:val="00E53EBD"/>
    <w:rsid w:val="00E54098"/>
    <w:rsid w:val="00E5410C"/>
    <w:rsid w:val="00E54C00"/>
    <w:rsid w:val="00E566FE"/>
    <w:rsid w:val="00E56C77"/>
    <w:rsid w:val="00E57260"/>
    <w:rsid w:val="00E57A79"/>
    <w:rsid w:val="00E6036D"/>
    <w:rsid w:val="00E6165D"/>
    <w:rsid w:val="00E6208C"/>
    <w:rsid w:val="00E62CFA"/>
    <w:rsid w:val="00E62E14"/>
    <w:rsid w:val="00E63A3E"/>
    <w:rsid w:val="00E63AD8"/>
    <w:rsid w:val="00E65446"/>
    <w:rsid w:val="00E655E0"/>
    <w:rsid w:val="00E67C6B"/>
    <w:rsid w:val="00E72C32"/>
    <w:rsid w:val="00E73E42"/>
    <w:rsid w:val="00E74C4E"/>
    <w:rsid w:val="00E76954"/>
    <w:rsid w:val="00E76B68"/>
    <w:rsid w:val="00E76E3E"/>
    <w:rsid w:val="00E772D2"/>
    <w:rsid w:val="00E803A5"/>
    <w:rsid w:val="00E80FE8"/>
    <w:rsid w:val="00E8131D"/>
    <w:rsid w:val="00E8178A"/>
    <w:rsid w:val="00E84833"/>
    <w:rsid w:val="00E84C73"/>
    <w:rsid w:val="00E84F4F"/>
    <w:rsid w:val="00E85848"/>
    <w:rsid w:val="00E85C64"/>
    <w:rsid w:val="00E86811"/>
    <w:rsid w:val="00E87EDF"/>
    <w:rsid w:val="00E9134A"/>
    <w:rsid w:val="00E92A95"/>
    <w:rsid w:val="00E941EC"/>
    <w:rsid w:val="00E9491E"/>
    <w:rsid w:val="00E94FB7"/>
    <w:rsid w:val="00E95AE2"/>
    <w:rsid w:val="00E96149"/>
    <w:rsid w:val="00E966CE"/>
    <w:rsid w:val="00E96C1C"/>
    <w:rsid w:val="00EA092B"/>
    <w:rsid w:val="00EA0BB3"/>
    <w:rsid w:val="00EA205C"/>
    <w:rsid w:val="00EA306C"/>
    <w:rsid w:val="00EA34A1"/>
    <w:rsid w:val="00EA72C3"/>
    <w:rsid w:val="00EA7AC5"/>
    <w:rsid w:val="00EB04BF"/>
    <w:rsid w:val="00EB100B"/>
    <w:rsid w:val="00EB11E0"/>
    <w:rsid w:val="00EB1788"/>
    <w:rsid w:val="00EB3AB5"/>
    <w:rsid w:val="00EB411C"/>
    <w:rsid w:val="00EB6C2A"/>
    <w:rsid w:val="00EB78A3"/>
    <w:rsid w:val="00EB7D13"/>
    <w:rsid w:val="00EB7E71"/>
    <w:rsid w:val="00EC0CE4"/>
    <w:rsid w:val="00EC12EF"/>
    <w:rsid w:val="00EC2CBE"/>
    <w:rsid w:val="00EC3034"/>
    <w:rsid w:val="00EC3344"/>
    <w:rsid w:val="00EC33DB"/>
    <w:rsid w:val="00EC4D43"/>
    <w:rsid w:val="00EC4F35"/>
    <w:rsid w:val="00EC5589"/>
    <w:rsid w:val="00EC5B06"/>
    <w:rsid w:val="00EC5B17"/>
    <w:rsid w:val="00EC7182"/>
    <w:rsid w:val="00EC736B"/>
    <w:rsid w:val="00ED06FD"/>
    <w:rsid w:val="00ED17F6"/>
    <w:rsid w:val="00ED1DDC"/>
    <w:rsid w:val="00ED25DB"/>
    <w:rsid w:val="00ED3687"/>
    <w:rsid w:val="00ED461A"/>
    <w:rsid w:val="00ED564E"/>
    <w:rsid w:val="00ED5FEB"/>
    <w:rsid w:val="00ED687B"/>
    <w:rsid w:val="00ED6AEA"/>
    <w:rsid w:val="00ED703B"/>
    <w:rsid w:val="00EE00B3"/>
    <w:rsid w:val="00EE01C0"/>
    <w:rsid w:val="00EE0489"/>
    <w:rsid w:val="00EE0BA3"/>
    <w:rsid w:val="00EE3C69"/>
    <w:rsid w:val="00EE4658"/>
    <w:rsid w:val="00EE50B4"/>
    <w:rsid w:val="00EE64D1"/>
    <w:rsid w:val="00EE6A8B"/>
    <w:rsid w:val="00EE7181"/>
    <w:rsid w:val="00EE7918"/>
    <w:rsid w:val="00EF12F4"/>
    <w:rsid w:val="00EF160C"/>
    <w:rsid w:val="00EF24D7"/>
    <w:rsid w:val="00EF336B"/>
    <w:rsid w:val="00EF5847"/>
    <w:rsid w:val="00EF6032"/>
    <w:rsid w:val="00EF62DF"/>
    <w:rsid w:val="00EF6E97"/>
    <w:rsid w:val="00EF6FF2"/>
    <w:rsid w:val="00F00A78"/>
    <w:rsid w:val="00F00D39"/>
    <w:rsid w:val="00F01FFE"/>
    <w:rsid w:val="00F04199"/>
    <w:rsid w:val="00F07151"/>
    <w:rsid w:val="00F10AEC"/>
    <w:rsid w:val="00F10F26"/>
    <w:rsid w:val="00F121BA"/>
    <w:rsid w:val="00F13924"/>
    <w:rsid w:val="00F15765"/>
    <w:rsid w:val="00F16574"/>
    <w:rsid w:val="00F16AC8"/>
    <w:rsid w:val="00F16CB4"/>
    <w:rsid w:val="00F16E04"/>
    <w:rsid w:val="00F17279"/>
    <w:rsid w:val="00F229C6"/>
    <w:rsid w:val="00F22F46"/>
    <w:rsid w:val="00F25A84"/>
    <w:rsid w:val="00F267CD"/>
    <w:rsid w:val="00F2718A"/>
    <w:rsid w:val="00F31D13"/>
    <w:rsid w:val="00F32EC3"/>
    <w:rsid w:val="00F33E59"/>
    <w:rsid w:val="00F34619"/>
    <w:rsid w:val="00F34841"/>
    <w:rsid w:val="00F34F80"/>
    <w:rsid w:val="00F350DD"/>
    <w:rsid w:val="00F36D4C"/>
    <w:rsid w:val="00F435AE"/>
    <w:rsid w:val="00F4596B"/>
    <w:rsid w:val="00F45E1A"/>
    <w:rsid w:val="00F4661E"/>
    <w:rsid w:val="00F50D31"/>
    <w:rsid w:val="00F51A14"/>
    <w:rsid w:val="00F52F45"/>
    <w:rsid w:val="00F5416F"/>
    <w:rsid w:val="00F571C4"/>
    <w:rsid w:val="00F57EE4"/>
    <w:rsid w:val="00F60D7F"/>
    <w:rsid w:val="00F60FEB"/>
    <w:rsid w:val="00F61A34"/>
    <w:rsid w:val="00F65036"/>
    <w:rsid w:val="00F6535F"/>
    <w:rsid w:val="00F65F58"/>
    <w:rsid w:val="00F6656F"/>
    <w:rsid w:val="00F66C95"/>
    <w:rsid w:val="00F67DAE"/>
    <w:rsid w:val="00F71A1E"/>
    <w:rsid w:val="00F72623"/>
    <w:rsid w:val="00F74043"/>
    <w:rsid w:val="00F749B2"/>
    <w:rsid w:val="00F75E85"/>
    <w:rsid w:val="00F76D50"/>
    <w:rsid w:val="00F800CE"/>
    <w:rsid w:val="00F81429"/>
    <w:rsid w:val="00F81972"/>
    <w:rsid w:val="00F83017"/>
    <w:rsid w:val="00F83D5D"/>
    <w:rsid w:val="00F8444B"/>
    <w:rsid w:val="00F85B04"/>
    <w:rsid w:val="00F85DE1"/>
    <w:rsid w:val="00F909B9"/>
    <w:rsid w:val="00F90A02"/>
    <w:rsid w:val="00F91A03"/>
    <w:rsid w:val="00F94631"/>
    <w:rsid w:val="00F94DF0"/>
    <w:rsid w:val="00F9587E"/>
    <w:rsid w:val="00F9683F"/>
    <w:rsid w:val="00F96EA0"/>
    <w:rsid w:val="00FA066D"/>
    <w:rsid w:val="00FA0A8A"/>
    <w:rsid w:val="00FA1835"/>
    <w:rsid w:val="00FA1FBA"/>
    <w:rsid w:val="00FA3BC6"/>
    <w:rsid w:val="00FA66F1"/>
    <w:rsid w:val="00FA6B33"/>
    <w:rsid w:val="00FB053B"/>
    <w:rsid w:val="00FB233D"/>
    <w:rsid w:val="00FB24B5"/>
    <w:rsid w:val="00FB2C04"/>
    <w:rsid w:val="00FB4C57"/>
    <w:rsid w:val="00FB53A8"/>
    <w:rsid w:val="00FB7A65"/>
    <w:rsid w:val="00FC0C89"/>
    <w:rsid w:val="00FC0F30"/>
    <w:rsid w:val="00FC2FA9"/>
    <w:rsid w:val="00FC3305"/>
    <w:rsid w:val="00FC386C"/>
    <w:rsid w:val="00FC3BC0"/>
    <w:rsid w:val="00FC51A2"/>
    <w:rsid w:val="00FC5D5B"/>
    <w:rsid w:val="00FC65C6"/>
    <w:rsid w:val="00FD04F3"/>
    <w:rsid w:val="00FD2278"/>
    <w:rsid w:val="00FD2719"/>
    <w:rsid w:val="00FD2F8A"/>
    <w:rsid w:val="00FD332A"/>
    <w:rsid w:val="00FD4832"/>
    <w:rsid w:val="00FD6384"/>
    <w:rsid w:val="00FD77A4"/>
    <w:rsid w:val="00FD7AF7"/>
    <w:rsid w:val="00FD7ED2"/>
    <w:rsid w:val="00FE02CF"/>
    <w:rsid w:val="00FE0798"/>
    <w:rsid w:val="00FE28A6"/>
    <w:rsid w:val="00FE325B"/>
    <w:rsid w:val="00FE33B7"/>
    <w:rsid w:val="00FE38EC"/>
    <w:rsid w:val="00FE3BC8"/>
    <w:rsid w:val="00FE3F59"/>
    <w:rsid w:val="00FE526B"/>
    <w:rsid w:val="00FE5A95"/>
    <w:rsid w:val="00FE5C6D"/>
    <w:rsid w:val="00FE657F"/>
    <w:rsid w:val="00FE71F7"/>
    <w:rsid w:val="00FF0042"/>
    <w:rsid w:val="00FF03A7"/>
    <w:rsid w:val="00FF0A35"/>
    <w:rsid w:val="00FF0EDF"/>
    <w:rsid w:val="00FF16F0"/>
    <w:rsid w:val="00FF1FEC"/>
    <w:rsid w:val="00FF28ED"/>
    <w:rsid w:val="00FF2CD5"/>
    <w:rsid w:val="00FF3784"/>
    <w:rsid w:val="00FF7546"/>
    <w:rsid w:val="00FF7636"/>
    <w:rsid w:val="00FF795F"/>
    <w:rsid w:val="00FF7E9B"/>
    <w:rsid w:val="01214591"/>
    <w:rsid w:val="01935CFD"/>
    <w:rsid w:val="03051157"/>
    <w:rsid w:val="04DB231A"/>
    <w:rsid w:val="055B4B6A"/>
    <w:rsid w:val="06085010"/>
    <w:rsid w:val="068E3768"/>
    <w:rsid w:val="069E02B3"/>
    <w:rsid w:val="076713CA"/>
    <w:rsid w:val="07FF6020"/>
    <w:rsid w:val="0AB600D2"/>
    <w:rsid w:val="0B16440D"/>
    <w:rsid w:val="0B303549"/>
    <w:rsid w:val="0B784038"/>
    <w:rsid w:val="0CB4438C"/>
    <w:rsid w:val="0DEC3729"/>
    <w:rsid w:val="0E602F4B"/>
    <w:rsid w:val="0EAB07FB"/>
    <w:rsid w:val="0FA54AEC"/>
    <w:rsid w:val="0FB25362"/>
    <w:rsid w:val="113303D8"/>
    <w:rsid w:val="113B7554"/>
    <w:rsid w:val="11874A04"/>
    <w:rsid w:val="125741B5"/>
    <w:rsid w:val="12AE4BB1"/>
    <w:rsid w:val="13DE53D9"/>
    <w:rsid w:val="14933B5E"/>
    <w:rsid w:val="14D0547D"/>
    <w:rsid w:val="15A2786D"/>
    <w:rsid w:val="16541FF4"/>
    <w:rsid w:val="167D6DB2"/>
    <w:rsid w:val="17580656"/>
    <w:rsid w:val="17EF69F2"/>
    <w:rsid w:val="17F1036B"/>
    <w:rsid w:val="185D1603"/>
    <w:rsid w:val="18694035"/>
    <w:rsid w:val="1BDE7EA2"/>
    <w:rsid w:val="1CB14D80"/>
    <w:rsid w:val="1CC71F7D"/>
    <w:rsid w:val="1CF36BB0"/>
    <w:rsid w:val="1EEA1817"/>
    <w:rsid w:val="1F68522F"/>
    <w:rsid w:val="20606ECA"/>
    <w:rsid w:val="209F2E9C"/>
    <w:rsid w:val="20BB7394"/>
    <w:rsid w:val="20BC29F8"/>
    <w:rsid w:val="2249324E"/>
    <w:rsid w:val="22DF017B"/>
    <w:rsid w:val="231F76BE"/>
    <w:rsid w:val="24964C37"/>
    <w:rsid w:val="24DE25AF"/>
    <w:rsid w:val="25007BAF"/>
    <w:rsid w:val="2619691B"/>
    <w:rsid w:val="269D7CB8"/>
    <w:rsid w:val="27E110D7"/>
    <w:rsid w:val="27E64430"/>
    <w:rsid w:val="2A774DEE"/>
    <w:rsid w:val="2B8C3D94"/>
    <w:rsid w:val="2D8020D3"/>
    <w:rsid w:val="2E277C3B"/>
    <w:rsid w:val="2E5574AA"/>
    <w:rsid w:val="2FAB7765"/>
    <w:rsid w:val="30EF3C72"/>
    <w:rsid w:val="314708B7"/>
    <w:rsid w:val="31685173"/>
    <w:rsid w:val="31DA1252"/>
    <w:rsid w:val="31E97AC0"/>
    <w:rsid w:val="320C7229"/>
    <w:rsid w:val="321369EC"/>
    <w:rsid w:val="32376D84"/>
    <w:rsid w:val="33B67DD7"/>
    <w:rsid w:val="33DB518D"/>
    <w:rsid w:val="35114FDA"/>
    <w:rsid w:val="351E437A"/>
    <w:rsid w:val="35FA15FC"/>
    <w:rsid w:val="3643121D"/>
    <w:rsid w:val="36551F8C"/>
    <w:rsid w:val="37084EB5"/>
    <w:rsid w:val="37F051AE"/>
    <w:rsid w:val="3982376F"/>
    <w:rsid w:val="3A316702"/>
    <w:rsid w:val="3B5B5699"/>
    <w:rsid w:val="3B945B83"/>
    <w:rsid w:val="40227D20"/>
    <w:rsid w:val="402A137D"/>
    <w:rsid w:val="4092697D"/>
    <w:rsid w:val="40E67F6C"/>
    <w:rsid w:val="40FF186B"/>
    <w:rsid w:val="4137113D"/>
    <w:rsid w:val="428B68B4"/>
    <w:rsid w:val="42EE5178"/>
    <w:rsid w:val="431601EE"/>
    <w:rsid w:val="43320C74"/>
    <w:rsid w:val="43A96F3B"/>
    <w:rsid w:val="44135F9A"/>
    <w:rsid w:val="44284C90"/>
    <w:rsid w:val="44347BDC"/>
    <w:rsid w:val="444D6F9A"/>
    <w:rsid w:val="447D1385"/>
    <w:rsid w:val="468B7540"/>
    <w:rsid w:val="46C1350A"/>
    <w:rsid w:val="46EC2226"/>
    <w:rsid w:val="4742042A"/>
    <w:rsid w:val="47D51F8C"/>
    <w:rsid w:val="47E15D48"/>
    <w:rsid w:val="47F14398"/>
    <w:rsid w:val="48717AEC"/>
    <w:rsid w:val="48DC1235"/>
    <w:rsid w:val="49921F2B"/>
    <w:rsid w:val="4B193F4B"/>
    <w:rsid w:val="4B3C501C"/>
    <w:rsid w:val="4B851849"/>
    <w:rsid w:val="4C195217"/>
    <w:rsid w:val="4C325FFD"/>
    <w:rsid w:val="4DDA7DDB"/>
    <w:rsid w:val="4E8B7DBD"/>
    <w:rsid w:val="4F024DF3"/>
    <w:rsid w:val="50090E0A"/>
    <w:rsid w:val="506D65FB"/>
    <w:rsid w:val="510B4AC2"/>
    <w:rsid w:val="511E0E2E"/>
    <w:rsid w:val="52021A04"/>
    <w:rsid w:val="521142C4"/>
    <w:rsid w:val="53782C43"/>
    <w:rsid w:val="53C50843"/>
    <w:rsid w:val="55970CA0"/>
    <w:rsid w:val="566F6891"/>
    <w:rsid w:val="568166FD"/>
    <w:rsid w:val="56CA3857"/>
    <w:rsid w:val="56CE4A90"/>
    <w:rsid w:val="571B7343"/>
    <w:rsid w:val="57C46954"/>
    <w:rsid w:val="586B7DF8"/>
    <w:rsid w:val="589A3D7C"/>
    <w:rsid w:val="58C31D6F"/>
    <w:rsid w:val="591D29E9"/>
    <w:rsid w:val="596A5125"/>
    <w:rsid w:val="5A3B41BB"/>
    <w:rsid w:val="5AE11579"/>
    <w:rsid w:val="5AFB79F6"/>
    <w:rsid w:val="5B513DBC"/>
    <w:rsid w:val="5C601257"/>
    <w:rsid w:val="5D8F3208"/>
    <w:rsid w:val="5D9F28BA"/>
    <w:rsid w:val="5E9640DD"/>
    <w:rsid w:val="5EA73F17"/>
    <w:rsid w:val="5ECB04FA"/>
    <w:rsid w:val="5FB3671B"/>
    <w:rsid w:val="6082596A"/>
    <w:rsid w:val="60A863AF"/>
    <w:rsid w:val="60F91F92"/>
    <w:rsid w:val="61F57A14"/>
    <w:rsid w:val="62D45732"/>
    <w:rsid w:val="6339076A"/>
    <w:rsid w:val="63481667"/>
    <w:rsid w:val="63BF7BA4"/>
    <w:rsid w:val="645402CF"/>
    <w:rsid w:val="65683036"/>
    <w:rsid w:val="66566A29"/>
    <w:rsid w:val="67466C60"/>
    <w:rsid w:val="674817F8"/>
    <w:rsid w:val="67873D77"/>
    <w:rsid w:val="69633DC6"/>
    <w:rsid w:val="697F53E2"/>
    <w:rsid w:val="69934ABC"/>
    <w:rsid w:val="6AB007EF"/>
    <w:rsid w:val="6B0146FA"/>
    <w:rsid w:val="6BD7730B"/>
    <w:rsid w:val="6C3E12BF"/>
    <w:rsid w:val="6C983D04"/>
    <w:rsid w:val="6CAC6DF2"/>
    <w:rsid w:val="6D8732EB"/>
    <w:rsid w:val="6DD679B8"/>
    <w:rsid w:val="6E1036D2"/>
    <w:rsid w:val="6FDC1453"/>
    <w:rsid w:val="70746DE8"/>
    <w:rsid w:val="70832E12"/>
    <w:rsid w:val="711735B8"/>
    <w:rsid w:val="71667553"/>
    <w:rsid w:val="71A83E70"/>
    <w:rsid w:val="71AD213D"/>
    <w:rsid w:val="71CC6B8F"/>
    <w:rsid w:val="71F107A7"/>
    <w:rsid w:val="72FE5A30"/>
    <w:rsid w:val="7349158D"/>
    <w:rsid w:val="7351062E"/>
    <w:rsid w:val="74AE7855"/>
    <w:rsid w:val="761F10FD"/>
    <w:rsid w:val="771375C2"/>
    <w:rsid w:val="78B376B6"/>
    <w:rsid w:val="78B554C9"/>
    <w:rsid w:val="78B73A46"/>
    <w:rsid w:val="7A434D89"/>
    <w:rsid w:val="7AD57E63"/>
    <w:rsid w:val="7D2D6A12"/>
    <w:rsid w:val="7D3A7882"/>
    <w:rsid w:val="7D51662D"/>
    <w:rsid w:val="7D860190"/>
    <w:rsid w:val="7EE05EC8"/>
    <w:rsid w:val="7FB9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等线" w:hAnsi="等线" w:eastAsia="仿宋" w:cs="Times New Roman"/>
      <w:kern w:val="2"/>
      <w:sz w:val="28"/>
      <w:szCs w:val="22"/>
      <w:lang w:val="en-US" w:eastAsia="zh-CN" w:bidi="ar-SA"/>
    </w:rPr>
  </w:style>
  <w:style w:type="paragraph" w:styleId="2">
    <w:name w:val="heading 1"/>
    <w:basedOn w:val="1"/>
    <w:next w:val="1"/>
    <w:link w:val="37"/>
    <w:qFormat/>
    <w:uiPriority w:val="9"/>
    <w:pPr>
      <w:keepNext/>
      <w:keepLines/>
      <w:ind w:firstLine="0" w:firstLineChars="0"/>
      <w:jc w:val="center"/>
      <w:outlineLvl w:val="0"/>
    </w:pPr>
    <w:rPr>
      <w:rFonts w:eastAsia="黑体"/>
      <w:b/>
      <w:bCs/>
      <w:kern w:val="44"/>
      <w:sz w:val="32"/>
      <w:szCs w:val="44"/>
    </w:rPr>
  </w:style>
  <w:style w:type="paragraph" w:styleId="3">
    <w:name w:val="heading 2"/>
    <w:basedOn w:val="1"/>
    <w:next w:val="1"/>
    <w:link w:val="38"/>
    <w:unhideWhenUsed/>
    <w:qFormat/>
    <w:uiPriority w:val="9"/>
    <w:pPr>
      <w:keepNext/>
      <w:keepLines/>
      <w:spacing w:before="120" w:after="120" w:line="240" w:lineRule="auto"/>
      <w:ind w:firstLine="0" w:firstLineChars="0"/>
      <w:outlineLvl w:val="1"/>
    </w:pPr>
    <w:rPr>
      <w:rFonts w:eastAsia="楷体" w:asciiTheme="majorHAnsi" w:hAnsiTheme="majorHAnsi" w:cstheme="majorBidi"/>
      <w:b/>
      <w:bCs/>
      <w:szCs w:val="32"/>
    </w:rPr>
  </w:style>
  <w:style w:type="paragraph" w:styleId="4">
    <w:name w:val="heading 3"/>
    <w:basedOn w:val="1"/>
    <w:next w:val="1"/>
    <w:link w:val="44"/>
    <w:unhideWhenUsed/>
    <w:qFormat/>
    <w:uiPriority w:val="9"/>
    <w:pPr>
      <w:keepNext/>
      <w:keepLines/>
      <w:spacing w:before="260" w:after="260" w:line="416" w:lineRule="atLeast"/>
      <w:outlineLvl w:val="2"/>
    </w:pPr>
    <w:rPr>
      <w:rFonts w:ascii="仿宋" w:hAnsi="仿宋" w:cs="仿宋"/>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680"/>
      <w:jc w:val="left"/>
    </w:pPr>
    <w:rPr>
      <w:rFonts w:asciiTheme="minorHAnsi" w:eastAsiaTheme="minorHAnsi"/>
      <w:sz w:val="18"/>
      <w:szCs w:val="18"/>
    </w:rPr>
  </w:style>
  <w:style w:type="paragraph" w:styleId="6">
    <w:name w:val="caption"/>
    <w:basedOn w:val="1"/>
    <w:next w:val="1"/>
    <w:link w:val="46"/>
    <w:semiHidden/>
    <w:unhideWhenUsed/>
    <w:qFormat/>
    <w:uiPriority w:val="35"/>
    <w:rPr>
      <w:rFonts w:eastAsia="黑体" w:asciiTheme="majorHAnsi" w:hAnsiTheme="majorHAnsi" w:cstheme="majorBidi"/>
      <w:sz w:val="20"/>
      <w:szCs w:val="20"/>
    </w:rPr>
  </w:style>
  <w:style w:type="paragraph" w:styleId="7">
    <w:name w:val="annotation text"/>
    <w:basedOn w:val="1"/>
    <w:link w:val="40"/>
    <w:semiHidden/>
    <w:unhideWhenUsed/>
    <w:qFormat/>
    <w:uiPriority w:val="99"/>
    <w:pPr>
      <w:jc w:val="left"/>
    </w:pPr>
    <w:rPr>
      <w:szCs w:val="28"/>
    </w:rPr>
  </w:style>
  <w:style w:type="paragraph" w:styleId="8">
    <w:name w:val="toc 5"/>
    <w:basedOn w:val="1"/>
    <w:next w:val="1"/>
    <w:unhideWhenUsed/>
    <w:qFormat/>
    <w:uiPriority w:val="39"/>
    <w:pPr>
      <w:ind w:left="1120"/>
      <w:jc w:val="left"/>
    </w:pPr>
    <w:rPr>
      <w:rFonts w:asciiTheme="minorHAnsi" w:eastAsiaTheme="minorHAnsi"/>
      <w:sz w:val="18"/>
      <w:szCs w:val="18"/>
    </w:rPr>
  </w:style>
  <w:style w:type="paragraph" w:styleId="9">
    <w:name w:val="toc 3"/>
    <w:basedOn w:val="1"/>
    <w:next w:val="1"/>
    <w:unhideWhenUsed/>
    <w:qFormat/>
    <w:uiPriority w:val="39"/>
    <w:pPr>
      <w:tabs>
        <w:tab w:val="right" w:leader="dot" w:pos="8834"/>
      </w:tabs>
      <w:ind w:left="560" w:firstLine="400"/>
      <w:jc w:val="left"/>
    </w:pPr>
    <w:rPr>
      <w:rFonts w:asciiTheme="minorHAnsi" w:eastAsiaTheme="minorHAnsi"/>
      <w:i/>
      <w:iCs/>
      <w:sz w:val="20"/>
      <w:szCs w:val="20"/>
    </w:rPr>
  </w:style>
  <w:style w:type="paragraph" w:styleId="10">
    <w:name w:val="toc 8"/>
    <w:basedOn w:val="1"/>
    <w:next w:val="1"/>
    <w:unhideWhenUsed/>
    <w:qFormat/>
    <w:uiPriority w:val="39"/>
    <w:pPr>
      <w:ind w:left="1960"/>
      <w:jc w:val="left"/>
    </w:pPr>
    <w:rPr>
      <w:rFonts w:asciiTheme="minorHAnsi" w:eastAsiaTheme="minorHAnsi"/>
      <w:sz w:val="18"/>
      <w:szCs w:val="18"/>
    </w:rPr>
  </w:style>
  <w:style w:type="paragraph" w:styleId="11">
    <w:name w:val="Body Text Indent 2"/>
    <w:basedOn w:val="1"/>
    <w:qFormat/>
    <w:uiPriority w:val="0"/>
    <w:pPr>
      <w:spacing w:line="480" w:lineRule="auto"/>
      <w:ind w:left="420" w:leftChars="200"/>
    </w:pPr>
  </w:style>
  <w:style w:type="paragraph" w:styleId="12">
    <w:name w:val="Balloon Text"/>
    <w:basedOn w:val="1"/>
    <w:link w:val="35"/>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834"/>
      </w:tabs>
      <w:snapToGrid w:val="0"/>
      <w:spacing w:line="300" w:lineRule="auto"/>
      <w:ind w:firstLine="400"/>
    </w:pPr>
    <w:rPr>
      <w:rFonts w:ascii="黑体" w:hAnsi="黑体" w:eastAsia="黑体"/>
      <w:b/>
      <w:bCs/>
    </w:rPr>
  </w:style>
  <w:style w:type="paragraph" w:styleId="16">
    <w:name w:val="toc 4"/>
    <w:basedOn w:val="1"/>
    <w:next w:val="1"/>
    <w:unhideWhenUsed/>
    <w:qFormat/>
    <w:uiPriority w:val="39"/>
    <w:pPr>
      <w:ind w:left="840"/>
      <w:jc w:val="left"/>
    </w:pPr>
    <w:rPr>
      <w:rFonts w:asciiTheme="minorHAnsi" w:eastAsiaTheme="minorHAnsi"/>
      <w:sz w:val="18"/>
      <w:szCs w:val="18"/>
    </w:rPr>
  </w:style>
  <w:style w:type="paragraph" w:styleId="17">
    <w:name w:val="footnote text"/>
    <w:basedOn w:val="1"/>
    <w:link w:val="55"/>
    <w:semiHidden/>
    <w:unhideWhenUsed/>
    <w:qFormat/>
    <w:uiPriority w:val="99"/>
    <w:pPr>
      <w:snapToGrid w:val="0"/>
      <w:jc w:val="left"/>
    </w:pPr>
    <w:rPr>
      <w:sz w:val="18"/>
      <w:szCs w:val="18"/>
    </w:rPr>
  </w:style>
  <w:style w:type="paragraph" w:styleId="18">
    <w:name w:val="toc 6"/>
    <w:basedOn w:val="1"/>
    <w:next w:val="1"/>
    <w:unhideWhenUsed/>
    <w:qFormat/>
    <w:uiPriority w:val="39"/>
    <w:pPr>
      <w:ind w:left="1400"/>
      <w:jc w:val="left"/>
    </w:pPr>
    <w:rPr>
      <w:rFonts w:asciiTheme="minorHAnsi" w:eastAsiaTheme="minorHAnsi"/>
      <w:sz w:val="18"/>
      <w:szCs w:val="18"/>
    </w:rPr>
  </w:style>
  <w:style w:type="paragraph" w:styleId="19">
    <w:name w:val="toc 2"/>
    <w:basedOn w:val="1"/>
    <w:next w:val="1"/>
    <w:unhideWhenUsed/>
    <w:qFormat/>
    <w:uiPriority w:val="39"/>
    <w:pPr>
      <w:tabs>
        <w:tab w:val="right" w:leader="dot" w:pos="8834"/>
      </w:tabs>
      <w:snapToGrid w:val="0"/>
      <w:spacing w:line="300" w:lineRule="auto"/>
      <w:ind w:left="1120" w:leftChars="400" w:firstLine="0" w:firstLineChars="0"/>
    </w:pPr>
    <w:rPr>
      <w:rFonts w:ascii="黑体" w:hAnsi="黑体" w:eastAsia="黑体"/>
      <w:kern w:val="0"/>
      <w:szCs w:val="28"/>
    </w:rPr>
  </w:style>
  <w:style w:type="paragraph" w:styleId="20">
    <w:name w:val="toc 9"/>
    <w:basedOn w:val="1"/>
    <w:next w:val="1"/>
    <w:unhideWhenUsed/>
    <w:qFormat/>
    <w:uiPriority w:val="39"/>
    <w:pPr>
      <w:ind w:left="2240"/>
      <w:jc w:val="left"/>
    </w:pPr>
    <w:rPr>
      <w:rFonts w:asciiTheme="minorHAnsi" w:eastAsiaTheme="minorHAnsi"/>
      <w:sz w:val="18"/>
      <w:szCs w:val="18"/>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annotation subject"/>
    <w:basedOn w:val="7"/>
    <w:next w:val="7"/>
    <w:link w:val="41"/>
    <w:semiHidden/>
    <w:unhideWhenUsed/>
    <w:qFormat/>
    <w:uiPriority w:val="99"/>
    <w:rPr>
      <w:b/>
      <w:bCs/>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unhideWhenUsed/>
    <w:qFormat/>
    <w:uiPriority w:val="99"/>
    <w:rPr>
      <w:vertAlign w:val="superscript"/>
    </w:rPr>
  </w:style>
  <w:style w:type="paragraph" w:customStyle="1" w:styleId="30">
    <w:name w:val="2"/>
    <w:basedOn w:val="1"/>
    <w:next w:val="31"/>
    <w:qFormat/>
    <w:uiPriority w:val="34"/>
    <w:pPr>
      <w:ind w:firstLine="420"/>
    </w:pPr>
    <w:rPr>
      <w:rFonts w:ascii="Times New Roman" w:hAnsi="Times New Roman" w:eastAsia="仿宋_GB2312"/>
      <w:szCs w:val="24"/>
    </w:rPr>
  </w:style>
  <w:style w:type="paragraph" w:styleId="31">
    <w:name w:val="List Paragraph"/>
    <w:basedOn w:val="1"/>
    <w:qFormat/>
    <w:uiPriority w:val="34"/>
    <w:pPr>
      <w:ind w:firstLine="420"/>
    </w:pPr>
  </w:style>
  <w:style w:type="character" w:customStyle="1" w:styleId="32">
    <w:name w:val="页眉 Char"/>
    <w:basedOn w:val="25"/>
    <w:link w:val="14"/>
    <w:qFormat/>
    <w:uiPriority w:val="99"/>
    <w:rPr>
      <w:rFonts w:ascii="等线" w:hAnsi="等线" w:eastAsia="等线" w:cs="Times New Roman"/>
      <w:sz w:val="18"/>
      <w:szCs w:val="18"/>
    </w:rPr>
  </w:style>
  <w:style w:type="character" w:customStyle="1" w:styleId="33">
    <w:name w:val="页脚 Char"/>
    <w:basedOn w:val="25"/>
    <w:link w:val="13"/>
    <w:qFormat/>
    <w:uiPriority w:val="99"/>
    <w:rPr>
      <w:rFonts w:ascii="等线" w:hAnsi="等线" w:eastAsia="等线" w:cs="Times New Roman"/>
      <w:sz w:val="18"/>
      <w:szCs w:val="18"/>
    </w:rPr>
  </w:style>
  <w:style w:type="paragraph" w:customStyle="1" w:styleId="34">
    <w:name w:val="1"/>
    <w:basedOn w:val="1"/>
    <w:next w:val="31"/>
    <w:qFormat/>
    <w:uiPriority w:val="34"/>
    <w:pPr>
      <w:ind w:firstLine="420"/>
    </w:pPr>
    <w:rPr>
      <w:rFonts w:ascii="Times New Roman" w:hAnsi="Times New Roman" w:eastAsia="仿宋_GB2312"/>
      <w:szCs w:val="24"/>
    </w:rPr>
  </w:style>
  <w:style w:type="character" w:customStyle="1" w:styleId="35">
    <w:name w:val="批注框文本 Char"/>
    <w:basedOn w:val="25"/>
    <w:link w:val="12"/>
    <w:semiHidden/>
    <w:qFormat/>
    <w:uiPriority w:val="99"/>
    <w:rPr>
      <w:rFonts w:ascii="等线" w:hAnsi="等线" w:eastAsia="等线" w:cs="Times New Roman"/>
      <w:sz w:val="18"/>
      <w:szCs w:val="18"/>
    </w:rPr>
  </w:style>
  <w:style w:type="paragraph" w:customStyle="1" w:styleId="36">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37">
    <w:name w:val="标题 1 Char"/>
    <w:basedOn w:val="25"/>
    <w:link w:val="2"/>
    <w:qFormat/>
    <w:uiPriority w:val="9"/>
    <w:rPr>
      <w:rFonts w:ascii="等线" w:hAnsi="等线" w:eastAsia="黑体" w:cs="Times New Roman"/>
      <w:b/>
      <w:bCs/>
      <w:kern w:val="44"/>
      <w:sz w:val="32"/>
      <w:szCs w:val="44"/>
    </w:rPr>
  </w:style>
  <w:style w:type="character" w:customStyle="1" w:styleId="38">
    <w:name w:val="标题 2 Char"/>
    <w:basedOn w:val="25"/>
    <w:link w:val="3"/>
    <w:qFormat/>
    <w:uiPriority w:val="9"/>
    <w:rPr>
      <w:rFonts w:eastAsia="楷体" w:asciiTheme="majorHAnsi" w:hAnsiTheme="majorHAnsi" w:cstheme="majorBidi"/>
      <w:b/>
      <w:bCs/>
      <w:sz w:val="32"/>
      <w:szCs w:val="32"/>
    </w:rPr>
  </w:style>
  <w:style w:type="paragraph" w:customStyle="1" w:styleId="39">
    <w:name w:val="_Style 1"/>
    <w:basedOn w:val="1"/>
    <w:qFormat/>
    <w:uiPriority w:val="99"/>
    <w:pPr>
      <w:spacing w:line="240" w:lineRule="auto"/>
      <w:ind w:firstLine="420"/>
    </w:pPr>
    <w:rPr>
      <w:rFonts w:ascii="Times New Roman" w:hAnsi="Times New Roman" w:eastAsia="仿宋_GB2312"/>
      <w:sz w:val="32"/>
      <w:szCs w:val="24"/>
    </w:rPr>
  </w:style>
  <w:style w:type="character" w:customStyle="1" w:styleId="40">
    <w:name w:val="批注文字 Char"/>
    <w:basedOn w:val="25"/>
    <w:link w:val="7"/>
    <w:semiHidden/>
    <w:qFormat/>
    <w:uiPriority w:val="99"/>
    <w:rPr>
      <w:rFonts w:ascii="等线" w:hAnsi="等线" w:eastAsia="仿宋" w:cs="Times New Roman"/>
      <w:sz w:val="28"/>
    </w:rPr>
  </w:style>
  <w:style w:type="character" w:customStyle="1" w:styleId="41">
    <w:name w:val="批注主题 Char"/>
    <w:basedOn w:val="40"/>
    <w:link w:val="22"/>
    <w:semiHidden/>
    <w:qFormat/>
    <w:uiPriority w:val="99"/>
    <w:rPr>
      <w:rFonts w:ascii="等线" w:hAnsi="等线" w:eastAsia="仿宋" w:cs="Times New Roman"/>
      <w:b/>
      <w:bCs/>
      <w:sz w:val="28"/>
    </w:rPr>
  </w:style>
  <w:style w:type="paragraph" w:customStyle="1" w:styleId="42">
    <w:name w:val="修订1"/>
    <w:hidden/>
    <w:semiHidden/>
    <w:qFormat/>
    <w:uiPriority w:val="99"/>
    <w:rPr>
      <w:rFonts w:ascii="等线" w:hAnsi="等线" w:eastAsia="仿宋" w:cs="Times New Roman"/>
      <w:kern w:val="2"/>
      <w:sz w:val="28"/>
      <w:szCs w:val="22"/>
      <w:lang w:val="en-US" w:eastAsia="zh-CN" w:bidi="ar-SA"/>
    </w:rPr>
  </w:style>
  <w:style w:type="character" w:customStyle="1" w:styleId="43">
    <w:name w:val="页眉 字符"/>
    <w:qFormat/>
    <w:uiPriority w:val="99"/>
    <w:rPr>
      <w:sz w:val="18"/>
      <w:szCs w:val="18"/>
    </w:rPr>
  </w:style>
  <w:style w:type="character" w:customStyle="1" w:styleId="44">
    <w:name w:val="标题 3 Char"/>
    <w:basedOn w:val="25"/>
    <w:link w:val="4"/>
    <w:qFormat/>
    <w:uiPriority w:val="0"/>
    <w:rPr>
      <w:rFonts w:ascii="仿宋" w:hAnsi="仿宋" w:eastAsia="仿宋" w:cs="仿宋"/>
      <w:bCs/>
      <w:sz w:val="32"/>
      <w:szCs w:val="32"/>
    </w:rPr>
  </w:style>
  <w:style w:type="paragraph" w:customStyle="1" w:styleId="45">
    <w:name w:val="专栏"/>
    <w:basedOn w:val="6"/>
    <w:link w:val="47"/>
    <w:qFormat/>
    <w:uiPriority w:val="0"/>
    <w:pPr>
      <w:ind w:firstLine="0" w:firstLineChars="0"/>
      <w:jc w:val="center"/>
    </w:pPr>
    <w:rPr>
      <w:b/>
      <w:sz w:val="24"/>
    </w:rPr>
  </w:style>
  <w:style w:type="character" w:customStyle="1" w:styleId="46">
    <w:name w:val="题注 Char"/>
    <w:basedOn w:val="25"/>
    <w:link w:val="6"/>
    <w:semiHidden/>
    <w:qFormat/>
    <w:uiPriority w:val="35"/>
    <w:rPr>
      <w:rFonts w:eastAsia="黑体" w:asciiTheme="majorHAnsi" w:hAnsiTheme="majorHAnsi" w:cstheme="majorBidi"/>
      <w:sz w:val="20"/>
      <w:szCs w:val="20"/>
    </w:rPr>
  </w:style>
  <w:style w:type="character" w:customStyle="1" w:styleId="47">
    <w:name w:val="专栏 Char"/>
    <w:basedOn w:val="46"/>
    <w:link w:val="45"/>
    <w:qFormat/>
    <w:uiPriority w:val="0"/>
    <w:rPr>
      <w:rFonts w:eastAsia="黑体" w:asciiTheme="majorHAnsi" w:hAnsiTheme="majorHAnsi" w:cstheme="majorBidi"/>
      <w:b/>
      <w:sz w:val="24"/>
      <w:szCs w:val="20"/>
    </w:rPr>
  </w:style>
  <w:style w:type="paragraph" w:customStyle="1" w:styleId="48">
    <w:name w:val="专栏内容"/>
    <w:basedOn w:val="1"/>
    <w:link w:val="49"/>
    <w:qFormat/>
    <w:uiPriority w:val="0"/>
    <w:pPr>
      <w:widowControl/>
      <w:snapToGrid w:val="0"/>
      <w:spacing w:line="300" w:lineRule="auto"/>
    </w:pPr>
    <w:rPr>
      <w:rFonts w:ascii="仿宋_GB2312" w:hAnsi="仿宋" w:eastAsia="仿宋_GB2312" w:cs="宋体"/>
      <w:color w:val="000000"/>
      <w:kern w:val="0"/>
      <w:sz w:val="24"/>
      <w:szCs w:val="28"/>
    </w:rPr>
  </w:style>
  <w:style w:type="character" w:customStyle="1" w:styleId="49">
    <w:name w:val="专栏内容 Char"/>
    <w:basedOn w:val="25"/>
    <w:link w:val="48"/>
    <w:qFormat/>
    <w:uiPriority w:val="0"/>
    <w:rPr>
      <w:rFonts w:ascii="仿宋_GB2312" w:hAnsi="仿宋" w:eastAsia="仿宋_GB2312" w:cs="宋体"/>
      <w:color w:val="000000"/>
      <w:kern w:val="0"/>
      <w:sz w:val="24"/>
      <w:szCs w:val="28"/>
    </w:rPr>
  </w:style>
  <w:style w:type="paragraph" w:customStyle="1" w:styleId="5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51">
    <w:name w:val="NormalCharacter"/>
    <w:semiHidden/>
    <w:qFormat/>
    <w:uiPriority w:val="99"/>
    <w:rPr>
      <w:rFonts w:ascii="Calibri" w:hAnsi="Calibri" w:eastAsia="宋体" w:cs="Calibri"/>
      <w:kern w:val="2"/>
      <w:sz w:val="24"/>
      <w:szCs w:val="24"/>
      <w:lang w:val="en-US" w:eastAsia="zh-CN"/>
    </w:rPr>
  </w:style>
  <w:style w:type="paragraph" w:customStyle="1" w:styleId="52">
    <w:name w:val="修订2"/>
    <w:hidden/>
    <w:semiHidden/>
    <w:qFormat/>
    <w:uiPriority w:val="99"/>
    <w:rPr>
      <w:rFonts w:ascii="等线" w:hAnsi="等线" w:eastAsia="仿宋" w:cs="Times New Roman"/>
      <w:kern w:val="2"/>
      <w:sz w:val="28"/>
      <w:szCs w:val="22"/>
      <w:lang w:val="en-US" w:eastAsia="zh-CN" w:bidi="ar-SA"/>
    </w:rPr>
  </w:style>
  <w:style w:type="paragraph" w:customStyle="1" w:styleId="53">
    <w:name w:val="修订3"/>
    <w:hidden/>
    <w:semiHidden/>
    <w:qFormat/>
    <w:uiPriority w:val="99"/>
    <w:rPr>
      <w:rFonts w:ascii="等线" w:hAnsi="等线" w:eastAsia="仿宋" w:cs="Times New Roman"/>
      <w:kern w:val="2"/>
      <w:sz w:val="28"/>
      <w:szCs w:val="22"/>
      <w:lang w:val="en-US" w:eastAsia="zh-CN" w:bidi="ar-SA"/>
    </w:rPr>
  </w:style>
  <w:style w:type="paragraph" w:customStyle="1" w:styleId="54">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55">
    <w:name w:val="脚注文本 Char"/>
    <w:basedOn w:val="25"/>
    <w:link w:val="17"/>
    <w:semiHidden/>
    <w:qFormat/>
    <w:uiPriority w:val="99"/>
    <w:rPr>
      <w:rFonts w:ascii="等线" w:hAnsi="等线" w:eastAsia="仿宋"/>
      <w:kern w:val="2"/>
      <w:sz w:val="18"/>
      <w:szCs w:val="18"/>
    </w:rPr>
  </w:style>
  <w:style w:type="paragraph" w:customStyle="1" w:styleId="56">
    <w:name w:val="修订4"/>
    <w:hidden/>
    <w:semiHidden/>
    <w:qFormat/>
    <w:uiPriority w:val="99"/>
    <w:rPr>
      <w:rFonts w:ascii="等线" w:hAnsi="等线" w:eastAsia="仿宋" w:cs="Times New Roman"/>
      <w:kern w:val="2"/>
      <w:sz w:val="28"/>
      <w:szCs w:val="22"/>
      <w:lang w:val="en-US" w:eastAsia="zh-CN" w:bidi="ar-SA"/>
    </w:rPr>
  </w:style>
  <w:style w:type="paragraph" w:customStyle="1" w:styleId="57">
    <w:name w:val="修订5"/>
    <w:hidden/>
    <w:semiHidden/>
    <w:qFormat/>
    <w:uiPriority w:val="99"/>
    <w:rPr>
      <w:rFonts w:ascii="等线" w:hAnsi="等线" w:eastAsia="仿宋" w:cs="Times New Roman"/>
      <w:kern w:val="2"/>
      <w:sz w:val="28"/>
      <w:szCs w:val="22"/>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1">
    <w:name w:val="修订6"/>
    <w:hidden/>
    <w:semiHidden/>
    <w:qFormat/>
    <w:uiPriority w:val="99"/>
    <w:rPr>
      <w:rFonts w:ascii="等线" w:hAnsi="等线"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0B91B-4902-41C8-94BC-D5DBC086633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61</Pages>
  <Words>841</Words>
  <Characters>878</Characters>
  <Lines>273</Lines>
  <Paragraphs>76</Paragraphs>
  <TotalTime>0</TotalTime>
  <ScaleCrop>false</ScaleCrop>
  <LinksUpToDate>false</LinksUpToDate>
  <CharactersWithSpaces>915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2022-05-25T10:40:00Z</dcterms:created>
  <dc:creator>蒋艳君</dc:creator>
  <cp:lastModifiedBy>渝</cp:lastModifiedBy>
  <cp:lastPrinted>2022-01-15T05:35:00Z</cp:lastPrinted>
  <dcterms:modified xsi:type="dcterms:W3CDTF">2026-04-28T03:19:03Z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3BAA62433B98450B8C39D859860D6E9F</vt:lpwstr>
  </property>
  <property fmtid="{D5CDD505-2E9C-101B-9397-08002B2CF9AE}" pid="4" name="KSOTemplateDocerSaveRecord">
    <vt:lpwstr>eyJoZGlkIjoiNGM2MzU1ZmYxNGE4ODI0ZDI0YTJjMDZlNGYzZDVlMzMiLCJ1c2VySWQiOiIzMDU3NjU4ODAifQ==</vt:lpwstr>
  </property>
</Properties>
</file>