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宋体" w:eastAsia="方正小标宋简体"/>
          <w:sz w:val="44"/>
          <w:szCs w:val="44"/>
        </w:rPr>
      </w:pPr>
      <w:r>
        <w:rPr>
          <w:rFonts w:ascii="方正小标宋简体" w:hAnsi="宋体" w:eastAsia="方正小标宋简体"/>
          <w:sz w:val="44"/>
          <w:szCs w:val="44"/>
        </w:rPr>
        <w:t>2023</w:t>
      </w:r>
      <w:r>
        <w:rPr>
          <w:rFonts w:hint="eastAsia" w:ascii="方正小标宋简体" w:hAnsi="宋体" w:eastAsia="方正小标宋简体"/>
          <w:sz w:val="44"/>
          <w:szCs w:val="44"/>
        </w:rPr>
        <w:t>年度市本级监督水利在建工程质量安全</w:t>
      </w:r>
    </w:p>
    <w:p>
      <w:pPr>
        <w:spacing w:line="5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“双随机</w:t>
      </w:r>
      <w:r>
        <w:rPr>
          <w:rFonts w:hint="eastAsia" w:ascii="方正小标宋简体" w:hAnsi="宋体" w:eastAsia="方正小标宋简体"/>
          <w:sz w:val="44"/>
          <w:szCs w:val="44"/>
          <w:lang w:eastAsia="zh-CN"/>
        </w:rPr>
        <w:t>、</w:t>
      </w:r>
      <w:r>
        <w:rPr>
          <w:rFonts w:hint="eastAsia" w:ascii="方正小标宋简体" w:hAnsi="宋体" w:eastAsia="方正小标宋简体"/>
          <w:sz w:val="44"/>
          <w:szCs w:val="44"/>
        </w:rPr>
        <w:t>一公开”抽查工作实施方案</w:t>
      </w:r>
    </w:p>
    <w:p>
      <w:pPr>
        <w:spacing w:line="580" w:lineRule="exact"/>
        <w:rPr>
          <w:rFonts w:ascii="方正小标宋简体" w:hAnsi="宋体" w:eastAsia="方正小标宋简体"/>
          <w:sz w:val="36"/>
          <w:szCs w:val="36"/>
        </w:rPr>
      </w:pPr>
    </w:p>
    <w:p>
      <w:pPr>
        <w:spacing w:line="540" w:lineRule="exact"/>
        <w:ind w:firstLine="640" w:firstLineChars="200"/>
        <w:rPr>
          <w:rFonts w:eastAsia="仿宋_GB2312" w:cs="Times New Roman"/>
          <w:sz w:val="32"/>
          <w:szCs w:val="32"/>
        </w:rPr>
      </w:pPr>
      <w:r>
        <w:rPr>
          <w:rFonts w:eastAsia="仿宋_GB2312" w:cs="Times New Roman"/>
          <w:sz w:val="32"/>
          <w:szCs w:val="32"/>
        </w:rPr>
        <w:t>根据省、市关于“双随机</w:t>
      </w:r>
      <w:r>
        <w:rPr>
          <w:rFonts w:hint="eastAsia" w:eastAsia="仿宋_GB2312" w:cs="Times New Roman"/>
          <w:sz w:val="32"/>
          <w:szCs w:val="32"/>
          <w:lang w:eastAsia="zh-CN"/>
        </w:rPr>
        <w:t>、</w:t>
      </w:r>
      <w:r>
        <w:rPr>
          <w:rFonts w:eastAsia="仿宋_GB2312" w:cs="Times New Roman"/>
          <w:sz w:val="32"/>
          <w:szCs w:val="32"/>
        </w:rPr>
        <w:t>一公开”抽查有关规定，遵循分级管理及合法、公正、公开、随机的原则，制定本方案。</w:t>
      </w:r>
    </w:p>
    <w:p>
      <w:pPr>
        <w:spacing w:line="540" w:lineRule="exact"/>
        <w:ind w:firstLine="640" w:firstLineChars="200"/>
        <w:rPr>
          <w:rFonts w:hint="eastAsia" w:ascii="黑体" w:eastAsia="黑体" w:cs="Times New Roman"/>
          <w:sz w:val="32"/>
          <w:szCs w:val="32"/>
        </w:rPr>
      </w:pPr>
      <w:r>
        <w:rPr>
          <w:rFonts w:hint="eastAsia" w:ascii="黑体" w:eastAsia="黑体" w:cs="Times New Roman"/>
          <w:sz w:val="32"/>
          <w:szCs w:val="32"/>
        </w:rPr>
        <w:t>一、抽查事项和内容</w:t>
      </w:r>
    </w:p>
    <w:p>
      <w:pPr>
        <w:spacing w:line="540" w:lineRule="exact"/>
        <w:ind w:firstLine="640" w:firstLineChars="200"/>
        <w:rPr>
          <w:rFonts w:eastAsia="仿宋_GB2312" w:cs="Times New Roman"/>
          <w:sz w:val="32"/>
          <w:szCs w:val="32"/>
        </w:rPr>
      </w:pPr>
      <w:r>
        <w:rPr>
          <w:rFonts w:eastAsia="仿宋_GB2312" w:cs="Times New Roman"/>
          <w:sz w:val="32"/>
          <w:szCs w:val="32"/>
        </w:rPr>
        <w:t>抽查事项主要为在建水利工程质量安全监督检查，主要内容为监督检查各参建单位的质量与安全体系、质量与安全行为及工程实体质量与安全防护是否符合相关法律法规、强制性条文、技术标准及经批准的设计文件等有关规定和要求，采取现场检查、书面检查等方式进行抽查。</w:t>
      </w:r>
    </w:p>
    <w:p>
      <w:pPr>
        <w:spacing w:line="540" w:lineRule="exact"/>
        <w:ind w:firstLine="640" w:firstLineChars="200"/>
        <w:rPr>
          <w:rFonts w:hint="eastAsia" w:ascii="黑体" w:eastAsia="黑体" w:cs="Times New Roman"/>
          <w:sz w:val="32"/>
          <w:szCs w:val="32"/>
        </w:rPr>
      </w:pPr>
      <w:r>
        <w:rPr>
          <w:rFonts w:hint="eastAsia" w:ascii="黑体" w:eastAsia="黑体" w:cs="Times New Roman"/>
          <w:sz w:val="32"/>
          <w:szCs w:val="32"/>
        </w:rPr>
        <w:t>二、建立抽查对象名录库和监督检查人员名录库</w:t>
      </w:r>
    </w:p>
    <w:p>
      <w:pPr>
        <w:spacing w:line="540" w:lineRule="exact"/>
        <w:ind w:firstLine="640" w:firstLineChars="200"/>
        <w:rPr>
          <w:rFonts w:eastAsia="仿宋_GB2312" w:cs="Times New Roman"/>
          <w:sz w:val="32"/>
          <w:szCs w:val="32"/>
        </w:rPr>
      </w:pPr>
      <w:r>
        <w:rPr>
          <w:rFonts w:eastAsia="仿宋_GB2312" w:cs="Times New Roman"/>
          <w:sz w:val="32"/>
          <w:szCs w:val="32"/>
        </w:rPr>
        <w:t>监督检查人员名录库由市水利工程质量安全工作站和市水利工程技术中心相关人员组成（见附件1）。抽查对象名录库由市本级监督水利在建工程组成（见附件2）。</w:t>
      </w:r>
    </w:p>
    <w:p>
      <w:pPr>
        <w:spacing w:line="540" w:lineRule="exact"/>
        <w:ind w:firstLine="640" w:firstLineChars="200"/>
        <w:rPr>
          <w:rFonts w:hint="eastAsia" w:ascii="黑体" w:eastAsia="黑体" w:cs="Times New Roman"/>
          <w:sz w:val="32"/>
          <w:szCs w:val="32"/>
        </w:rPr>
      </w:pPr>
      <w:r>
        <w:rPr>
          <w:rFonts w:hint="eastAsia" w:ascii="黑体" w:eastAsia="黑体" w:cs="Times New Roman"/>
          <w:sz w:val="32"/>
          <w:szCs w:val="32"/>
        </w:rPr>
        <w:t>三、抽查方法和比例</w:t>
      </w:r>
    </w:p>
    <w:p>
      <w:pPr>
        <w:spacing w:line="540" w:lineRule="exact"/>
        <w:ind w:firstLine="640" w:firstLineChars="200"/>
        <w:rPr>
          <w:rFonts w:eastAsia="仿宋_GB2312" w:cs="Times New Roman"/>
          <w:sz w:val="32"/>
          <w:szCs w:val="32"/>
        </w:rPr>
      </w:pPr>
      <w:r>
        <w:rPr>
          <w:rFonts w:eastAsia="仿宋_GB2312" w:cs="Times New Roman"/>
          <w:sz w:val="32"/>
          <w:szCs w:val="32"/>
        </w:rPr>
        <w:t>通过随机抽取方式，从抽查对象名录库和监督检查人员名录库中确定检查对象和检查人员。抽查项目数量不少于名录库数量的50%，开展时间为11月</w:t>
      </w:r>
      <w:r>
        <w:rPr>
          <w:rFonts w:hint="eastAsia" w:ascii="仿宋_GB2312" w:eastAsia="仿宋_GB2312" w:cs="Times New Roman"/>
          <w:sz w:val="32"/>
          <w:szCs w:val="32"/>
        </w:rPr>
        <w:t>－</w:t>
      </w:r>
      <w:r>
        <w:rPr>
          <w:rFonts w:eastAsia="仿宋_GB2312" w:cs="Times New Roman"/>
          <w:sz w:val="32"/>
          <w:szCs w:val="32"/>
        </w:rPr>
        <w:t>12月，邀请市水利局相关科室负责人随机抽取。每次监督检查，从检查人员名录库中随机抽取2名以上检查人员。</w:t>
      </w:r>
    </w:p>
    <w:p>
      <w:pPr>
        <w:spacing w:line="540" w:lineRule="exact"/>
        <w:ind w:firstLine="640" w:firstLineChars="200"/>
        <w:rPr>
          <w:rFonts w:hint="eastAsia" w:ascii="黑体" w:eastAsia="黑体" w:cs="Times New Roman"/>
          <w:sz w:val="32"/>
          <w:szCs w:val="32"/>
        </w:rPr>
      </w:pPr>
      <w:r>
        <w:rPr>
          <w:rFonts w:hint="eastAsia" w:ascii="黑体" w:eastAsia="黑体" w:cs="Times New Roman"/>
          <w:sz w:val="32"/>
          <w:szCs w:val="32"/>
        </w:rPr>
        <w:t>四、落实公开制度</w:t>
      </w:r>
    </w:p>
    <w:p>
      <w:pPr>
        <w:spacing w:line="540" w:lineRule="exact"/>
        <w:ind w:firstLine="640" w:firstLineChars="200"/>
        <w:rPr>
          <w:rFonts w:eastAsia="仿宋_GB2312" w:cs="Times New Roman"/>
          <w:sz w:val="32"/>
          <w:szCs w:val="32"/>
        </w:rPr>
      </w:pPr>
      <w:r>
        <w:rPr>
          <w:rFonts w:eastAsia="仿宋_GB2312" w:cs="Times New Roman"/>
          <w:sz w:val="32"/>
          <w:szCs w:val="32"/>
        </w:rPr>
        <w:t>制定的抽查对象名录、监督检查人员名录、“双随机</w:t>
      </w:r>
      <w:r>
        <w:rPr>
          <w:rFonts w:hint="eastAsia" w:eastAsia="仿宋_GB2312" w:cs="Times New Roman"/>
          <w:sz w:val="32"/>
          <w:szCs w:val="32"/>
          <w:lang w:eastAsia="zh-CN"/>
        </w:rPr>
        <w:t>、</w:t>
      </w:r>
      <w:r>
        <w:rPr>
          <w:rFonts w:eastAsia="仿宋_GB2312" w:cs="Times New Roman"/>
          <w:sz w:val="32"/>
          <w:szCs w:val="32"/>
        </w:rPr>
        <w:t>一公开”抽取的检查主体等相关资料信息，及时在泉州市水利局信息网公开，接受全社会监督。</w:t>
      </w:r>
    </w:p>
    <w:p>
      <w:pPr>
        <w:spacing w:line="540" w:lineRule="exact"/>
        <w:ind w:firstLine="640" w:firstLineChars="200"/>
        <w:rPr>
          <w:rFonts w:hint="eastAsia" w:ascii="黑体" w:eastAsia="黑体" w:cs="Times New Roman"/>
          <w:sz w:val="32"/>
          <w:szCs w:val="32"/>
        </w:rPr>
      </w:pPr>
      <w:r>
        <w:rPr>
          <w:rFonts w:hint="eastAsia" w:ascii="黑体" w:eastAsia="黑体" w:cs="Times New Roman"/>
          <w:sz w:val="32"/>
          <w:szCs w:val="32"/>
        </w:rPr>
        <w:t>五、强化执法检查</w:t>
      </w:r>
    </w:p>
    <w:p>
      <w:pPr>
        <w:spacing w:line="540" w:lineRule="exact"/>
        <w:ind w:firstLine="640" w:firstLineChars="200"/>
        <w:rPr>
          <w:rFonts w:eastAsia="仿宋_GB2312" w:cs="Times New Roman"/>
          <w:sz w:val="32"/>
          <w:szCs w:val="32"/>
        </w:rPr>
      </w:pPr>
      <w:r>
        <w:rPr>
          <w:rFonts w:eastAsia="仿宋_GB2312" w:cs="Times New Roman"/>
          <w:sz w:val="32"/>
          <w:szCs w:val="32"/>
        </w:rPr>
        <w:t>检查人员要严格依照法定程序开展监督检查，对检查中发现的问题，该整改的及时责令整改，该处罚的依法处罚。对于检查发现问题整改不到位或不按规定进行整改的市场主体，经催告仍拒不整改的，依法处置。有关检查情况及时在泉州市水利局信息网公布。</w:t>
      </w:r>
    </w:p>
    <w:p>
      <w:pPr>
        <w:spacing w:line="540" w:lineRule="exact"/>
        <w:ind w:firstLine="640" w:firstLineChars="200"/>
        <w:rPr>
          <w:rFonts w:hint="eastAsia" w:ascii="黑体" w:eastAsia="黑体" w:cs="Times New Roman"/>
          <w:sz w:val="32"/>
          <w:szCs w:val="32"/>
        </w:rPr>
      </w:pPr>
      <w:r>
        <w:rPr>
          <w:rFonts w:hint="eastAsia" w:ascii="黑体" w:eastAsia="黑体" w:cs="Times New Roman"/>
          <w:sz w:val="32"/>
          <w:szCs w:val="32"/>
        </w:rPr>
        <w:t>六、严格检查纪律</w:t>
      </w:r>
    </w:p>
    <w:p>
      <w:pPr>
        <w:spacing w:line="540" w:lineRule="exact"/>
        <w:ind w:firstLine="640" w:firstLineChars="200"/>
        <w:rPr>
          <w:rFonts w:eastAsia="仿宋_GB2312" w:cs="Times New Roman"/>
          <w:sz w:val="32"/>
          <w:szCs w:val="32"/>
        </w:rPr>
      </w:pPr>
      <w:r>
        <w:rPr>
          <w:rFonts w:eastAsia="仿宋_GB2312" w:cs="Times New Roman"/>
          <w:sz w:val="32"/>
          <w:szCs w:val="32"/>
        </w:rPr>
        <w:t>实施检查时，不得妨碍工程正常施工作业活动，不得索取或收受财物，不得谋取其他利益。对抽查监管工作中失职渎职和违纪的，要依法依纪严肃处理。</w:t>
      </w:r>
    </w:p>
    <w:p>
      <w:pPr>
        <w:spacing w:line="540" w:lineRule="exact"/>
        <w:ind w:firstLine="640" w:firstLineChars="200"/>
        <w:rPr>
          <w:rFonts w:hint="eastAsia" w:ascii="黑体" w:eastAsia="黑体" w:cs="Times New Roman"/>
          <w:sz w:val="32"/>
          <w:szCs w:val="32"/>
        </w:rPr>
      </w:pPr>
      <w:r>
        <w:rPr>
          <w:rFonts w:hint="eastAsia" w:ascii="黑体" w:eastAsia="黑体" w:cs="Times New Roman"/>
          <w:sz w:val="32"/>
          <w:szCs w:val="32"/>
        </w:rPr>
        <w:t>七、做好资料归档及信息反馈</w:t>
      </w:r>
    </w:p>
    <w:p>
      <w:pPr>
        <w:spacing w:line="540" w:lineRule="exact"/>
        <w:ind w:firstLine="640" w:firstLineChars="200"/>
        <w:rPr>
          <w:rFonts w:eastAsia="仿宋_GB2312" w:cs="Times New Roman"/>
          <w:sz w:val="32"/>
          <w:szCs w:val="32"/>
        </w:rPr>
      </w:pPr>
      <w:r>
        <w:rPr>
          <w:rFonts w:eastAsia="仿宋_GB2312" w:cs="Times New Roman"/>
          <w:sz w:val="32"/>
          <w:szCs w:val="32"/>
        </w:rPr>
        <w:t>检查人员开展抽查工作时，现场检查记录和现场照片等证据资料应当作为执法全过程进行记录备案。检查人员应当在检查结束后及时做好检查材料归档保管。检查材料包括“三个一”，即一份检查通知书、一份监督检查表、一份现场检查照片。需要整改的单位，还应根据现场检查要求，及时做好整改工作，并上报书面反馈整改情况资料供存档备查。</w:t>
      </w:r>
    </w:p>
    <w:p>
      <w:pPr>
        <w:spacing w:line="540" w:lineRule="exact"/>
        <w:rPr>
          <w:rFonts w:eastAsia="仿宋_GB2312" w:cs="Times New Roman"/>
          <w:sz w:val="32"/>
          <w:szCs w:val="32"/>
        </w:rPr>
      </w:pPr>
    </w:p>
    <w:p>
      <w:pPr>
        <w:spacing w:line="540" w:lineRule="exact"/>
        <w:ind w:firstLine="640" w:firstLineChars="200"/>
        <w:rPr>
          <w:rFonts w:eastAsia="仿宋_GB2312" w:cs="Times New Roman"/>
          <w:sz w:val="32"/>
          <w:szCs w:val="32"/>
        </w:rPr>
      </w:pPr>
      <w:r>
        <w:rPr>
          <w:rFonts w:eastAsia="仿宋_GB2312" w:cs="Times New Roman"/>
          <w:sz w:val="32"/>
          <w:szCs w:val="32"/>
        </w:rPr>
        <w:t>附件：</w:t>
      </w:r>
      <w:r>
        <w:rPr>
          <w:rFonts w:hint="eastAsia" w:eastAsia="仿宋_GB2312" w:cs="Times New Roman"/>
          <w:sz w:val="32"/>
          <w:szCs w:val="32"/>
        </w:rPr>
        <w:t>1</w:t>
      </w:r>
      <w:r>
        <w:rPr>
          <w:rFonts w:hint="eastAsia" w:eastAsia="仿宋_GB2312" w:cs="Times New Roman"/>
          <w:spacing w:val="42"/>
          <w:sz w:val="32"/>
          <w:szCs w:val="32"/>
        </w:rPr>
        <w:t>.</w:t>
      </w:r>
      <w:r>
        <w:rPr>
          <w:rFonts w:eastAsia="仿宋_GB2312" w:cs="Times New Roman"/>
          <w:sz w:val="32"/>
          <w:szCs w:val="32"/>
        </w:rPr>
        <w:t>2023年度市本级监督水利在建工程质量安全监督检查人员名单</w:t>
      </w:r>
    </w:p>
    <w:p>
      <w:pPr>
        <w:tabs>
          <w:tab w:val="left" w:pos="1620"/>
        </w:tabs>
        <w:spacing w:line="540" w:lineRule="exact"/>
        <w:ind w:firstLine="1440" w:firstLineChars="450"/>
        <w:rPr>
          <w:rFonts w:eastAsia="仿宋_GB2312" w:cs="Times New Roman"/>
          <w:sz w:val="32"/>
          <w:szCs w:val="32"/>
        </w:rPr>
      </w:pPr>
      <w:r>
        <w:rPr>
          <w:rFonts w:eastAsia="仿宋_GB2312" w:cs="Times New Roman"/>
          <w:sz w:val="32"/>
          <w:szCs w:val="32"/>
        </w:rPr>
        <w:t>2</w:t>
      </w:r>
      <w:r>
        <w:rPr>
          <w:rFonts w:hint="eastAsia" w:eastAsia="仿宋_GB2312" w:cs="Times New Roman"/>
          <w:spacing w:val="42"/>
          <w:sz w:val="32"/>
          <w:szCs w:val="32"/>
        </w:rPr>
        <w:t>.</w:t>
      </w:r>
      <w:r>
        <w:rPr>
          <w:rFonts w:eastAsia="仿宋_GB2312" w:cs="Times New Roman"/>
          <w:sz w:val="32"/>
          <w:szCs w:val="32"/>
        </w:rPr>
        <w:t>2</w:t>
      </w:r>
      <w:r>
        <w:rPr>
          <w:rFonts w:eastAsia="仿宋_GB2312" w:cs="Times New Roman"/>
          <w:spacing w:val="-4"/>
          <w:sz w:val="32"/>
          <w:szCs w:val="32"/>
        </w:rPr>
        <w:t>023年度市本级监督水利在建工程质量安全“双随机</w:t>
      </w:r>
      <w:r>
        <w:rPr>
          <w:rFonts w:hint="eastAsia" w:eastAsia="仿宋_GB2312" w:cs="Times New Roman"/>
          <w:spacing w:val="-4"/>
          <w:sz w:val="32"/>
          <w:szCs w:val="32"/>
          <w:lang w:eastAsia="zh-CN"/>
        </w:rPr>
        <w:t>、</w:t>
      </w:r>
      <w:r>
        <w:rPr>
          <w:rFonts w:eastAsia="仿宋_GB2312" w:cs="Times New Roman"/>
          <w:sz w:val="32"/>
          <w:szCs w:val="32"/>
        </w:rPr>
        <w:t>一公开”抽查对象目录</w:t>
      </w:r>
    </w:p>
    <w:p>
      <w:pPr>
        <w:spacing w:line="580" w:lineRule="exact"/>
        <w:rPr>
          <w:rFonts w:eastAsia="仿宋_GB2312" w:cs="Times New Roman"/>
          <w:sz w:val="32"/>
          <w:szCs w:val="32"/>
        </w:rPr>
      </w:pPr>
    </w:p>
    <w:p>
      <w:pPr>
        <w:spacing w:line="580" w:lineRule="exact"/>
        <w:rPr>
          <w:rFonts w:hint="eastAsia" w:ascii="黑体" w:eastAsia="黑体"/>
          <w:sz w:val="32"/>
          <w:szCs w:val="32"/>
        </w:rPr>
      </w:pPr>
    </w:p>
    <w:p>
      <w:pPr>
        <w:spacing w:line="580" w:lineRule="exact"/>
        <w:rPr>
          <w:rFonts w:hint="eastAsia" w:ascii="黑体" w:eastAsia="黑体"/>
          <w:sz w:val="32"/>
          <w:szCs w:val="32"/>
        </w:rPr>
      </w:pPr>
    </w:p>
    <w:p>
      <w:pPr>
        <w:spacing w:line="580" w:lineRule="exact"/>
        <w:rPr>
          <w:rFonts w:hint="eastAsia" w:ascii="黑体" w:eastAsia="黑体"/>
          <w:sz w:val="32"/>
          <w:szCs w:val="32"/>
        </w:rPr>
      </w:pPr>
      <w:r>
        <w:rPr>
          <w:rFonts w:hint="eastAsia" w:ascii="黑体" w:eastAsia="黑体"/>
          <w:sz w:val="32"/>
          <w:szCs w:val="32"/>
        </w:rPr>
        <w:t>附件1</w:t>
      </w:r>
    </w:p>
    <w:p>
      <w:pPr>
        <w:spacing w:line="580" w:lineRule="exact"/>
        <w:rPr>
          <w:rFonts w:hint="eastAsia" w:ascii="黑体" w:eastAsia="黑体"/>
          <w:sz w:val="32"/>
          <w:szCs w:val="32"/>
        </w:rPr>
      </w:pPr>
    </w:p>
    <w:p>
      <w:pPr>
        <w:spacing w:line="580" w:lineRule="exact"/>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2023年度市本级监督水利在建工程</w:t>
      </w:r>
    </w:p>
    <w:p>
      <w:pPr>
        <w:spacing w:line="580" w:lineRule="exact"/>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质量安全监督检查人员名单</w:t>
      </w:r>
    </w:p>
    <w:p>
      <w:pPr>
        <w:spacing w:line="580" w:lineRule="exact"/>
        <w:jc w:val="center"/>
        <w:rPr>
          <w:rFonts w:ascii="宋体" w:hAnsi="宋体"/>
          <w:b/>
          <w:bCs/>
          <w:sz w:val="36"/>
          <w:szCs w:val="28"/>
        </w:rPr>
      </w:pPr>
    </w:p>
    <w:tbl>
      <w:tblPr>
        <w:tblStyle w:val="2"/>
        <w:tblW w:w="905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28" w:type="dxa"/>
          <w:bottom w:w="0" w:type="dxa"/>
          <w:right w:w="28" w:type="dxa"/>
        </w:tblCellMar>
      </w:tblPr>
      <w:tblGrid>
        <w:gridCol w:w="928"/>
        <w:gridCol w:w="1440"/>
        <w:gridCol w:w="720"/>
        <w:gridCol w:w="3780"/>
        <w:gridCol w:w="21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7" w:hRule="exact"/>
          <w:jc w:val="center"/>
        </w:trPr>
        <w:tc>
          <w:tcPr>
            <w:tcW w:w="928"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序号</w:t>
            </w:r>
          </w:p>
        </w:tc>
        <w:tc>
          <w:tcPr>
            <w:tcW w:w="144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姓</w:t>
            </w:r>
            <w:r>
              <w:rPr>
                <w:rFonts w:hint="eastAsia" w:eastAsia="仿宋_GB2312" w:cs="Times New Roman"/>
                <w:sz w:val="28"/>
                <w:szCs w:val="28"/>
              </w:rPr>
              <w:t xml:space="preserve">   </w:t>
            </w:r>
            <w:r>
              <w:rPr>
                <w:rFonts w:eastAsia="仿宋_GB2312" w:cs="Times New Roman"/>
                <w:sz w:val="28"/>
                <w:szCs w:val="28"/>
              </w:rPr>
              <w:t>名</w:t>
            </w:r>
          </w:p>
        </w:tc>
        <w:tc>
          <w:tcPr>
            <w:tcW w:w="72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性别</w:t>
            </w:r>
          </w:p>
        </w:tc>
        <w:tc>
          <w:tcPr>
            <w:tcW w:w="378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职务/职称</w:t>
            </w:r>
          </w:p>
        </w:tc>
        <w:tc>
          <w:tcPr>
            <w:tcW w:w="2187"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执法单位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57" w:hRule="atLeast"/>
          <w:jc w:val="center"/>
        </w:trPr>
        <w:tc>
          <w:tcPr>
            <w:tcW w:w="928"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1</w:t>
            </w:r>
          </w:p>
        </w:tc>
        <w:tc>
          <w:tcPr>
            <w:tcW w:w="144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黄志兵</w:t>
            </w:r>
          </w:p>
        </w:tc>
        <w:tc>
          <w:tcPr>
            <w:tcW w:w="72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男</w:t>
            </w:r>
          </w:p>
        </w:tc>
        <w:tc>
          <w:tcPr>
            <w:tcW w:w="378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水利工程质量安全</w:t>
            </w:r>
          </w:p>
          <w:p>
            <w:pPr>
              <w:spacing w:line="360" w:lineRule="exact"/>
              <w:jc w:val="center"/>
              <w:rPr>
                <w:rFonts w:eastAsia="仿宋_GB2312" w:cs="Times New Roman"/>
                <w:sz w:val="28"/>
                <w:szCs w:val="28"/>
              </w:rPr>
            </w:pPr>
            <w:r>
              <w:rPr>
                <w:rFonts w:eastAsia="仿宋_GB2312" w:cs="Times New Roman"/>
                <w:sz w:val="28"/>
                <w:szCs w:val="28"/>
              </w:rPr>
              <w:t>工作站站长、高工</w:t>
            </w:r>
          </w:p>
        </w:tc>
        <w:tc>
          <w:tcPr>
            <w:tcW w:w="2187" w:type="dxa"/>
            <w:vMerge w:val="restart"/>
            <w:noWrap w:val="0"/>
            <w:vAlign w:val="center"/>
          </w:tcPr>
          <w:p>
            <w:pPr>
              <w:spacing w:line="360" w:lineRule="exact"/>
              <w:jc w:val="center"/>
              <w:rPr>
                <w:rFonts w:eastAsia="仿宋_GB2312" w:cs="Times New Roman"/>
                <w:sz w:val="28"/>
                <w:szCs w:val="28"/>
              </w:rPr>
            </w:pPr>
            <w:r>
              <w:rPr>
                <w:rFonts w:eastAsia="仿宋_GB2312" w:cs="Times New Roman"/>
                <w:sz w:val="28"/>
                <w:szCs w:val="28"/>
              </w:rPr>
              <w:t>泉州市水利局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7" w:hRule="exact"/>
          <w:jc w:val="center"/>
        </w:trPr>
        <w:tc>
          <w:tcPr>
            <w:tcW w:w="928"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2</w:t>
            </w:r>
          </w:p>
        </w:tc>
        <w:tc>
          <w:tcPr>
            <w:tcW w:w="144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石全</w:t>
            </w:r>
            <w:r>
              <w:rPr>
                <w:rFonts w:eastAsia="仿宋" w:cs="Times New Roman"/>
                <w:sz w:val="28"/>
                <w:szCs w:val="28"/>
              </w:rPr>
              <w:t>䘵</w:t>
            </w:r>
          </w:p>
        </w:tc>
        <w:tc>
          <w:tcPr>
            <w:tcW w:w="72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男</w:t>
            </w:r>
          </w:p>
        </w:tc>
        <w:tc>
          <w:tcPr>
            <w:tcW w:w="378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技术中心主任、高工</w:t>
            </w:r>
          </w:p>
        </w:tc>
        <w:tc>
          <w:tcPr>
            <w:tcW w:w="2187" w:type="dxa"/>
            <w:vMerge w:val="continue"/>
            <w:noWrap w:val="0"/>
            <w:vAlign w:val="center"/>
          </w:tcPr>
          <w:p>
            <w:pPr>
              <w:spacing w:line="360" w:lineRule="exact"/>
              <w:jc w:val="center"/>
              <w:rPr>
                <w:rFonts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53" w:hRule="atLeast"/>
          <w:jc w:val="center"/>
        </w:trPr>
        <w:tc>
          <w:tcPr>
            <w:tcW w:w="928"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3</w:t>
            </w:r>
          </w:p>
        </w:tc>
        <w:tc>
          <w:tcPr>
            <w:tcW w:w="144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蔡吉娜</w:t>
            </w:r>
          </w:p>
        </w:tc>
        <w:tc>
          <w:tcPr>
            <w:tcW w:w="72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女</w:t>
            </w:r>
          </w:p>
        </w:tc>
        <w:tc>
          <w:tcPr>
            <w:tcW w:w="378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水利工程质量安全</w:t>
            </w:r>
          </w:p>
          <w:p>
            <w:pPr>
              <w:spacing w:line="360" w:lineRule="exact"/>
              <w:jc w:val="center"/>
              <w:rPr>
                <w:rFonts w:eastAsia="仿宋_GB2312" w:cs="Times New Roman"/>
                <w:sz w:val="28"/>
                <w:szCs w:val="28"/>
              </w:rPr>
            </w:pPr>
            <w:r>
              <w:rPr>
                <w:rFonts w:eastAsia="仿宋_GB2312" w:cs="Times New Roman"/>
                <w:sz w:val="28"/>
                <w:szCs w:val="28"/>
              </w:rPr>
              <w:t>工作站副站长、高工</w:t>
            </w:r>
          </w:p>
        </w:tc>
        <w:tc>
          <w:tcPr>
            <w:tcW w:w="2187" w:type="dxa"/>
            <w:vMerge w:val="continue"/>
            <w:noWrap w:val="0"/>
            <w:vAlign w:val="center"/>
          </w:tcPr>
          <w:p>
            <w:pPr>
              <w:spacing w:line="360" w:lineRule="exact"/>
              <w:jc w:val="center"/>
              <w:rPr>
                <w:rFonts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7" w:hRule="exact"/>
          <w:jc w:val="center"/>
        </w:trPr>
        <w:tc>
          <w:tcPr>
            <w:tcW w:w="928"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4</w:t>
            </w:r>
          </w:p>
        </w:tc>
        <w:tc>
          <w:tcPr>
            <w:tcW w:w="144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曾翠蓉</w:t>
            </w:r>
          </w:p>
        </w:tc>
        <w:tc>
          <w:tcPr>
            <w:tcW w:w="72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女</w:t>
            </w:r>
          </w:p>
        </w:tc>
        <w:tc>
          <w:tcPr>
            <w:tcW w:w="378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技术中心副主任、工程师</w:t>
            </w:r>
          </w:p>
        </w:tc>
        <w:tc>
          <w:tcPr>
            <w:tcW w:w="2187" w:type="dxa"/>
            <w:vMerge w:val="continue"/>
            <w:noWrap w:val="0"/>
            <w:vAlign w:val="center"/>
          </w:tcPr>
          <w:p>
            <w:pPr>
              <w:spacing w:line="360" w:lineRule="exact"/>
              <w:jc w:val="center"/>
              <w:rPr>
                <w:rFonts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7" w:hRule="exact"/>
          <w:jc w:val="center"/>
        </w:trPr>
        <w:tc>
          <w:tcPr>
            <w:tcW w:w="928"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5</w:t>
            </w:r>
          </w:p>
        </w:tc>
        <w:tc>
          <w:tcPr>
            <w:tcW w:w="144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沈建全</w:t>
            </w:r>
          </w:p>
        </w:tc>
        <w:tc>
          <w:tcPr>
            <w:tcW w:w="72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男</w:t>
            </w:r>
          </w:p>
        </w:tc>
        <w:tc>
          <w:tcPr>
            <w:tcW w:w="378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高工</w:t>
            </w:r>
          </w:p>
        </w:tc>
        <w:tc>
          <w:tcPr>
            <w:tcW w:w="2187" w:type="dxa"/>
            <w:vMerge w:val="continue"/>
            <w:noWrap w:val="0"/>
            <w:vAlign w:val="center"/>
          </w:tcPr>
          <w:p>
            <w:pPr>
              <w:spacing w:line="360" w:lineRule="exact"/>
              <w:jc w:val="center"/>
              <w:rPr>
                <w:rFonts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7" w:hRule="exact"/>
          <w:jc w:val="center"/>
        </w:trPr>
        <w:tc>
          <w:tcPr>
            <w:tcW w:w="928"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6</w:t>
            </w:r>
          </w:p>
        </w:tc>
        <w:tc>
          <w:tcPr>
            <w:tcW w:w="144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苏向东</w:t>
            </w:r>
          </w:p>
        </w:tc>
        <w:tc>
          <w:tcPr>
            <w:tcW w:w="72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男</w:t>
            </w:r>
          </w:p>
        </w:tc>
        <w:tc>
          <w:tcPr>
            <w:tcW w:w="378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高工</w:t>
            </w:r>
          </w:p>
        </w:tc>
        <w:tc>
          <w:tcPr>
            <w:tcW w:w="2187" w:type="dxa"/>
            <w:vMerge w:val="continue"/>
            <w:noWrap w:val="0"/>
            <w:vAlign w:val="center"/>
          </w:tcPr>
          <w:p>
            <w:pPr>
              <w:spacing w:line="360" w:lineRule="exact"/>
              <w:jc w:val="center"/>
              <w:rPr>
                <w:rFonts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7" w:hRule="exact"/>
          <w:jc w:val="center"/>
        </w:trPr>
        <w:tc>
          <w:tcPr>
            <w:tcW w:w="928"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7</w:t>
            </w:r>
          </w:p>
        </w:tc>
        <w:tc>
          <w:tcPr>
            <w:tcW w:w="144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刘世川</w:t>
            </w:r>
          </w:p>
        </w:tc>
        <w:tc>
          <w:tcPr>
            <w:tcW w:w="72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男</w:t>
            </w:r>
          </w:p>
        </w:tc>
        <w:tc>
          <w:tcPr>
            <w:tcW w:w="378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高工</w:t>
            </w:r>
          </w:p>
        </w:tc>
        <w:tc>
          <w:tcPr>
            <w:tcW w:w="2187" w:type="dxa"/>
            <w:vMerge w:val="continue"/>
            <w:noWrap w:val="0"/>
            <w:vAlign w:val="center"/>
          </w:tcPr>
          <w:p>
            <w:pPr>
              <w:spacing w:line="360" w:lineRule="exact"/>
              <w:jc w:val="center"/>
              <w:rPr>
                <w:rFonts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7" w:hRule="exact"/>
          <w:jc w:val="center"/>
        </w:trPr>
        <w:tc>
          <w:tcPr>
            <w:tcW w:w="928"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8</w:t>
            </w:r>
          </w:p>
        </w:tc>
        <w:tc>
          <w:tcPr>
            <w:tcW w:w="144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吴鹏琪</w:t>
            </w:r>
          </w:p>
        </w:tc>
        <w:tc>
          <w:tcPr>
            <w:tcW w:w="72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男</w:t>
            </w:r>
          </w:p>
        </w:tc>
        <w:tc>
          <w:tcPr>
            <w:tcW w:w="378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工程师</w:t>
            </w:r>
          </w:p>
        </w:tc>
        <w:tc>
          <w:tcPr>
            <w:tcW w:w="2187" w:type="dxa"/>
            <w:vMerge w:val="continue"/>
            <w:noWrap w:val="0"/>
            <w:vAlign w:val="center"/>
          </w:tcPr>
          <w:p>
            <w:pPr>
              <w:spacing w:line="360" w:lineRule="exact"/>
              <w:jc w:val="center"/>
              <w:rPr>
                <w:rFonts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7" w:hRule="exact"/>
          <w:jc w:val="center"/>
        </w:trPr>
        <w:tc>
          <w:tcPr>
            <w:tcW w:w="928"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9</w:t>
            </w:r>
          </w:p>
        </w:tc>
        <w:tc>
          <w:tcPr>
            <w:tcW w:w="144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郭瑞峰</w:t>
            </w:r>
          </w:p>
        </w:tc>
        <w:tc>
          <w:tcPr>
            <w:tcW w:w="72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男</w:t>
            </w:r>
          </w:p>
        </w:tc>
        <w:tc>
          <w:tcPr>
            <w:tcW w:w="378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工程师</w:t>
            </w:r>
          </w:p>
        </w:tc>
        <w:tc>
          <w:tcPr>
            <w:tcW w:w="2187" w:type="dxa"/>
            <w:vMerge w:val="continue"/>
            <w:noWrap w:val="0"/>
            <w:vAlign w:val="center"/>
          </w:tcPr>
          <w:p>
            <w:pPr>
              <w:spacing w:line="360" w:lineRule="exact"/>
              <w:jc w:val="center"/>
              <w:rPr>
                <w:rFonts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7" w:hRule="exact"/>
          <w:jc w:val="center"/>
        </w:trPr>
        <w:tc>
          <w:tcPr>
            <w:tcW w:w="928"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10</w:t>
            </w:r>
          </w:p>
        </w:tc>
        <w:tc>
          <w:tcPr>
            <w:tcW w:w="144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戴耀强</w:t>
            </w:r>
          </w:p>
        </w:tc>
        <w:tc>
          <w:tcPr>
            <w:tcW w:w="72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男</w:t>
            </w:r>
          </w:p>
        </w:tc>
        <w:tc>
          <w:tcPr>
            <w:tcW w:w="378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助工</w:t>
            </w:r>
          </w:p>
        </w:tc>
        <w:tc>
          <w:tcPr>
            <w:tcW w:w="2187" w:type="dxa"/>
            <w:vMerge w:val="continue"/>
            <w:noWrap w:val="0"/>
            <w:vAlign w:val="center"/>
          </w:tcPr>
          <w:p>
            <w:pPr>
              <w:spacing w:line="360" w:lineRule="exact"/>
              <w:jc w:val="center"/>
              <w:rPr>
                <w:rFonts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7" w:hRule="exact"/>
          <w:jc w:val="center"/>
        </w:trPr>
        <w:tc>
          <w:tcPr>
            <w:tcW w:w="928"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11</w:t>
            </w:r>
          </w:p>
        </w:tc>
        <w:tc>
          <w:tcPr>
            <w:tcW w:w="144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孙文秋</w:t>
            </w:r>
          </w:p>
        </w:tc>
        <w:tc>
          <w:tcPr>
            <w:tcW w:w="720" w:type="dxa"/>
            <w:noWrap w:val="0"/>
            <w:vAlign w:val="center"/>
          </w:tcPr>
          <w:p>
            <w:pPr>
              <w:spacing w:line="360" w:lineRule="exact"/>
              <w:jc w:val="center"/>
              <w:rPr>
                <w:rFonts w:hint="eastAsia" w:eastAsia="仿宋_GB2312" w:cs="Times New Roman"/>
                <w:sz w:val="28"/>
                <w:szCs w:val="28"/>
                <w:lang w:eastAsia="zh-CN"/>
              </w:rPr>
            </w:pPr>
            <w:r>
              <w:rPr>
                <w:rFonts w:hint="eastAsia" w:eastAsia="仿宋_GB2312" w:cs="Times New Roman"/>
                <w:sz w:val="28"/>
                <w:szCs w:val="28"/>
                <w:lang w:eastAsia="zh-CN"/>
              </w:rPr>
              <w:t>女</w:t>
            </w:r>
          </w:p>
        </w:tc>
        <w:tc>
          <w:tcPr>
            <w:tcW w:w="378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高工</w:t>
            </w:r>
          </w:p>
        </w:tc>
        <w:tc>
          <w:tcPr>
            <w:tcW w:w="2187" w:type="dxa"/>
            <w:vMerge w:val="continue"/>
            <w:noWrap w:val="0"/>
            <w:vAlign w:val="center"/>
          </w:tcPr>
          <w:p>
            <w:pPr>
              <w:spacing w:line="360" w:lineRule="exact"/>
              <w:jc w:val="center"/>
              <w:rPr>
                <w:rFonts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7" w:hRule="exact"/>
          <w:jc w:val="center"/>
        </w:trPr>
        <w:tc>
          <w:tcPr>
            <w:tcW w:w="928"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12</w:t>
            </w:r>
          </w:p>
        </w:tc>
        <w:tc>
          <w:tcPr>
            <w:tcW w:w="144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 xml:space="preserve">陈 </w:t>
            </w:r>
            <w:r>
              <w:rPr>
                <w:rFonts w:hint="eastAsia" w:eastAsia="仿宋_GB2312" w:cs="Times New Roman"/>
                <w:sz w:val="28"/>
                <w:szCs w:val="28"/>
              </w:rPr>
              <w:t xml:space="preserve"> </w:t>
            </w:r>
            <w:r>
              <w:rPr>
                <w:rFonts w:eastAsia="仿宋_GB2312" w:cs="Times New Roman"/>
                <w:sz w:val="28"/>
                <w:szCs w:val="28"/>
              </w:rPr>
              <w:t>伟</w:t>
            </w:r>
          </w:p>
        </w:tc>
        <w:tc>
          <w:tcPr>
            <w:tcW w:w="72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男</w:t>
            </w:r>
          </w:p>
        </w:tc>
        <w:tc>
          <w:tcPr>
            <w:tcW w:w="378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高工</w:t>
            </w:r>
          </w:p>
        </w:tc>
        <w:tc>
          <w:tcPr>
            <w:tcW w:w="2187" w:type="dxa"/>
            <w:vMerge w:val="continue"/>
            <w:noWrap w:val="0"/>
            <w:vAlign w:val="center"/>
          </w:tcPr>
          <w:p>
            <w:pPr>
              <w:spacing w:line="360" w:lineRule="exact"/>
              <w:jc w:val="center"/>
              <w:rPr>
                <w:rFonts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7" w:hRule="exact"/>
          <w:jc w:val="center"/>
        </w:trPr>
        <w:tc>
          <w:tcPr>
            <w:tcW w:w="928"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13</w:t>
            </w:r>
          </w:p>
        </w:tc>
        <w:tc>
          <w:tcPr>
            <w:tcW w:w="144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黎上诗</w:t>
            </w:r>
          </w:p>
        </w:tc>
        <w:tc>
          <w:tcPr>
            <w:tcW w:w="720" w:type="dxa"/>
            <w:noWrap w:val="0"/>
            <w:vAlign w:val="center"/>
          </w:tcPr>
          <w:p>
            <w:pPr>
              <w:spacing w:line="360" w:lineRule="exact"/>
              <w:jc w:val="center"/>
              <w:rPr>
                <w:rFonts w:hint="eastAsia" w:eastAsia="仿宋_GB2312" w:cs="Times New Roman"/>
                <w:sz w:val="28"/>
                <w:szCs w:val="28"/>
                <w:lang w:eastAsia="zh-CN"/>
              </w:rPr>
            </w:pPr>
            <w:r>
              <w:rPr>
                <w:rFonts w:hint="eastAsia" w:eastAsia="仿宋_GB2312" w:cs="Times New Roman"/>
                <w:sz w:val="28"/>
                <w:szCs w:val="28"/>
                <w:lang w:eastAsia="zh-CN"/>
              </w:rPr>
              <w:t>女</w:t>
            </w:r>
          </w:p>
        </w:tc>
        <w:tc>
          <w:tcPr>
            <w:tcW w:w="378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工程师</w:t>
            </w:r>
          </w:p>
        </w:tc>
        <w:tc>
          <w:tcPr>
            <w:tcW w:w="2187" w:type="dxa"/>
            <w:vMerge w:val="continue"/>
            <w:noWrap w:val="0"/>
            <w:vAlign w:val="center"/>
          </w:tcPr>
          <w:p>
            <w:pPr>
              <w:spacing w:line="360" w:lineRule="exact"/>
              <w:jc w:val="center"/>
              <w:rPr>
                <w:rFonts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7" w:hRule="exact"/>
          <w:jc w:val="center"/>
        </w:trPr>
        <w:tc>
          <w:tcPr>
            <w:tcW w:w="928"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14</w:t>
            </w:r>
          </w:p>
        </w:tc>
        <w:tc>
          <w:tcPr>
            <w:tcW w:w="144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洪天柱</w:t>
            </w:r>
          </w:p>
        </w:tc>
        <w:tc>
          <w:tcPr>
            <w:tcW w:w="72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男</w:t>
            </w:r>
          </w:p>
        </w:tc>
        <w:tc>
          <w:tcPr>
            <w:tcW w:w="378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工程师</w:t>
            </w:r>
          </w:p>
        </w:tc>
        <w:tc>
          <w:tcPr>
            <w:tcW w:w="2187" w:type="dxa"/>
            <w:vMerge w:val="continue"/>
            <w:noWrap w:val="0"/>
            <w:vAlign w:val="center"/>
          </w:tcPr>
          <w:p>
            <w:pPr>
              <w:spacing w:line="360" w:lineRule="exact"/>
              <w:jc w:val="center"/>
              <w:rPr>
                <w:rFonts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7" w:hRule="exact"/>
          <w:jc w:val="center"/>
        </w:trPr>
        <w:tc>
          <w:tcPr>
            <w:tcW w:w="928"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15</w:t>
            </w:r>
          </w:p>
        </w:tc>
        <w:tc>
          <w:tcPr>
            <w:tcW w:w="144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林江禄</w:t>
            </w:r>
          </w:p>
        </w:tc>
        <w:tc>
          <w:tcPr>
            <w:tcW w:w="72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男</w:t>
            </w:r>
          </w:p>
        </w:tc>
        <w:tc>
          <w:tcPr>
            <w:tcW w:w="3780" w:type="dxa"/>
            <w:noWrap w:val="0"/>
            <w:vAlign w:val="center"/>
          </w:tcPr>
          <w:p>
            <w:pPr>
              <w:spacing w:line="360" w:lineRule="exact"/>
              <w:jc w:val="center"/>
              <w:rPr>
                <w:rFonts w:eastAsia="仿宋_GB2312" w:cs="Times New Roman"/>
                <w:sz w:val="28"/>
                <w:szCs w:val="28"/>
              </w:rPr>
            </w:pPr>
            <w:r>
              <w:rPr>
                <w:rFonts w:eastAsia="仿宋_GB2312" w:cs="Times New Roman"/>
                <w:sz w:val="28"/>
                <w:szCs w:val="28"/>
              </w:rPr>
              <w:t>工程师</w:t>
            </w:r>
          </w:p>
        </w:tc>
        <w:tc>
          <w:tcPr>
            <w:tcW w:w="2187" w:type="dxa"/>
            <w:vMerge w:val="continue"/>
            <w:noWrap w:val="0"/>
            <w:vAlign w:val="center"/>
          </w:tcPr>
          <w:p>
            <w:pPr>
              <w:spacing w:line="360" w:lineRule="exact"/>
              <w:jc w:val="center"/>
              <w:rPr>
                <w:rFonts w:eastAsia="仿宋_GB2312" w:cs="Times New Roman"/>
                <w:sz w:val="28"/>
                <w:szCs w:val="28"/>
              </w:rPr>
            </w:pPr>
          </w:p>
        </w:tc>
      </w:tr>
    </w:tbl>
    <w:p>
      <w:pPr>
        <w:spacing w:line="580" w:lineRule="exact"/>
        <w:rPr>
          <w:rFonts w:ascii="仿宋" w:hAnsi="仿宋" w:eastAsia="仿宋"/>
          <w:sz w:val="24"/>
        </w:rPr>
      </w:pPr>
    </w:p>
    <w:p>
      <w:pPr>
        <w:spacing w:line="580" w:lineRule="exact"/>
        <w:rPr>
          <w:rFonts w:hint="eastAsia" w:ascii="黑体" w:eastAsia="黑体"/>
          <w:sz w:val="32"/>
          <w:szCs w:val="32"/>
        </w:rPr>
      </w:pPr>
    </w:p>
    <w:p>
      <w:pPr>
        <w:spacing w:line="580" w:lineRule="exact"/>
        <w:rPr>
          <w:rFonts w:hint="eastAsia" w:ascii="黑体" w:eastAsia="黑体"/>
          <w:sz w:val="32"/>
          <w:szCs w:val="32"/>
        </w:rPr>
      </w:pPr>
      <w:r>
        <w:rPr>
          <w:rFonts w:hint="eastAsia" w:ascii="黑体" w:eastAsia="黑体"/>
          <w:sz w:val="32"/>
          <w:szCs w:val="32"/>
        </w:rPr>
        <w:t>附件2</w:t>
      </w:r>
    </w:p>
    <w:p>
      <w:pPr>
        <w:spacing w:line="580" w:lineRule="exact"/>
        <w:rPr>
          <w:rFonts w:hint="eastAsia"/>
        </w:rPr>
      </w:pPr>
    </w:p>
    <w:p>
      <w:pPr>
        <w:spacing w:line="580" w:lineRule="exact"/>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2023年度市本级监督水利在建工程质量安全</w:t>
      </w:r>
    </w:p>
    <w:p>
      <w:pPr>
        <w:spacing w:line="580" w:lineRule="exact"/>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“双随机</w:t>
      </w:r>
      <w:r>
        <w:rPr>
          <w:rFonts w:hint="eastAsia" w:ascii="方正小标宋简体" w:hAnsi="宋体" w:eastAsia="方正小标宋简体"/>
          <w:bCs/>
          <w:sz w:val="44"/>
          <w:szCs w:val="44"/>
          <w:lang w:eastAsia="zh-CN"/>
        </w:rPr>
        <w:t>、</w:t>
      </w:r>
      <w:r>
        <w:rPr>
          <w:rFonts w:hint="eastAsia" w:ascii="方正小标宋简体" w:hAnsi="宋体" w:eastAsia="方正小标宋简体"/>
          <w:bCs/>
          <w:sz w:val="44"/>
          <w:szCs w:val="44"/>
        </w:rPr>
        <w:t>一公开”抽查对象目录</w:t>
      </w:r>
    </w:p>
    <w:p>
      <w:pPr>
        <w:spacing w:line="580" w:lineRule="exact"/>
        <w:rPr>
          <w:rFonts w:ascii="仿宋" w:hAnsi="仿宋" w:eastAsia="仿宋"/>
          <w:sz w:val="24"/>
        </w:rPr>
      </w:pPr>
    </w:p>
    <w:tbl>
      <w:tblPr>
        <w:tblStyle w:val="2"/>
        <w:tblW w:w="888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47"/>
        <w:gridCol w:w="6387"/>
        <w:gridCol w:w="145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3" w:hRule="atLeast"/>
          <w:jc w:val="center"/>
        </w:trPr>
        <w:tc>
          <w:tcPr>
            <w:tcW w:w="1047" w:type="dxa"/>
            <w:noWrap w:val="0"/>
            <w:vAlign w:val="center"/>
          </w:tcPr>
          <w:p>
            <w:pPr>
              <w:spacing w:line="400" w:lineRule="exact"/>
              <w:jc w:val="center"/>
              <w:rPr>
                <w:rFonts w:eastAsia="仿宋_GB2312" w:cs="Times New Roman"/>
                <w:sz w:val="28"/>
                <w:szCs w:val="28"/>
              </w:rPr>
            </w:pPr>
            <w:bookmarkStart w:id="0" w:name="_Hlk112166299"/>
            <w:r>
              <w:rPr>
                <w:rFonts w:eastAsia="仿宋_GB2312" w:cs="Times New Roman"/>
                <w:sz w:val="28"/>
                <w:szCs w:val="28"/>
              </w:rPr>
              <w:t>序号</w:t>
            </w:r>
          </w:p>
        </w:tc>
        <w:tc>
          <w:tcPr>
            <w:tcW w:w="6387" w:type="dxa"/>
            <w:noWrap w:val="0"/>
            <w:vAlign w:val="center"/>
          </w:tcPr>
          <w:p>
            <w:pPr>
              <w:spacing w:line="400" w:lineRule="exact"/>
              <w:jc w:val="center"/>
              <w:rPr>
                <w:rFonts w:eastAsia="仿宋_GB2312" w:cs="Times New Roman"/>
                <w:sz w:val="28"/>
                <w:szCs w:val="28"/>
              </w:rPr>
            </w:pPr>
            <w:r>
              <w:rPr>
                <w:rFonts w:eastAsia="仿宋_GB2312" w:cs="Times New Roman"/>
                <w:sz w:val="28"/>
                <w:szCs w:val="28"/>
              </w:rPr>
              <w:t>项</w:t>
            </w:r>
            <w:r>
              <w:rPr>
                <w:rFonts w:hint="eastAsia" w:eastAsia="仿宋_GB2312" w:cs="Times New Roman"/>
                <w:sz w:val="28"/>
                <w:szCs w:val="28"/>
              </w:rPr>
              <w:t xml:space="preserve">  </w:t>
            </w:r>
            <w:r>
              <w:rPr>
                <w:rFonts w:eastAsia="仿宋_GB2312" w:cs="Times New Roman"/>
                <w:sz w:val="28"/>
                <w:szCs w:val="28"/>
              </w:rPr>
              <w:t>目</w:t>
            </w:r>
            <w:r>
              <w:rPr>
                <w:rFonts w:hint="eastAsia" w:eastAsia="仿宋_GB2312" w:cs="Times New Roman"/>
                <w:sz w:val="28"/>
                <w:szCs w:val="28"/>
              </w:rPr>
              <w:t xml:space="preserve">  </w:t>
            </w:r>
            <w:r>
              <w:rPr>
                <w:rFonts w:eastAsia="仿宋_GB2312" w:cs="Times New Roman"/>
                <w:sz w:val="28"/>
                <w:szCs w:val="28"/>
              </w:rPr>
              <w:t>名</w:t>
            </w:r>
            <w:r>
              <w:rPr>
                <w:rFonts w:hint="eastAsia" w:eastAsia="仿宋_GB2312" w:cs="Times New Roman"/>
                <w:sz w:val="28"/>
                <w:szCs w:val="28"/>
              </w:rPr>
              <w:t xml:space="preserve">  </w:t>
            </w:r>
            <w:r>
              <w:rPr>
                <w:rFonts w:eastAsia="仿宋_GB2312" w:cs="Times New Roman"/>
                <w:sz w:val="28"/>
                <w:szCs w:val="28"/>
              </w:rPr>
              <w:t>称</w:t>
            </w:r>
          </w:p>
        </w:tc>
        <w:tc>
          <w:tcPr>
            <w:tcW w:w="1453" w:type="dxa"/>
            <w:noWrap w:val="0"/>
            <w:vAlign w:val="center"/>
          </w:tcPr>
          <w:p>
            <w:pPr>
              <w:spacing w:line="400" w:lineRule="exact"/>
              <w:jc w:val="center"/>
              <w:rPr>
                <w:rFonts w:eastAsia="仿宋_GB2312" w:cs="Times New Roman"/>
                <w:sz w:val="28"/>
                <w:szCs w:val="28"/>
              </w:rPr>
            </w:pPr>
            <w:r>
              <w:rPr>
                <w:rFonts w:eastAsia="仿宋_GB2312" w:cs="Times New Roman"/>
                <w:sz w:val="28"/>
                <w:szCs w:val="28"/>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1" w:hRule="exact"/>
          <w:jc w:val="center"/>
        </w:trPr>
        <w:tc>
          <w:tcPr>
            <w:tcW w:w="1047" w:type="dxa"/>
            <w:noWrap w:val="0"/>
            <w:vAlign w:val="center"/>
          </w:tcPr>
          <w:p>
            <w:pPr>
              <w:spacing w:line="400" w:lineRule="exact"/>
              <w:jc w:val="center"/>
              <w:rPr>
                <w:rFonts w:eastAsia="仿宋_GB2312" w:cs="Times New Roman"/>
                <w:sz w:val="28"/>
                <w:szCs w:val="28"/>
              </w:rPr>
            </w:pPr>
            <w:r>
              <w:rPr>
                <w:rFonts w:eastAsia="仿宋_GB2312" w:cs="Times New Roman"/>
                <w:sz w:val="28"/>
                <w:szCs w:val="28"/>
              </w:rPr>
              <w:t>1</w:t>
            </w:r>
          </w:p>
        </w:tc>
        <w:tc>
          <w:tcPr>
            <w:tcW w:w="6387" w:type="dxa"/>
            <w:noWrap w:val="0"/>
            <w:vAlign w:val="center"/>
          </w:tcPr>
          <w:p>
            <w:pPr>
              <w:widowControl/>
              <w:spacing w:line="400" w:lineRule="exact"/>
              <w:jc w:val="left"/>
              <w:rPr>
                <w:rFonts w:eastAsia="仿宋_GB2312" w:cs="Times New Roman"/>
                <w:spacing w:val="-6"/>
                <w:sz w:val="28"/>
                <w:szCs w:val="28"/>
              </w:rPr>
            </w:pPr>
            <w:r>
              <w:rPr>
                <w:rFonts w:eastAsia="仿宋_GB2312" w:cs="Times New Roman"/>
                <w:spacing w:val="-6"/>
                <w:sz w:val="28"/>
                <w:szCs w:val="28"/>
              </w:rPr>
              <w:t>福建省泉州白濑水利枢纽工程主体工程土建标C2标</w:t>
            </w:r>
          </w:p>
        </w:tc>
        <w:tc>
          <w:tcPr>
            <w:tcW w:w="1453" w:type="dxa"/>
            <w:noWrap w:val="0"/>
            <w:vAlign w:val="center"/>
          </w:tcPr>
          <w:p>
            <w:pPr>
              <w:spacing w:line="580" w:lineRule="exact"/>
              <w:jc w:val="center"/>
              <w:rPr>
                <w:rFonts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1" w:hRule="exact"/>
          <w:jc w:val="center"/>
        </w:trPr>
        <w:tc>
          <w:tcPr>
            <w:tcW w:w="1047" w:type="dxa"/>
            <w:noWrap w:val="0"/>
            <w:vAlign w:val="center"/>
          </w:tcPr>
          <w:p>
            <w:pPr>
              <w:spacing w:line="400" w:lineRule="exact"/>
              <w:jc w:val="center"/>
              <w:rPr>
                <w:rFonts w:eastAsia="仿宋_GB2312" w:cs="Times New Roman"/>
                <w:sz w:val="28"/>
                <w:szCs w:val="28"/>
              </w:rPr>
            </w:pPr>
            <w:r>
              <w:rPr>
                <w:rFonts w:eastAsia="仿宋_GB2312" w:cs="Times New Roman"/>
                <w:sz w:val="28"/>
                <w:szCs w:val="28"/>
              </w:rPr>
              <w:t>2</w:t>
            </w:r>
          </w:p>
        </w:tc>
        <w:tc>
          <w:tcPr>
            <w:tcW w:w="6387" w:type="dxa"/>
            <w:noWrap w:val="0"/>
            <w:vAlign w:val="center"/>
          </w:tcPr>
          <w:p>
            <w:pPr>
              <w:spacing w:line="400" w:lineRule="exact"/>
              <w:rPr>
                <w:rFonts w:eastAsia="仿宋_GB2312" w:cs="Times New Roman"/>
                <w:sz w:val="28"/>
                <w:szCs w:val="28"/>
              </w:rPr>
            </w:pPr>
            <w:r>
              <w:rPr>
                <w:rFonts w:eastAsia="仿宋_GB2312" w:cs="Times New Roman"/>
                <w:sz w:val="28"/>
                <w:szCs w:val="28"/>
              </w:rPr>
              <w:t>金门供水水源保障</w:t>
            </w:r>
            <w:bookmarkStart w:id="1" w:name="_GoBack"/>
            <w:bookmarkEnd w:id="1"/>
            <w:r>
              <w:rPr>
                <w:rFonts w:eastAsia="仿宋_GB2312" w:cs="Times New Roman"/>
                <w:sz w:val="28"/>
                <w:szCs w:val="28"/>
              </w:rPr>
              <w:t>工程（溪边至龙湖段）</w:t>
            </w:r>
          </w:p>
        </w:tc>
        <w:tc>
          <w:tcPr>
            <w:tcW w:w="1453" w:type="dxa"/>
            <w:noWrap w:val="0"/>
            <w:vAlign w:val="center"/>
          </w:tcPr>
          <w:p>
            <w:pPr>
              <w:spacing w:line="580" w:lineRule="exact"/>
              <w:jc w:val="center"/>
              <w:rPr>
                <w:rFonts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1" w:hRule="exact"/>
          <w:jc w:val="center"/>
        </w:trPr>
        <w:tc>
          <w:tcPr>
            <w:tcW w:w="1047" w:type="dxa"/>
            <w:noWrap w:val="0"/>
            <w:vAlign w:val="center"/>
          </w:tcPr>
          <w:p>
            <w:pPr>
              <w:spacing w:line="400" w:lineRule="exact"/>
              <w:jc w:val="center"/>
              <w:rPr>
                <w:rFonts w:eastAsia="仿宋_GB2312" w:cs="Times New Roman"/>
                <w:sz w:val="28"/>
                <w:szCs w:val="28"/>
              </w:rPr>
            </w:pPr>
            <w:r>
              <w:rPr>
                <w:rFonts w:eastAsia="仿宋_GB2312" w:cs="Times New Roman"/>
                <w:sz w:val="28"/>
                <w:szCs w:val="28"/>
              </w:rPr>
              <w:t>3</w:t>
            </w:r>
          </w:p>
        </w:tc>
        <w:tc>
          <w:tcPr>
            <w:tcW w:w="6387" w:type="dxa"/>
            <w:noWrap w:val="0"/>
            <w:vAlign w:val="center"/>
          </w:tcPr>
          <w:p>
            <w:pPr>
              <w:spacing w:line="400" w:lineRule="exact"/>
              <w:rPr>
                <w:rFonts w:eastAsia="仿宋_GB2312" w:cs="Times New Roman"/>
                <w:sz w:val="28"/>
                <w:szCs w:val="28"/>
              </w:rPr>
            </w:pPr>
            <w:r>
              <w:rPr>
                <w:rFonts w:eastAsia="仿宋_GB2312" w:cs="Times New Roman"/>
                <w:sz w:val="28"/>
                <w:szCs w:val="28"/>
              </w:rPr>
              <w:t>北高干渠功能调整输水工程C1标</w:t>
            </w:r>
          </w:p>
        </w:tc>
        <w:tc>
          <w:tcPr>
            <w:tcW w:w="1453" w:type="dxa"/>
            <w:noWrap w:val="0"/>
            <w:vAlign w:val="center"/>
          </w:tcPr>
          <w:p>
            <w:pPr>
              <w:spacing w:line="580" w:lineRule="exact"/>
              <w:jc w:val="center"/>
              <w:rPr>
                <w:rFonts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1" w:hRule="exact"/>
          <w:jc w:val="center"/>
        </w:trPr>
        <w:tc>
          <w:tcPr>
            <w:tcW w:w="1047" w:type="dxa"/>
            <w:noWrap w:val="0"/>
            <w:vAlign w:val="center"/>
          </w:tcPr>
          <w:p>
            <w:pPr>
              <w:spacing w:line="400" w:lineRule="exact"/>
              <w:jc w:val="center"/>
              <w:rPr>
                <w:rFonts w:eastAsia="仿宋_GB2312" w:cs="Times New Roman"/>
                <w:sz w:val="28"/>
                <w:szCs w:val="28"/>
              </w:rPr>
            </w:pPr>
            <w:r>
              <w:rPr>
                <w:rFonts w:eastAsia="仿宋_GB2312" w:cs="Times New Roman"/>
                <w:sz w:val="28"/>
                <w:szCs w:val="28"/>
              </w:rPr>
              <w:t>4</w:t>
            </w:r>
          </w:p>
        </w:tc>
        <w:tc>
          <w:tcPr>
            <w:tcW w:w="6387" w:type="dxa"/>
            <w:noWrap w:val="0"/>
            <w:vAlign w:val="center"/>
          </w:tcPr>
          <w:p>
            <w:pPr>
              <w:spacing w:line="400" w:lineRule="exact"/>
              <w:rPr>
                <w:rFonts w:eastAsia="仿宋_GB2312" w:cs="Times New Roman"/>
                <w:sz w:val="28"/>
                <w:szCs w:val="28"/>
              </w:rPr>
            </w:pPr>
            <w:r>
              <w:rPr>
                <w:rFonts w:eastAsia="仿宋_GB2312" w:cs="Times New Roman"/>
                <w:sz w:val="28"/>
                <w:szCs w:val="28"/>
              </w:rPr>
              <w:t>南高干渠供水替代工程N1标段</w:t>
            </w:r>
          </w:p>
        </w:tc>
        <w:tc>
          <w:tcPr>
            <w:tcW w:w="1453" w:type="dxa"/>
            <w:noWrap w:val="0"/>
            <w:vAlign w:val="center"/>
          </w:tcPr>
          <w:p>
            <w:pPr>
              <w:spacing w:line="580" w:lineRule="exact"/>
              <w:jc w:val="center"/>
              <w:rPr>
                <w:rFonts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88" w:hRule="exact"/>
          <w:jc w:val="center"/>
        </w:trPr>
        <w:tc>
          <w:tcPr>
            <w:tcW w:w="1047" w:type="dxa"/>
            <w:noWrap w:val="0"/>
            <w:vAlign w:val="center"/>
          </w:tcPr>
          <w:p>
            <w:pPr>
              <w:spacing w:line="400" w:lineRule="exact"/>
              <w:jc w:val="center"/>
              <w:rPr>
                <w:rFonts w:eastAsia="仿宋_GB2312" w:cs="Times New Roman"/>
                <w:sz w:val="28"/>
                <w:szCs w:val="28"/>
              </w:rPr>
            </w:pPr>
            <w:r>
              <w:rPr>
                <w:rFonts w:eastAsia="仿宋_GB2312" w:cs="Times New Roman"/>
                <w:sz w:val="28"/>
                <w:szCs w:val="28"/>
              </w:rPr>
              <w:t>5</w:t>
            </w:r>
          </w:p>
        </w:tc>
        <w:tc>
          <w:tcPr>
            <w:tcW w:w="6387" w:type="dxa"/>
            <w:noWrap w:val="0"/>
            <w:vAlign w:val="center"/>
          </w:tcPr>
          <w:p>
            <w:pPr>
              <w:spacing w:line="400" w:lineRule="exact"/>
              <w:rPr>
                <w:rFonts w:eastAsia="仿宋_GB2312" w:cs="Times New Roman"/>
                <w:sz w:val="28"/>
                <w:szCs w:val="28"/>
              </w:rPr>
            </w:pPr>
            <w:r>
              <w:rPr>
                <w:rFonts w:eastAsia="仿宋_GB2312" w:cs="Times New Roman"/>
                <w:sz w:val="28"/>
                <w:szCs w:val="28"/>
              </w:rPr>
              <w:t>山美大型灌区续建配套与现代化改造工程</w:t>
            </w:r>
            <w:r>
              <w:rPr>
                <w:rFonts w:hint="eastAsia" w:ascii="仿宋_GB2312" w:eastAsia="仿宋_GB2312" w:cs="Times New Roman"/>
                <w:sz w:val="28"/>
                <w:szCs w:val="28"/>
              </w:rPr>
              <w:t>－</w:t>
            </w:r>
            <w:r>
              <w:rPr>
                <w:rFonts w:eastAsia="仿宋_GB2312" w:cs="Times New Roman"/>
                <w:sz w:val="28"/>
                <w:szCs w:val="28"/>
              </w:rPr>
              <w:t>玉田分渠改造工程</w:t>
            </w:r>
          </w:p>
        </w:tc>
        <w:tc>
          <w:tcPr>
            <w:tcW w:w="1453" w:type="dxa"/>
            <w:noWrap w:val="0"/>
            <w:vAlign w:val="center"/>
          </w:tcPr>
          <w:p>
            <w:pPr>
              <w:spacing w:line="580" w:lineRule="exact"/>
              <w:jc w:val="center"/>
              <w:rPr>
                <w:rFonts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1" w:hRule="exact"/>
          <w:jc w:val="center"/>
        </w:trPr>
        <w:tc>
          <w:tcPr>
            <w:tcW w:w="1047" w:type="dxa"/>
            <w:noWrap w:val="0"/>
            <w:vAlign w:val="center"/>
          </w:tcPr>
          <w:p>
            <w:pPr>
              <w:spacing w:line="400" w:lineRule="exact"/>
              <w:jc w:val="center"/>
              <w:rPr>
                <w:rFonts w:eastAsia="仿宋_GB2312" w:cs="Times New Roman"/>
                <w:sz w:val="28"/>
                <w:szCs w:val="28"/>
              </w:rPr>
            </w:pPr>
            <w:r>
              <w:rPr>
                <w:rFonts w:eastAsia="仿宋_GB2312" w:cs="Times New Roman"/>
                <w:sz w:val="28"/>
                <w:szCs w:val="28"/>
              </w:rPr>
              <w:t>6</w:t>
            </w:r>
          </w:p>
        </w:tc>
        <w:tc>
          <w:tcPr>
            <w:tcW w:w="6387" w:type="dxa"/>
            <w:noWrap w:val="0"/>
            <w:vAlign w:val="center"/>
          </w:tcPr>
          <w:p>
            <w:pPr>
              <w:spacing w:line="400" w:lineRule="exact"/>
              <w:rPr>
                <w:rFonts w:eastAsia="仿宋_GB2312" w:cs="Times New Roman"/>
                <w:sz w:val="28"/>
                <w:szCs w:val="28"/>
              </w:rPr>
            </w:pPr>
            <w:r>
              <w:rPr>
                <w:rFonts w:eastAsia="仿宋_GB2312" w:cs="Times New Roman"/>
                <w:sz w:val="28"/>
                <w:szCs w:val="28"/>
              </w:rPr>
              <w:t>永春县马跳水库水利工程</w:t>
            </w:r>
          </w:p>
        </w:tc>
        <w:tc>
          <w:tcPr>
            <w:tcW w:w="1453" w:type="dxa"/>
            <w:noWrap w:val="0"/>
            <w:vAlign w:val="center"/>
          </w:tcPr>
          <w:p>
            <w:pPr>
              <w:spacing w:line="580" w:lineRule="exact"/>
              <w:jc w:val="center"/>
              <w:rPr>
                <w:rFonts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1" w:hRule="exact"/>
          <w:jc w:val="center"/>
        </w:trPr>
        <w:tc>
          <w:tcPr>
            <w:tcW w:w="1047" w:type="dxa"/>
            <w:noWrap w:val="0"/>
            <w:vAlign w:val="center"/>
          </w:tcPr>
          <w:p>
            <w:pPr>
              <w:spacing w:line="400" w:lineRule="exact"/>
              <w:jc w:val="center"/>
              <w:rPr>
                <w:rFonts w:eastAsia="仿宋_GB2312" w:cs="Times New Roman"/>
                <w:sz w:val="28"/>
                <w:szCs w:val="28"/>
              </w:rPr>
            </w:pPr>
            <w:r>
              <w:rPr>
                <w:rFonts w:eastAsia="仿宋_GB2312" w:cs="Times New Roman"/>
                <w:sz w:val="28"/>
                <w:szCs w:val="28"/>
              </w:rPr>
              <w:t>7</w:t>
            </w:r>
          </w:p>
        </w:tc>
        <w:tc>
          <w:tcPr>
            <w:tcW w:w="6387" w:type="dxa"/>
            <w:noWrap w:val="0"/>
            <w:vAlign w:val="center"/>
          </w:tcPr>
          <w:p>
            <w:pPr>
              <w:spacing w:line="400" w:lineRule="exact"/>
              <w:rPr>
                <w:rFonts w:eastAsia="仿宋_GB2312" w:cs="Times New Roman"/>
                <w:sz w:val="28"/>
                <w:szCs w:val="28"/>
              </w:rPr>
            </w:pPr>
            <w:r>
              <w:rPr>
                <w:rFonts w:eastAsia="仿宋_GB2312" w:cs="Times New Roman"/>
                <w:sz w:val="28"/>
                <w:szCs w:val="28"/>
              </w:rPr>
              <w:t>闽江防洪工程德化段（二期）</w:t>
            </w:r>
          </w:p>
        </w:tc>
        <w:tc>
          <w:tcPr>
            <w:tcW w:w="1453" w:type="dxa"/>
            <w:noWrap w:val="0"/>
            <w:vAlign w:val="center"/>
          </w:tcPr>
          <w:p>
            <w:pPr>
              <w:spacing w:line="580" w:lineRule="exact"/>
              <w:jc w:val="center"/>
              <w:rPr>
                <w:rFonts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1" w:hRule="exact"/>
          <w:jc w:val="center"/>
        </w:trPr>
        <w:tc>
          <w:tcPr>
            <w:tcW w:w="1047" w:type="dxa"/>
            <w:noWrap w:val="0"/>
            <w:vAlign w:val="center"/>
          </w:tcPr>
          <w:p>
            <w:pPr>
              <w:spacing w:line="400" w:lineRule="exact"/>
              <w:jc w:val="center"/>
              <w:rPr>
                <w:rFonts w:eastAsia="仿宋_GB2312" w:cs="Times New Roman"/>
                <w:sz w:val="28"/>
                <w:szCs w:val="28"/>
              </w:rPr>
            </w:pPr>
            <w:r>
              <w:rPr>
                <w:rFonts w:eastAsia="仿宋_GB2312" w:cs="Times New Roman"/>
                <w:sz w:val="28"/>
                <w:szCs w:val="28"/>
              </w:rPr>
              <w:t>8</w:t>
            </w:r>
          </w:p>
        </w:tc>
        <w:tc>
          <w:tcPr>
            <w:tcW w:w="6387" w:type="dxa"/>
            <w:noWrap w:val="0"/>
            <w:vAlign w:val="center"/>
          </w:tcPr>
          <w:p>
            <w:pPr>
              <w:spacing w:line="400" w:lineRule="exact"/>
              <w:rPr>
                <w:rFonts w:eastAsia="仿宋_GB2312" w:cs="Times New Roman"/>
                <w:sz w:val="28"/>
                <w:szCs w:val="28"/>
              </w:rPr>
            </w:pPr>
            <w:r>
              <w:rPr>
                <w:rFonts w:eastAsia="仿宋_GB2312" w:cs="Times New Roman"/>
                <w:sz w:val="28"/>
                <w:szCs w:val="28"/>
              </w:rPr>
              <w:t>泉州市惠安县外走马埭海堤提级加固工程</w:t>
            </w:r>
          </w:p>
        </w:tc>
        <w:tc>
          <w:tcPr>
            <w:tcW w:w="1453" w:type="dxa"/>
            <w:noWrap w:val="0"/>
            <w:vAlign w:val="center"/>
          </w:tcPr>
          <w:p>
            <w:pPr>
              <w:spacing w:line="580" w:lineRule="exact"/>
              <w:jc w:val="center"/>
              <w:rPr>
                <w:rFonts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1" w:hRule="exact"/>
          <w:jc w:val="center"/>
        </w:trPr>
        <w:tc>
          <w:tcPr>
            <w:tcW w:w="1047" w:type="dxa"/>
            <w:noWrap w:val="0"/>
            <w:vAlign w:val="center"/>
          </w:tcPr>
          <w:p>
            <w:pPr>
              <w:spacing w:line="400" w:lineRule="exact"/>
              <w:jc w:val="center"/>
              <w:rPr>
                <w:rFonts w:eastAsia="仿宋_GB2312" w:cs="Times New Roman"/>
                <w:sz w:val="28"/>
                <w:szCs w:val="28"/>
              </w:rPr>
            </w:pPr>
            <w:r>
              <w:rPr>
                <w:rFonts w:eastAsia="仿宋_GB2312" w:cs="Times New Roman"/>
                <w:sz w:val="28"/>
                <w:szCs w:val="28"/>
              </w:rPr>
              <w:t>9</w:t>
            </w:r>
          </w:p>
        </w:tc>
        <w:tc>
          <w:tcPr>
            <w:tcW w:w="6387" w:type="dxa"/>
            <w:noWrap w:val="0"/>
            <w:vAlign w:val="center"/>
          </w:tcPr>
          <w:p>
            <w:pPr>
              <w:spacing w:line="400" w:lineRule="exact"/>
              <w:rPr>
                <w:rFonts w:eastAsia="仿宋_GB2312" w:cs="Times New Roman"/>
                <w:sz w:val="28"/>
                <w:szCs w:val="28"/>
              </w:rPr>
            </w:pPr>
            <w:r>
              <w:rPr>
                <w:rFonts w:eastAsia="仿宋_GB2312" w:cs="Times New Roman"/>
                <w:sz w:val="28"/>
                <w:szCs w:val="28"/>
              </w:rPr>
              <w:t>泉州台商投资区七一水闸除险加固工程</w:t>
            </w:r>
          </w:p>
        </w:tc>
        <w:tc>
          <w:tcPr>
            <w:tcW w:w="1453" w:type="dxa"/>
            <w:noWrap w:val="0"/>
            <w:vAlign w:val="center"/>
          </w:tcPr>
          <w:p>
            <w:pPr>
              <w:spacing w:line="580" w:lineRule="exact"/>
              <w:jc w:val="center"/>
              <w:rPr>
                <w:rFonts w:eastAsia="仿宋_GB2312" w:cs="Times New Roman"/>
                <w:sz w:val="28"/>
                <w:szCs w:val="28"/>
              </w:rPr>
            </w:pPr>
          </w:p>
        </w:tc>
      </w:tr>
      <w:bookmarkEnd w:id="0"/>
    </w:tbl>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NGU4MjM3NzRmMmE5NTYyZDQzZGY3YmU4NGExMzIifQ=="/>
  </w:docVars>
  <w:rsids>
    <w:rsidRoot w:val="600179D5"/>
    <w:rsid w:val="108F3CF2"/>
    <w:rsid w:val="60017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2023-11-02T09:39:00Z</dcterms:created>
  <dc:creator>杨明坤</dc:creator>
  <cp:lastModifiedBy>Administrator</cp:lastModifiedBy>
  <dcterms:modified xsi:type="dcterms:W3CDTF">2024-04-07T08:18:52Z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162BC1A156B54C4580F1B24D644BB093_11</vt:lpwstr>
  </property>
</Properties>
</file>