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0" w:firstLineChars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附件4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highlight w:val="none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highlight w:val="none"/>
          <w:u w:val="none"/>
          <w:lang w:val="en-US" w:eastAsia="zh-CN" w:bidi="ar"/>
        </w:rPr>
        <w:t>基本医疗保险学生意外伤害门诊特殊病种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highlight w:val="none"/>
          <w:u w:val="none"/>
          <w:lang w:val="en-US" w:eastAsia="zh-CN" w:bidi="ar"/>
        </w:rPr>
        <w:t>管理暂行办法</w:t>
      </w:r>
    </w:p>
    <w:bookmarkEnd w:id="0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632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为了加强对学生意外伤害门诊治疗的管理，保障其基本医疗待遇，制定本暂行管理办法。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632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一、学生意外伤害门诊治疗的适用范围和确认程序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632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（一）适用范围。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学生意外伤害包括具有我省学籍的参保在校生（含托儿所、幼儿园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学生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），因突发的、外来的意外事故造成的急性期的直接非疾病伤害。依法应由特定责任人承担的除外。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4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（二）确认程序。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经承诺无特定责任人后，应由经基本医疗保险经办机构确认的各级医疗机构主治（含）以上医师诊断并填写《门诊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慢特病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病种待遇认定申请表》，医院负责医疗保险管理的科室审核盖章，并经当地医保经办机构确认。有条件的地市可委托具备相关资质的医保定点医疗机构予以办理。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（三）办理材料。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《门诊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慢特病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病种待遇认定申请表》；《外伤无第三方责任承诺书》；相关的病历资料或检查检验报告或疾病诊断文书。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right="0" w:rightChars="0" w:firstLine="632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u w:val="none"/>
          <w:lang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二、费用支付办法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学生意外伤害门诊治疗的费用，超过基本医疗保险门诊特殊病种统筹基金起付标准以上的部分的，按基本医疗保险有关规定执行。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color w:val="000000"/>
          <w:highlight w:val="none"/>
          <w:u w:val="non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1587" w:footer="1587" w:gutter="0"/>
          <w:pgNumType w:fmt="numberInDash"/>
          <w:cols w:space="720" w:num="1"/>
          <w:rtlGutter w:val="0"/>
          <w:docGrid w:type="linesAndChars" w:linePitch="607" w:charSpace="-102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360"/>
      <w:jc w:val="center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280" w:firstLineChars="100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GJmZmVkMTVkM2U2NTVlNDEyMTJiYTZhZDAxMzYifQ=="/>
  </w:docVars>
  <w:rsids>
    <w:rsidRoot w:val="43FA420F"/>
    <w:rsid w:val="43FA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2023-10-31T01:29:00Z</dcterms:created>
  <dc:creator>洪奕芳</dc:creator>
  <cp:lastModifiedBy>洪奕芳</cp:lastModifiedBy>
  <dcterms:modified xsi:type="dcterms:W3CDTF">2023-10-31T01:29:30Z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7567F262FE2D46E28F802C9CCC23ED95_11</vt:lpwstr>
  </property>
</Properties>
</file>