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sz w:val="44"/>
          <w:szCs w:val="44"/>
          <w:lang w:val="en-US" w:eastAsia="zh-CN"/>
        </w:rPr>
      </w:pPr>
      <w:bookmarkStart w:id="0" w:name="_GoBack"/>
      <w:bookmarkEnd w:id="0"/>
      <w:r>
        <w:rPr>
          <w:rFonts w:hint="eastAsia" w:ascii="Times New Roman" w:hAnsi="Times New Roman" w:eastAsia="方正小标宋简体" w:cs="Times New Roman"/>
          <w:b w:val="0"/>
          <w:bCs/>
          <w:sz w:val="44"/>
          <w:szCs w:val="44"/>
          <w:lang w:val="en-US" w:eastAsia="zh-CN"/>
        </w:rPr>
        <w:t>泉州市行政服务中心管委会建立四大机制</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推进“抓城建提品质”专项行动项目审批</w:t>
      </w:r>
    </w:p>
    <w:p>
      <w:pPr>
        <w:keepNext w:val="0"/>
        <w:keepLines w:val="0"/>
        <w:pageBreakBefore w:val="0"/>
        <w:widowControl w:val="0"/>
        <w:numPr>
          <w:ilvl w:val="0"/>
          <w:numId w:val="0"/>
        </w:numPr>
        <w:kinsoku/>
        <w:wordWrap/>
        <w:overflowPunct/>
        <w:topLinePunct w:val="0"/>
        <w:autoSpaceDE/>
        <w:autoSpaceDN/>
        <w:bidi w:val="0"/>
        <w:adjustRightInd/>
        <w:spacing w:line="620" w:lineRule="exact"/>
        <w:jc w:val="center"/>
        <w:textAlignment w:val="auto"/>
        <w:rPr>
          <w:rFonts w:hint="default" w:ascii="Times New Roman" w:hAnsi="Times New Roman" w:eastAsia="仿宋_GB2312" w:cs="Times New Roman"/>
          <w:b/>
          <w:bCs/>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2022年11月22日</w:t>
      </w:r>
    </w:p>
    <w:p>
      <w:pPr>
        <w:pStyle w:val="2"/>
        <w:keepNext w:val="0"/>
        <w:keepLines w:val="0"/>
        <w:pageBreakBefore w:val="0"/>
        <w:widowControl w:val="0"/>
        <w:kinsoku/>
        <w:wordWrap/>
        <w:overflowPunct/>
        <w:topLinePunct w:val="0"/>
        <w:autoSpaceDE/>
        <w:autoSpaceDN/>
        <w:bidi w:val="0"/>
        <w:adjustRightInd/>
        <w:spacing w:line="62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一、背景情况</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为进一步贯彻省委“提高效率、提升效能、提增效益”部署，实施“强产业、兴城市”</w:t>
      </w:r>
      <w:r>
        <w:rPr>
          <w:rFonts w:hint="eastAsia" w:ascii="Times New Roman" w:hAnsi="Times New Roman" w:eastAsia="仿宋_GB2312" w:cs="Times New Roman"/>
          <w:b w:val="0"/>
          <w:bCs w:val="0"/>
          <w:color w:val="auto"/>
          <w:spacing w:val="0"/>
          <w:sz w:val="32"/>
          <w:szCs w:val="32"/>
          <w:highlight w:val="none"/>
          <w:lang w:val="en-US" w:eastAsia="zh-CN"/>
        </w:rPr>
        <w:t>双轮驱动，促进工程建设项目落地开工，</w:t>
      </w:r>
      <w:r>
        <w:rPr>
          <w:rFonts w:hint="eastAsia" w:ascii="Times New Roman" w:hAnsi="Times New Roman" w:eastAsia="仿宋_GB2312" w:cs="Times New Roman"/>
          <w:b w:val="0"/>
          <w:bCs w:val="0"/>
          <w:color w:val="auto"/>
          <w:spacing w:val="0"/>
          <w:sz w:val="32"/>
          <w:szCs w:val="32"/>
          <w:lang w:val="en-US" w:eastAsia="zh-CN"/>
        </w:rPr>
        <w:t>按照《泉州市人民政府办公室关于加强中心市区城建项目建设管理的通知》（泉政办</w:t>
      </w:r>
      <w:r>
        <w:rPr>
          <w:rFonts w:hint="eastAsia" w:ascii="仿宋_GB2312" w:eastAsia="仿宋_GB2312"/>
          <w:sz w:val="32"/>
          <w:szCs w:val="32"/>
          <w:lang w:val="en-US" w:eastAsia="zh-CN"/>
        </w:rPr>
        <w:t>〔2022〕</w:t>
      </w:r>
      <w:r>
        <w:rPr>
          <w:rFonts w:hint="eastAsia" w:ascii="Times New Roman" w:hAnsi="Times New Roman" w:eastAsia="仿宋_GB2312" w:cs="Times New Roman"/>
          <w:b w:val="0"/>
          <w:bCs w:val="0"/>
          <w:color w:val="auto"/>
          <w:spacing w:val="0"/>
          <w:sz w:val="32"/>
          <w:szCs w:val="32"/>
          <w:lang w:val="en-US" w:eastAsia="zh-CN"/>
        </w:rPr>
        <w:t>32号）要求，泉州市行政服务中心管委会结合中心市区城建项目实际，着力推动中心市区“抓城建提品质”专项行动项目前期报批工作，协助项目业主破解项目前期报建难题，有效提高审批效率。</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二、主要做法</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实施“帮办代办”服务机制。</w:t>
      </w:r>
      <w:r>
        <w:rPr>
          <w:rFonts w:hint="eastAsia" w:ascii="Times New Roman" w:hAnsi="Times New Roman" w:eastAsia="仿宋_GB2312" w:cs="Times New Roman"/>
          <w:b w:val="0"/>
          <w:bCs w:val="0"/>
          <w:color w:val="auto"/>
          <w:spacing w:val="0"/>
          <w:sz w:val="32"/>
          <w:szCs w:val="32"/>
          <w:lang w:val="en-US" w:eastAsia="zh-CN"/>
        </w:rPr>
        <w:t>市行政服务中心管委会成立“抓城建提品质”专项行动项目帮代办工作小组，抽调力量为“抓城建提品质”专项行动项目审批提供帮办代办服务。帮代办小组与泉州市五大国企集团前期报批工作专班统筹中心市区城建项目报批进度，根据项目实际情况为项目提供咨询、指导、协调、无偿代办等精细服务。同时，实行专人专项专管，量身定制，一对一指导，确保帮代办服务机制落实到位，有效推动项目报批进程。</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推行“模拟审批”创新机制。</w:t>
      </w:r>
      <w:r>
        <w:rPr>
          <w:rFonts w:hint="eastAsia" w:ascii="仿宋_GB2312" w:hAnsi="仿宋" w:eastAsia="仿宋_GB2312" w:cs="Times New Roman"/>
          <w:color w:val="000000"/>
          <w:sz w:val="32"/>
          <w:szCs w:val="32"/>
          <w:lang w:val="en-US" w:eastAsia="zh-CN"/>
        </w:rPr>
        <w:t>今年以来，市行政服务中心管委会积极探索审批新模式，推出“模拟审批”</w:t>
      </w:r>
      <w:r>
        <w:rPr>
          <w:rFonts w:hint="default" w:ascii="仿宋_GB2312" w:hAnsi="仿宋" w:eastAsia="仿宋_GB2312" w:cs="Times New Roman"/>
          <w:color w:val="000000"/>
          <w:sz w:val="32"/>
          <w:szCs w:val="32"/>
          <w:lang w:eastAsia="zh-CN"/>
        </w:rPr>
        <w:t>服务</w:t>
      </w:r>
      <w:r>
        <w:rPr>
          <w:rFonts w:hint="eastAsia" w:ascii="仿宋_GB2312" w:hAnsi="仿宋" w:eastAsia="仿宋_GB2312" w:cs="Times New Roman"/>
          <w:color w:val="000000"/>
          <w:sz w:val="32"/>
          <w:szCs w:val="32"/>
          <w:lang w:val="en-US" w:eastAsia="zh-CN"/>
        </w:rPr>
        <w:t>机制</w:t>
      </w:r>
      <w:r>
        <w:rPr>
          <w:rFonts w:hint="default" w:ascii="仿宋_GB2312" w:hAnsi="仿宋" w:eastAsia="仿宋_GB2312" w:cs="Times New Roman"/>
          <w:color w:val="00000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中心为</w:t>
      </w:r>
      <w:r>
        <w:rPr>
          <w:rFonts w:hint="default" w:ascii="Times New Roman" w:hAnsi="Times New Roman" w:eastAsia="仿宋_GB2312" w:cs="Times New Roman"/>
          <w:b w:val="0"/>
          <w:bCs w:val="0"/>
          <w:color w:val="auto"/>
          <w:spacing w:val="0"/>
          <w:sz w:val="32"/>
          <w:szCs w:val="32"/>
          <w:lang w:eastAsia="zh-CN"/>
        </w:rPr>
        <w:t>进一步拓展模拟审批的应用，</w:t>
      </w:r>
      <w:r>
        <w:rPr>
          <w:rFonts w:hint="eastAsia" w:ascii="Times New Roman" w:hAnsi="Times New Roman" w:eastAsia="仿宋_GB2312" w:cs="Times New Roman"/>
          <w:b w:val="0"/>
          <w:bCs w:val="0"/>
          <w:color w:val="auto"/>
          <w:spacing w:val="0"/>
          <w:sz w:val="32"/>
          <w:szCs w:val="32"/>
          <w:lang w:val="en-US" w:eastAsia="zh-CN"/>
        </w:rPr>
        <w:t>将“抓城建提品质”专项行动项目纳入“模拟审批”项目库，立足促项目落地角度，提前开展可研、初设、规划设计方案、水保、环评等前期工作。通过并联审批等方式，折叠审批前期耗时，打破不同审批阶段的壁垒，实现多个事项同步报批；不断优化审批方式和审批流程，争取最大限度审批提速。</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构建工作协作保障机制。</w:t>
      </w:r>
      <w:r>
        <w:rPr>
          <w:rFonts w:hint="eastAsia" w:ascii="Times New Roman" w:hAnsi="Times New Roman" w:eastAsia="仿宋_GB2312" w:cs="Times New Roman"/>
          <w:b w:val="0"/>
          <w:bCs w:val="0"/>
          <w:color w:val="auto"/>
          <w:spacing w:val="0"/>
          <w:sz w:val="32"/>
          <w:szCs w:val="32"/>
          <w:lang w:val="en-US" w:eastAsia="zh-CN"/>
        </w:rPr>
        <w:t>为保障中心市区“抓城建提品质”专项行动项目有序推进，中心管委会牵头各项目业主单位参照五大国企集团方式成立前期工作专班，指派工作人员到中心跟班学习。目前中心正紧锣密鼓筹备专班培训，预计11月</w:t>
      </w:r>
      <w:r>
        <w:rPr>
          <w:rFonts w:hint="eastAsia" w:ascii="Times New Roman" w:hAnsi="Times New Roman" w:eastAsia="仿宋_GB2312" w:cs="Times New Roman"/>
          <w:b w:val="0"/>
          <w:bCs w:val="0"/>
          <w:color w:val="auto"/>
          <w:spacing w:val="0"/>
          <w:sz w:val="32"/>
          <w:szCs w:val="32"/>
          <w:highlight w:val="none"/>
          <w:lang w:val="en-US" w:eastAsia="zh-CN"/>
        </w:rPr>
        <w:t>下旬</w:t>
      </w:r>
      <w:r>
        <w:rPr>
          <w:rFonts w:hint="eastAsia" w:ascii="Times New Roman" w:hAnsi="Times New Roman" w:eastAsia="仿宋_GB2312" w:cs="Times New Roman"/>
          <w:b w:val="0"/>
          <w:bCs w:val="0"/>
          <w:color w:val="auto"/>
          <w:spacing w:val="0"/>
          <w:sz w:val="32"/>
          <w:szCs w:val="32"/>
          <w:lang w:val="en-US" w:eastAsia="zh-CN"/>
        </w:rPr>
        <w:t>开班。</w:t>
      </w:r>
      <w:r>
        <w:rPr>
          <w:rFonts w:hint="eastAsia" w:ascii="Times New Roman" w:hAnsi="Times New Roman" w:eastAsia="仿宋_GB2312" w:cs="Times New Roman"/>
          <w:kern w:val="0"/>
          <w:sz w:val="32"/>
          <w:szCs w:val="32"/>
          <w:lang w:eastAsia="zh-CN"/>
        </w:rPr>
        <w:t>通过推介</w:t>
      </w:r>
      <w:r>
        <w:rPr>
          <w:rFonts w:hint="eastAsia" w:ascii="仿宋_GB2312" w:hAnsi="仿宋_GB2312" w:eastAsia="仿宋_GB2312" w:cs="仿宋_GB2312"/>
          <w:sz w:val="32"/>
          <w:szCs w:val="32"/>
        </w:rPr>
        <w:t>“帮代办”</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和“模拟审批”</w:t>
      </w:r>
      <w:r>
        <w:rPr>
          <w:rFonts w:hint="eastAsia" w:ascii="仿宋_GB2312" w:hAnsi="仿宋_GB2312" w:eastAsia="仿宋_GB2312" w:cs="仿宋_GB2312"/>
          <w:sz w:val="32"/>
          <w:szCs w:val="32"/>
          <w:lang w:eastAsia="zh-CN"/>
        </w:rPr>
        <w:t>服务，</w:t>
      </w:r>
      <w:r>
        <w:rPr>
          <w:rFonts w:hint="eastAsia" w:ascii="Times New Roman" w:hAnsi="Times New Roman" w:eastAsia="仿宋_GB2312" w:cs="Times New Roman"/>
          <w:b w:val="0"/>
          <w:bCs w:val="0"/>
          <w:color w:val="auto"/>
          <w:spacing w:val="0"/>
          <w:sz w:val="32"/>
          <w:szCs w:val="32"/>
          <w:lang w:val="en-US" w:eastAsia="zh-CN"/>
        </w:rPr>
        <w:t>帮助项目单位办事人员快速熟悉申报流程，高效准备申报材料。同时联合各审批部门现场授课，解读相关审批政策，提醒审批注意事项，减少办事人员往返跑路，流畅办理前期手续，大幅度提高报批效率。</w:t>
      </w: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建立大数据实时监控机制。</w:t>
      </w:r>
      <w:r>
        <w:rPr>
          <w:rFonts w:hint="eastAsia" w:ascii="Times New Roman" w:hAnsi="Times New Roman" w:eastAsia="仿宋_GB2312" w:cs="Times New Roman"/>
          <w:b w:val="0"/>
          <w:bCs w:val="0"/>
          <w:color w:val="auto"/>
          <w:spacing w:val="0"/>
          <w:sz w:val="32"/>
          <w:szCs w:val="32"/>
          <w:lang w:val="en-US" w:eastAsia="zh-CN"/>
        </w:rPr>
        <w:t>中心在大数据监控平台增加“提品质促开工”模块，根据“抓城建提品质”专项行动工作推进要求，实时掌握项目进度数据，推送项目总数、完成工规证项目数、完成施工许可证项目数、已开工项目数等数据。对已明确开工时间的项目，倒排时间节点，并固化到系统中，每月统一调度，每周上传系统督办，形成数据报表发送给相关部门，为“抓城建提品质”专项行动工作提供数据支撑，助力推进项目建设。</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三、工作成效</w:t>
      </w:r>
    </w:p>
    <w:p>
      <w:pPr>
        <w:pStyle w:val="2"/>
        <w:keepNext w:val="0"/>
        <w:keepLines w:val="0"/>
        <w:pageBreakBefore w:val="0"/>
        <w:widowControl w:val="0"/>
        <w:kinsoku/>
        <w:wordWrap/>
        <w:overflowPunct/>
        <w:topLinePunct w:val="0"/>
        <w:autoSpaceDE/>
        <w:autoSpaceDN/>
        <w:bidi w:val="0"/>
        <w:adjustRightInd/>
        <w:spacing w:line="620" w:lineRule="exact"/>
        <w:ind w:left="0" w:leftChars="0" w:firstLine="640" w:firstLineChars="20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目前五大国企集团均已按照中心管委会要求成立前期报批工作专班，并报送参训人员名单。接下来，中心管委会将尽快制定完善培训计划，分批分期进行报批业务培训。</w:t>
      </w:r>
    </w:p>
    <w:p>
      <w:pPr>
        <w:keepNext w:val="0"/>
        <w:keepLines w:val="0"/>
        <w:pageBreakBefore w:val="0"/>
        <w:widowControl w:val="0"/>
        <w:kinsoku/>
        <w:wordWrap/>
        <w:overflowPunct/>
        <w:topLinePunct w:val="0"/>
        <w:autoSpaceDE/>
        <w:autoSpaceDN/>
        <w:bidi w:val="0"/>
        <w:adjustRightInd/>
        <w:spacing w:line="620" w:lineRule="exact"/>
        <w:ind w:right="640"/>
        <w:textAlignment w:val="auto"/>
        <w:rPr>
          <w:rFonts w:hint="eastAsia"/>
          <w:lang w:val="en-US" w:eastAsia="zh-CN"/>
        </w:rPr>
      </w:pPr>
    </w:p>
    <w:sectPr>
      <w:pgSz w:w="11906" w:h="16838"/>
      <w:pgMar w:top="2120" w:right="1519" w:bottom="172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M4M2YwY2E2OGRlMzIyNjU3N2Y3MDkyODQyZmYifQ=="/>
  </w:docVars>
  <w:rsids>
    <w:rsidRoot w:val="00000000"/>
    <w:rsid w:val="001D759C"/>
    <w:rsid w:val="03992A2D"/>
    <w:rsid w:val="0438234B"/>
    <w:rsid w:val="089805D5"/>
    <w:rsid w:val="090C59F5"/>
    <w:rsid w:val="09FE6E56"/>
    <w:rsid w:val="0A00497C"/>
    <w:rsid w:val="0AE55920"/>
    <w:rsid w:val="0C841019"/>
    <w:rsid w:val="0C997E52"/>
    <w:rsid w:val="10046849"/>
    <w:rsid w:val="102B29FC"/>
    <w:rsid w:val="11E3271B"/>
    <w:rsid w:val="12E806A4"/>
    <w:rsid w:val="14DE4463"/>
    <w:rsid w:val="156404B5"/>
    <w:rsid w:val="15CC3049"/>
    <w:rsid w:val="15E22455"/>
    <w:rsid w:val="183A0C8C"/>
    <w:rsid w:val="1848340E"/>
    <w:rsid w:val="18980476"/>
    <w:rsid w:val="1A1554D6"/>
    <w:rsid w:val="1A485DEF"/>
    <w:rsid w:val="1BB26F6E"/>
    <w:rsid w:val="1CB27D6F"/>
    <w:rsid w:val="228D3AEC"/>
    <w:rsid w:val="23166B67"/>
    <w:rsid w:val="257059E8"/>
    <w:rsid w:val="27ED433A"/>
    <w:rsid w:val="29FF4454"/>
    <w:rsid w:val="2AFB2DB9"/>
    <w:rsid w:val="2C653593"/>
    <w:rsid w:val="2C901738"/>
    <w:rsid w:val="2CED0939"/>
    <w:rsid w:val="2D536223"/>
    <w:rsid w:val="2F234AE5"/>
    <w:rsid w:val="2F416D1A"/>
    <w:rsid w:val="2FEF6776"/>
    <w:rsid w:val="318C29F4"/>
    <w:rsid w:val="32C512E3"/>
    <w:rsid w:val="35494B7A"/>
    <w:rsid w:val="36877708"/>
    <w:rsid w:val="38F117B0"/>
    <w:rsid w:val="3A3B7187"/>
    <w:rsid w:val="3B185A1B"/>
    <w:rsid w:val="3CCF45A7"/>
    <w:rsid w:val="3DB66820"/>
    <w:rsid w:val="3EF26282"/>
    <w:rsid w:val="3F4C7741"/>
    <w:rsid w:val="3F942569"/>
    <w:rsid w:val="3FE43620"/>
    <w:rsid w:val="40ED4F53"/>
    <w:rsid w:val="4139221D"/>
    <w:rsid w:val="41BB0BAE"/>
    <w:rsid w:val="423C7CEE"/>
    <w:rsid w:val="45252F0E"/>
    <w:rsid w:val="46A460B4"/>
    <w:rsid w:val="47086643"/>
    <w:rsid w:val="47A727B6"/>
    <w:rsid w:val="48517B76"/>
    <w:rsid w:val="4901159C"/>
    <w:rsid w:val="49560B6C"/>
    <w:rsid w:val="4A946440"/>
    <w:rsid w:val="4B3312E3"/>
    <w:rsid w:val="4D434466"/>
    <w:rsid w:val="50C34068"/>
    <w:rsid w:val="514C1822"/>
    <w:rsid w:val="54EA6C78"/>
    <w:rsid w:val="56DA167E"/>
    <w:rsid w:val="57C245EC"/>
    <w:rsid w:val="57F24413"/>
    <w:rsid w:val="583059FA"/>
    <w:rsid w:val="58F76517"/>
    <w:rsid w:val="5BCF552A"/>
    <w:rsid w:val="5C6E73EA"/>
    <w:rsid w:val="5CFD1C22"/>
    <w:rsid w:val="5DE86118"/>
    <w:rsid w:val="5E007C1C"/>
    <w:rsid w:val="5EFE2575"/>
    <w:rsid w:val="61C6027E"/>
    <w:rsid w:val="61D82018"/>
    <w:rsid w:val="626C3AD2"/>
    <w:rsid w:val="633A3396"/>
    <w:rsid w:val="66A01F9C"/>
    <w:rsid w:val="68040309"/>
    <w:rsid w:val="682E182A"/>
    <w:rsid w:val="68DC3034"/>
    <w:rsid w:val="6A482BC3"/>
    <w:rsid w:val="6CAB3537"/>
    <w:rsid w:val="6FDC1B6B"/>
    <w:rsid w:val="719E6429"/>
    <w:rsid w:val="72874010"/>
    <w:rsid w:val="742C3E56"/>
    <w:rsid w:val="751122B7"/>
    <w:rsid w:val="78AF131E"/>
    <w:rsid w:val="7BD86D6C"/>
    <w:rsid w:val="7CE83AC2"/>
    <w:rsid w:val="7E4A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Arial Unicode MS" w:cs="Arial Unicode MS"/>
      <w:color w:val="000000"/>
      <w:szCs w:val="21"/>
    </w:rPr>
  </w:style>
  <w:style w:type="paragraph" w:styleId="3">
    <w:name w:val="Body Text Indent"/>
    <w:basedOn w:val="1"/>
    <w:next w:val="4"/>
    <w:qFormat/>
    <w:uiPriority w:val="0"/>
    <w:pPr>
      <w:spacing w:after="120"/>
      <w:ind w:left="42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1122</Words>
  <Characters>1132</Characters>
  <Lines>0</Lines>
  <Paragraphs>0</Paragraphs>
  <TotalTime>11</TotalTime>
  <ScaleCrop>false</ScaleCrop>
  <LinksUpToDate>false</LinksUpToDate>
  <CharactersWithSpaces>1132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2022-08-01T01:45:00Z</dcterms:created>
  <dc:creator>Administrator</dc:creator>
  <cp:lastModifiedBy>liyir</cp:lastModifiedBy>
  <cp:lastPrinted>2022-11-22T01:54:00Z</cp:lastPrinted>
  <dcterms:modified xsi:type="dcterms:W3CDTF">2022-11-22T08:09:52Z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3942EBEF9F334163BC846C842DEA7DD7</vt:lpwstr>
  </property>
</Properties>
</file>