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9" w:lineRule="exact"/>
        <w:jc w:val="center"/>
        <w:textAlignment w:val="baseline"/>
        <w:rPr>
          <w:rFonts w:hint="eastAsia" w:ascii="方正小标宋简体" w:eastAsia="方正小标宋简体"/>
          <w:color w:val="000000"/>
          <w:kern w:val="0"/>
          <w:sz w:val="44"/>
          <w:szCs w:val="44"/>
          <w:lang w:eastAsia="zh-CN"/>
        </w:rPr>
      </w:pPr>
      <w:bookmarkStart w:id="0" w:name="_GoBack"/>
      <w:bookmarkEnd w:id="0"/>
      <w:r>
        <w:rPr>
          <w:rFonts w:hint="eastAsia" w:ascii="方正小标宋简体" w:eastAsia="方正小标宋简体"/>
          <w:color w:val="000000"/>
          <w:kern w:val="0"/>
          <w:sz w:val="44"/>
          <w:szCs w:val="44"/>
          <w:lang w:eastAsia="zh-CN"/>
        </w:rPr>
        <w:t>关于研究制定丰泽区贯彻《福建省</w:t>
      </w:r>
    </w:p>
    <w:p>
      <w:pPr>
        <w:widowControl/>
        <w:spacing w:line="579" w:lineRule="exact"/>
        <w:jc w:val="center"/>
        <w:textAlignment w:val="baseline"/>
        <w:rPr>
          <w:rFonts w:hint="eastAsia" w:ascii="方正小标宋简体" w:eastAsia="方正小标宋简体"/>
          <w:color w:val="000000"/>
          <w:kern w:val="0"/>
          <w:sz w:val="44"/>
          <w:szCs w:val="44"/>
          <w:lang w:eastAsia="zh-CN"/>
        </w:rPr>
      </w:pPr>
      <w:r>
        <w:rPr>
          <w:rFonts w:hint="eastAsia" w:ascii="方正小标宋简体" w:eastAsia="方正小标宋简体"/>
          <w:color w:val="000000"/>
          <w:kern w:val="0"/>
          <w:sz w:val="44"/>
          <w:szCs w:val="44"/>
          <w:lang w:eastAsia="zh-CN"/>
        </w:rPr>
        <w:t>民兵权益保障办法》措施的情况说明</w:t>
      </w:r>
    </w:p>
    <w:p>
      <w:pPr>
        <w:widowControl/>
        <w:spacing w:line="579" w:lineRule="exact"/>
        <w:jc w:val="center"/>
        <w:textAlignment w:val="baseline"/>
        <w:rPr>
          <w:rFonts w:hint="eastAsia" w:ascii="方正小标宋简体" w:eastAsia="方正小标宋简体"/>
          <w:color w:val="000000"/>
          <w:kern w:val="0"/>
          <w:sz w:val="44"/>
          <w:szCs w:val="44"/>
          <w:lang w:eastAsia="zh-CN"/>
        </w:rPr>
      </w:pPr>
    </w:p>
    <w:p>
      <w:pPr>
        <w:pStyle w:val="4"/>
        <w:rPr>
          <w:rFonts w:hint="eastAsia" w:ascii="方正小标宋简体" w:eastAsia="方正小标宋简体"/>
          <w:color w:val="000000"/>
          <w:kern w:val="0"/>
          <w:sz w:val="44"/>
          <w:szCs w:val="44"/>
          <w:lang w:eastAsia="zh-CN"/>
        </w:rPr>
      </w:pPr>
    </w:p>
    <w:p>
      <w:pPr>
        <w:snapToGrid w:val="0"/>
        <w:spacing w:line="579" w:lineRule="exact"/>
        <w:ind w:firstLine="707" w:firstLineChars="221"/>
        <w:textAlignment w:val="baseline"/>
        <w:rPr>
          <w:rFonts w:hint="eastAsia" w:ascii="仿宋_GB2312" w:eastAsia="仿宋_GB2312" w:cs="Times New Roman"/>
          <w:color w:val="000000"/>
          <w:kern w:val="0"/>
          <w:sz w:val="32"/>
          <w:szCs w:val="32"/>
          <w:u w:color="000000"/>
          <w:lang w:val="en-US" w:eastAsia="zh-CN"/>
        </w:rPr>
      </w:pPr>
      <w:r>
        <w:rPr>
          <w:rFonts w:hint="eastAsia" w:ascii="仿宋_GB2312" w:eastAsia="仿宋_GB2312" w:cs="Times New Roman"/>
          <w:color w:val="000000"/>
          <w:kern w:val="0"/>
          <w:sz w:val="32"/>
          <w:szCs w:val="32"/>
          <w:u w:color="000000"/>
          <w:lang w:val="en-US" w:eastAsia="zh-CN"/>
        </w:rPr>
        <w:t>为深入贯彻习近平强军思想，深入贯彻新时代军事战略方针，根据省、市关于加强民兵权益保障的部署要求，为推动民兵建设高质量发展，应尽早出台我区贯彻《福建省民兵权益保障办法》的具体措施。现将有关情况说明如下：</w:t>
      </w:r>
    </w:p>
    <w:p>
      <w:pPr>
        <w:snapToGrid w:val="0"/>
        <w:spacing w:line="579" w:lineRule="exact"/>
        <w:ind w:firstLine="707" w:firstLineChars="221"/>
        <w:textAlignment w:val="baseline"/>
        <w:rPr>
          <w:rFonts w:hint="eastAsia" w:ascii="仿宋_GB2312" w:eastAsia="仿宋_GB2312" w:cs="Times New Roman"/>
          <w:color w:val="000000"/>
          <w:kern w:val="0"/>
          <w:sz w:val="32"/>
          <w:szCs w:val="32"/>
          <w:u w:color="000000"/>
          <w:lang w:val="en-US" w:eastAsia="zh-CN"/>
        </w:rPr>
      </w:pPr>
      <w:r>
        <w:rPr>
          <w:rStyle w:val="11"/>
          <w:rFonts w:hint="eastAsia" w:ascii="黑体" w:hAnsi="黑体" w:eastAsia="黑体" w:cs="黑体"/>
          <w:b w:val="0"/>
          <w:bCs w:val="0"/>
          <w:kern w:val="0"/>
          <w:sz w:val="32"/>
          <w:szCs w:val="32"/>
          <w:lang w:bidi="ar"/>
        </w:rPr>
        <w:t>一、</w:t>
      </w:r>
      <w:r>
        <w:rPr>
          <w:rStyle w:val="11"/>
          <w:rFonts w:hint="eastAsia" w:ascii="黑体" w:hAnsi="黑体" w:eastAsia="黑体" w:cs="黑体"/>
          <w:b w:val="0"/>
          <w:bCs w:val="0"/>
          <w:kern w:val="0"/>
          <w:sz w:val="32"/>
          <w:szCs w:val="32"/>
          <w:lang w:eastAsia="zh-CN" w:bidi="ar"/>
        </w:rPr>
        <w:t>基本考虑。</w:t>
      </w:r>
      <w:r>
        <w:rPr>
          <w:rFonts w:hint="eastAsia" w:ascii="仿宋_GB2312" w:eastAsia="仿宋_GB2312" w:cs="Times New Roman"/>
          <w:color w:val="000000"/>
          <w:kern w:val="0"/>
          <w:sz w:val="32"/>
          <w:szCs w:val="32"/>
          <w:u w:color="000000"/>
          <w:lang w:val="en-US" w:eastAsia="zh-CN"/>
        </w:rPr>
        <w:t>民兵是我国“三结合”武装力量的重要组成部分，2021年国家印发有关文件明确要求各省结合实际制定出台民兵权益保障政策。近年来，不少省份（辽宁、贵州、湖南）已相继出台相应的政策，大力推动了民兵建设高质量发展；我们福建省人民政府和省军区，也于2025年1月联合印发了《</w:t>
      </w:r>
      <w:r>
        <w:rPr>
          <w:rFonts w:hint="eastAsia" w:ascii="仿宋_GB2312" w:eastAsia="仿宋_GB2312" w:cs="Times New Roman"/>
          <w:color w:val="000000"/>
          <w:kern w:val="0"/>
          <w:sz w:val="32"/>
          <w:szCs w:val="32"/>
          <w:u w:color="000000"/>
          <w:lang w:eastAsia="zh-CN"/>
        </w:rPr>
        <w:t>福建省民兵权益保障办法</w:t>
      </w:r>
      <w:r>
        <w:rPr>
          <w:rFonts w:hint="eastAsia" w:ascii="仿宋_GB2312" w:eastAsia="仿宋_GB2312" w:cs="Times New Roman"/>
          <w:color w:val="000000"/>
          <w:kern w:val="0"/>
          <w:sz w:val="32"/>
          <w:szCs w:val="32"/>
          <w:u w:color="000000"/>
          <w:lang w:val="en-US" w:eastAsia="zh-CN"/>
        </w:rPr>
        <w:t>》，并要求各市、县（区）人民政府和各军分区（警备区），县（市、区）人民武装部认真抓好贯彻执行。目前，省内其他市、县（区）正在积极推进民兵权益保障相关文件制定出台工作，我们要加强军地协调、积极作为，争取在健全完善民兵权益保障体系上走在全省前列。</w:t>
      </w:r>
    </w:p>
    <w:p>
      <w:pPr>
        <w:snapToGrid w:val="0"/>
        <w:spacing w:line="579" w:lineRule="exact"/>
        <w:ind w:firstLine="707" w:firstLineChars="221"/>
        <w:textAlignment w:val="baseline"/>
        <w:rPr>
          <w:rStyle w:val="11"/>
          <w:rFonts w:hint="eastAsia" w:ascii="黑体" w:hAnsi="黑体" w:eastAsia="黑体" w:cs="黑体"/>
          <w:b w:val="0"/>
          <w:bCs w:val="0"/>
          <w:kern w:val="0"/>
          <w:sz w:val="32"/>
          <w:szCs w:val="32"/>
          <w:lang w:eastAsia="zh-CN" w:bidi="ar"/>
        </w:rPr>
      </w:pPr>
      <w:r>
        <w:rPr>
          <w:rStyle w:val="11"/>
          <w:rFonts w:hint="eastAsia" w:ascii="黑体" w:hAnsi="黑体" w:eastAsia="黑体" w:cs="黑体"/>
          <w:b w:val="0"/>
          <w:bCs w:val="0"/>
          <w:kern w:val="0"/>
          <w:sz w:val="32"/>
          <w:szCs w:val="32"/>
          <w:lang w:eastAsia="zh-CN" w:bidi="ar"/>
        </w:rPr>
        <w:t>二</w:t>
      </w:r>
      <w:r>
        <w:rPr>
          <w:rStyle w:val="11"/>
          <w:rFonts w:hint="eastAsia" w:ascii="黑体" w:hAnsi="黑体" w:eastAsia="黑体" w:cs="黑体"/>
          <w:b w:val="0"/>
          <w:bCs w:val="0"/>
          <w:kern w:val="0"/>
          <w:sz w:val="32"/>
          <w:szCs w:val="32"/>
          <w:lang w:bidi="ar"/>
        </w:rPr>
        <w:t>、</w:t>
      </w:r>
      <w:r>
        <w:rPr>
          <w:rStyle w:val="11"/>
          <w:rFonts w:hint="eastAsia" w:ascii="黑体" w:hAnsi="黑体" w:eastAsia="黑体" w:cs="黑体"/>
          <w:b w:val="0"/>
          <w:bCs w:val="0"/>
          <w:kern w:val="0"/>
          <w:sz w:val="32"/>
          <w:szCs w:val="32"/>
          <w:lang w:eastAsia="zh-CN" w:bidi="ar"/>
        </w:rPr>
        <w:t>主要内容。</w:t>
      </w:r>
    </w:p>
    <w:p>
      <w:pPr>
        <w:snapToGrid w:val="0"/>
        <w:spacing w:line="579" w:lineRule="exact"/>
        <w:ind w:firstLine="707" w:firstLineChars="221"/>
        <w:textAlignment w:val="baseline"/>
        <w:rPr>
          <w:rStyle w:val="11"/>
          <w:rFonts w:hint="eastAsia" w:ascii="CESI楷体-GB2312" w:hAnsi="CESI楷体-GB2312" w:eastAsia="CESI楷体-GB2312" w:cs="CESI楷体-GB2312"/>
          <w:b w:val="0"/>
          <w:bCs w:val="0"/>
          <w:kern w:val="0"/>
          <w:sz w:val="32"/>
          <w:szCs w:val="32"/>
          <w:lang w:eastAsia="zh-CN" w:bidi="ar"/>
        </w:rPr>
      </w:pPr>
      <w:r>
        <w:rPr>
          <w:rStyle w:val="11"/>
          <w:rFonts w:hint="eastAsia" w:ascii="CESI楷体-GB2312" w:hAnsi="CESI楷体-GB2312" w:eastAsia="CESI楷体-GB2312" w:cs="CESI楷体-GB2312"/>
          <w:b w:val="0"/>
          <w:bCs w:val="0"/>
          <w:kern w:val="0"/>
          <w:sz w:val="32"/>
          <w:szCs w:val="32"/>
          <w:lang w:eastAsia="zh-CN" w:bidi="ar"/>
        </w:rPr>
        <w:t>（一）民兵权益</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Style w:val="11"/>
          <w:rFonts w:hint="eastAsia" w:ascii="CESI仿宋-GB2312" w:hAnsi="CESI仿宋-GB2312" w:eastAsia="CESI仿宋-GB2312" w:cs="CESI仿宋-GB2312"/>
          <w:b w:val="0"/>
          <w:bCs w:val="0"/>
          <w:kern w:val="0"/>
          <w:sz w:val="32"/>
          <w:szCs w:val="32"/>
          <w:lang w:val="en-US" w:eastAsia="zh-CN" w:bidi="ar"/>
        </w:rPr>
        <w:t>1.</w:t>
      </w:r>
      <w:r>
        <w:rPr>
          <w:rFonts w:hint="eastAsia" w:ascii="CESI仿宋-GB2312" w:hAnsi="CESI仿宋-GB2312" w:eastAsia="CESI仿宋-GB2312" w:cs="CESI仿宋-GB2312"/>
          <w:sz w:val="32"/>
          <w:szCs w:val="32"/>
        </w:rPr>
        <w:t>重大节日军地联合走访编兵单位和民兵。</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全区有关媒体积极宣传民兵先进典型事迹。</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rPr>
        <w:t>每年底军地联合走访慰问家庭困难民兵。</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军地联合帮扶援助突发重大变故民兵家庭。</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每年底军地联合通报表扬年度荣获省军区比武竞赛综合成绩前10名、军分区比武竞赛综合成绩前5名的民兵，参照军队人员嘉奖奖励标准，发放500元奖金或奖品。</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rPr>
        <w:t>执行多样化军事任务受到市以上人民政府或军分区以上通报表扬的民兵，其子女优先入伍。</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7.</w:t>
      </w:r>
      <w:r>
        <w:rPr>
          <w:rFonts w:hint="eastAsia" w:ascii="CESI仿宋-GB2312" w:hAnsi="CESI仿宋-GB2312" w:eastAsia="CESI仿宋-GB2312" w:cs="CESI仿宋-GB2312"/>
          <w:sz w:val="32"/>
          <w:szCs w:val="32"/>
        </w:rPr>
        <w:t>按照区标准及时给参训执勤民兵发放补助。</w:t>
      </w:r>
    </w:p>
    <w:p>
      <w:pPr>
        <w:snapToGrid w:val="0"/>
        <w:spacing w:line="579" w:lineRule="exact"/>
        <w:ind w:firstLine="707" w:firstLineChars="221"/>
        <w:textAlignment w:val="baseline"/>
        <w:rPr>
          <w:rStyle w:val="11"/>
          <w:rFonts w:hint="eastAsia" w:ascii="CESI楷体-GB2312" w:hAnsi="CESI楷体-GB2312" w:eastAsia="CESI楷体-GB2312" w:cs="CESI楷体-GB2312"/>
          <w:b w:val="0"/>
          <w:bCs w:val="0"/>
          <w:kern w:val="0"/>
          <w:sz w:val="32"/>
          <w:szCs w:val="32"/>
          <w:lang w:eastAsia="zh-CN" w:bidi="ar"/>
        </w:rPr>
      </w:pPr>
      <w:r>
        <w:rPr>
          <w:rStyle w:val="11"/>
          <w:rFonts w:hint="eastAsia" w:ascii="CESI楷体-GB2312" w:hAnsi="CESI楷体-GB2312" w:eastAsia="CESI楷体-GB2312" w:cs="CESI楷体-GB2312"/>
          <w:b w:val="0"/>
          <w:bCs w:val="0"/>
          <w:kern w:val="0"/>
          <w:sz w:val="32"/>
          <w:szCs w:val="32"/>
          <w:lang w:eastAsia="zh-CN" w:bidi="ar"/>
        </w:rPr>
        <w:t>（二）基干民兵权益</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8.</w:t>
      </w:r>
      <w:r>
        <w:rPr>
          <w:rFonts w:hint="eastAsia" w:ascii="CESI仿宋-GB2312" w:hAnsi="CESI仿宋-GB2312" w:eastAsia="CESI仿宋-GB2312" w:cs="CESI仿宋-GB2312"/>
          <w:sz w:val="32"/>
          <w:szCs w:val="32"/>
        </w:rPr>
        <w:t>在全区各级政务服务中心设立民兵优先窗口。</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rPr>
        <w:t>在全区各级各类公立医疗卫生服务机构提供普通门诊优先缴费等服务。</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10.</w:t>
      </w:r>
      <w:r>
        <w:rPr>
          <w:rFonts w:hint="eastAsia" w:ascii="CESI仿宋-GB2312" w:hAnsi="CESI仿宋-GB2312" w:eastAsia="CESI仿宋-GB2312" w:cs="CESI仿宋-GB2312"/>
          <w:sz w:val="32"/>
          <w:szCs w:val="32"/>
        </w:rPr>
        <w:t>符合就业困难人员条件的，享受优先就业创业扶持和就业援助。</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11.</w:t>
      </w:r>
      <w:r>
        <w:rPr>
          <w:rFonts w:hint="eastAsia" w:ascii="CESI仿宋-GB2312" w:hAnsi="CESI仿宋-GB2312" w:eastAsia="CESI仿宋-GB2312" w:cs="CESI仿宋-GB2312"/>
          <w:sz w:val="32"/>
          <w:szCs w:val="32"/>
        </w:rPr>
        <w:t>参观全区国有各类博物馆、纪念馆、美术馆以及公园、展览馆、名胜古迹，享受门票减免等优惠待遇。</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12.</w:t>
      </w:r>
      <w:r>
        <w:rPr>
          <w:rFonts w:hint="eastAsia" w:ascii="CESI仿宋-GB2312" w:hAnsi="CESI仿宋-GB2312" w:eastAsia="CESI仿宋-GB2312" w:cs="CESI仿宋-GB2312"/>
          <w:sz w:val="32"/>
          <w:szCs w:val="32"/>
        </w:rPr>
        <w:t>法律援助机构优先为民兵提供法律援助服务。</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13.</w:t>
      </w:r>
      <w:r>
        <w:rPr>
          <w:rFonts w:hint="eastAsia" w:ascii="CESI仿宋-GB2312" w:hAnsi="CESI仿宋-GB2312" w:eastAsia="CESI仿宋-GB2312" w:cs="CESI仿宋-GB2312"/>
          <w:sz w:val="32"/>
          <w:szCs w:val="32"/>
        </w:rPr>
        <w:t>在全区国有商业银行各服务网点设立民兵优先窗口。</w:t>
      </w:r>
    </w:p>
    <w:p>
      <w:pPr>
        <w:snapToGrid w:val="0"/>
        <w:spacing w:line="579" w:lineRule="exact"/>
        <w:ind w:firstLine="707" w:firstLineChars="221"/>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rPr>
        <w:t>全区金融机构创新民兵群体金融产品和服务，在贷款利率和贷款额度等方面给予适度优惠倾斜（设服务窗口或明显标识）。</w:t>
      </w:r>
    </w:p>
    <w:p>
      <w:pPr>
        <w:snapToGrid w:val="0"/>
        <w:spacing w:line="579" w:lineRule="exact"/>
        <w:ind w:firstLine="707" w:firstLineChars="221"/>
        <w:textAlignment w:val="baseline"/>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（三）编兵单位权益</w:t>
      </w:r>
    </w:p>
    <w:p>
      <w:pPr>
        <w:snapToGrid w:val="0"/>
        <w:spacing w:line="579" w:lineRule="exact"/>
        <w:ind w:firstLine="707" w:firstLineChars="221"/>
        <w:textAlignment w:val="baseline"/>
        <w:rPr>
          <w:rFonts w:hint="eastAsia" w:ascii="仿宋_GB2312" w:eastAsia="仿宋_GB2312"/>
          <w:sz w:val="32"/>
          <w:szCs w:val="32"/>
        </w:rPr>
      </w:pPr>
      <w:r>
        <w:rPr>
          <w:rFonts w:hint="eastAsia" w:ascii="仿宋_GB2312" w:eastAsia="仿宋_GB2312"/>
          <w:sz w:val="32"/>
          <w:szCs w:val="32"/>
          <w:lang w:val="en-US" w:eastAsia="zh-CN"/>
        </w:rPr>
        <w:t>15.</w:t>
      </w:r>
      <w:r>
        <w:rPr>
          <w:rFonts w:hint="eastAsia" w:ascii="仿宋_GB2312" w:eastAsia="仿宋_GB2312"/>
          <w:sz w:val="32"/>
          <w:szCs w:val="32"/>
        </w:rPr>
        <w:t>按规定将符合条件的编兵企业列入军民融合企业目录。</w:t>
      </w:r>
    </w:p>
    <w:p>
      <w:pPr>
        <w:snapToGrid w:val="0"/>
        <w:spacing w:line="579" w:lineRule="exact"/>
        <w:ind w:firstLine="707" w:firstLineChars="221"/>
        <w:textAlignment w:val="baseline"/>
        <w:rPr>
          <w:rFonts w:hint="default" w:ascii="仿宋_GB2312" w:eastAsia="仿宋_GB2312"/>
          <w:sz w:val="32"/>
          <w:szCs w:val="32"/>
          <w:lang w:val="en-US" w:eastAsia="zh-CN"/>
        </w:rPr>
      </w:pPr>
      <w:r>
        <w:rPr>
          <w:rFonts w:hint="eastAsia" w:ascii="仿宋_GB2312" w:eastAsia="仿宋_GB2312"/>
          <w:sz w:val="32"/>
          <w:szCs w:val="32"/>
          <w:lang w:val="en-US" w:eastAsia="zh-CN"/>
        </w:rPr>
        <w:t>16.</w:t>
      </w:r>
      <w:r>
        <w:rPr>
          <w:rFonts w:hint="eastAsia" w:ascii="仿宋_GB2312" w:eastAsia="仿宋_GB2312"/>
          <w:sz w:val="32"/>
          <w:szCs w:val="32"/>
        </w:rPr>
        <w:t>在信贷扶持、项目审批、要素保障等方面给予成绩突出编兵企业政策支持。</w:t>
      </w:r>
    </w:p>
    <w:p>
      <w:pPr>
        <w:snapToGrid w:val="0"/>
        <w:spacing w:line="579" w:lineRule="exact"/>
        <w:ind w:firstLine="707" w:firstLineChars="221"/>
        <w:textAlignment w:val="baseline"/>
        <w:rPr>
          <w:rStyle w:val="11"/>
          <w:rFonts w:hint="eastAsia" w:ascii="黑体" w:hAnsi="黑体" w:eastAsia="黑体" w:cs="黑体"/>
          <w:b w:val="0"/>
          <w:bCs w:val="0"/>
          <w:kern w:val="0"/>
          <w:sz w:val="32"/>
          <w:szCs w:val="32"/>
          <w:lang w:val="en-US" w:eastAsia="zh-CN" w:bidi="ar"/>
        </w:rPr>
      </w:pPr>
      <w:r>
        <w:rPr>
          <w:rStyle w:val="11"/>
          <w:rFonts w:hint="eastAsia" w:ascii="黑体" w:hAnsi="黑体" w:eastAsia="黑体" w:cs="黑体"/>
          <w:b w:val="0"/>
          <w:bCs w:val="0"/>
          <w:kern w:val="0"/>
          <w:sz w:val="32"/>
          <w:szCs w:val="32"/>
          <w:lang w:val="en-US" w:eastAsia="zh-CN" w:bidi="ar"/>
        </w:rPr>
        <w:t>三、职责区分</w:t>
      </w:r>
    </w:p>
    <w:p>
      <w:pPr>
        <w:snapToGrid w:val="0"/>
        <w:spacing w:line="579" w:lineRule="exact"/>
        <w:ind w:firstLine="707" w:firstLineChars="221"/>
        <w:textAlignment w:val="baseline"/>
        <w:rPr>
          <w:rFonts w:hint="default" w:ascii="仿宋_GB2312" w:eastAsia="仿宋_GB2312" w:cs="Times New Roman"/>
          <w:color w:val="000000"/>
          <w:kern w:val="0"/>
          <w:sz w:val="32"/>
          <w:szCs w:val="32"/>
          <w:u w:color="000000"/>
          <w:lang w:val="en-US" w:eastAsia="zh-CN"/>
        </w:rPr>
      </w:pPr>
      <w:r>
        <w:rPr>
          <w:rFonts w:hint="eastAsia" w:ascii="仿宋_GB2312" w:eastAsia="仿宋_GB2312" w:cs="Times New Roman"/>
          <w:color w:val="000000"/>
          <w:kern w:val="0"/>
          <w:sz w:val="32"/>
          <w:szCs w:val="32"/>
          <w:u w:color="000000"/>
          <w:lang w:val="en-US" w:eastAsia="zh-CN"/>
        </w:rPr>
        <w:t>1.区政府。民兵在执行多样化军事任务中发生伤病的，由区政府负责救治；因执行任务致残或被确认为因公牺牲的，按照国家有关规定由区政府落实抚恤优待；民兵执行军事任务和参加军事训练期间，其家庭因自然灾害、意外事故、重大疾病等原因，基本生活出现严重困难的，由区政府给予救助和慰问。</w:t>
      </w:r>
    </w:p>
    <w:p>
      <w:pPr>
        <w:snapToGrid w:val="0"/>
        <w:spacing w:line="579" w:lineRule="exact"/>
        <w:ind w:firstLine="707" w:firstLineChars="221"/>
        <w:textAlignment w:val="baseline"/>
        <w:rPr>
          <w:rFonts w:hint="eastAsia" w:ascii="仿宋_GB2312" w:eastAsia="仿宋_GB2312" w:cs="Times New Roman"/>
          <w:color w:val="000000"/>
          <w:kern w:val="0"/>
          <w:sz w:val="32"/>
          <w:szCs w:val="32"/>
          <w:u w:color="000000"/>
          <w:lang w:val="en-US" w:eastAsia="zh-CN"/>
        </w:rPr>
      </w:pPr>
      <w:r>
        <w:rPr>
          <w:rFonts w:hint="eastAsia" w:ascii="仿宋_GB2312" w:eastAsia="仿宋_GB2312" w:cs="Times New Roman"/>
          <w:color w:val="000000"/>
          <w:kern w:val="0"/>
          <w:sz w:val="32"/>
          <w:szCs w:val="32"/>
          <w:u w:color="000000"/>
          <w:lang w:val="en-US" w:eastAsia="zh-CN"/>
        </w:rPr>
        <w:t>2.区人武部。对民兵工作成绩突出的个人，区人武部协同地方有关职能部门，依照军地有关规定通报表扬，利用重大节日对先进单位和优秀个人开展走访慰问；落实基干民兵干部履职补助，参训执勤补助、伙食费、短期意外伤害保险等；配发民兵服装；制作发放《福建省民兵证》，并按要求完成证件年度审验和更换工作。</w:t>
      </w:r>
    </w:p>
    <w:p>
      <w:pPr>
        <w:snapToGrid w:val="0"/>
        <w:spacing w:line="579" w:lineRule="exact"/>
        <w:ind w:firstLine="707" w:firstLineChars="221"/>
        <w:textAlignment w:val="baseline"/>
        <w:rPr>
          <w:rFonts w:hint="default" w:ascii="仿宋_GB2312" w:eastAsia="仿宋_GB2312" w:cs="Times New Roman"/>
          <w:color w:val="000000"/>
          <w:kern w:val="0"/>
          <w:sz w:val="32"/>
          <w:szCs w:val="32"/>
          <w:u w:color="000000"/>
          <w:lang w:val="en-US" w:eastAsia="zh-CN"/>
        </w:rPr>
      </w:pPr>
      <w:r>
        <w:rPr>
          <w:rFonts w:hint="eastAsia" w:ascii="仿宋_GB2312" w:eastAsia="仿宋_GB2312" w:cs="Times New Roman"/>
          <w:color w:val="000000"/>
          <w:kern w:val="0"/>
          <w:sz w:val="32"/>
          <w:szCs w:val="32"/>
          <w:u w:color="000000"/>
          <w:lang w:val="en-US" w:eastAsia="zh-CN"/>
        </w:rPr>
        <w:t>3.有关部门。提供优待优惠服务的相关企事业单位要规范设置“福建省基干民兵优先”标识，并按规定在设置有标识窗口给予基干民兵优先办理各类业务，按照规定提供优待政策。编组编兵单位要支持民兵参加战备执勤、抢险救灾、军事训练等相关活动，期间应落实工资、奖金、福利和保险等待遇，不得对其作出辞退、解聘或者免职、扣薪、降低待遇、处分等处理。</w:t>
      </w:r>
    </w:p>
    <w:p>
      <w:pPr>
        <w:snapToGrid w:val="0"/>
        <w:spacing w:line="579" w:lineRule="exact"/>
        <w:ind w:firstLine="707" w:firstLineChars="221"/>
        <w:textAlignment w:val="baseline"/>
        <w:rPr>
          <w:rFonts w:hint="eastAsia" w:ascii="仿宋_GB2312" w:eastAsia="仿宋_GB2312" w:cs="Times New Roman"/>
          <w:color w:val="000000"/>
          <w:kern w:val="0"/>
          <w:sz w:val="32"/>
          <w:szCs w:val="32"/>
          <w:u w:color="000000"/>
          <w:lang w:val="en-US" w:eastAsia="zh-CN"/>
        </w:rPr>
      </w:pPr>
    </w:p>
    <w:p>
      <w:pPr>
        <w:snapToGrid w:val="0"/>
        <w:spacing w:line="579" w:lineRule="exact"/>
        <w:ind w:firstLine="707" w:firstLineChars="221"/>
        <w:textAlignment w:val="baseline"/>
        <w:rPr>
          <w:rFonts w:hint="eastAsia" w:ascii="仿宋_GB2312" w:eastAsia="仿宋_GB2312" w:cs="Times New Roman"/>
          <w:color w:val="000000"/>
          <w:kern w:val="0"/>
          <w:sz w:val="32"/>
          <w:szCs w:val="32"/>
          <w:u w:color="000000"/>
          <w:lang w:val="en-US" w:eastAsia="zh-CN"/>
        </w:rPr>
      </w:pPr>
    </w:p>
    <w:p/>
    <w:sectPr>
      <w:footerReference r:id="rId3" w:type="default"/>
      <w:footerReference r:id="rId4" w:type="even"/>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CESI仿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744"/>
    <w:rsid w:val="000261AE"/>
    <w:rsid w:val="0004146E"/>
    <w:rsid w:val="0005174A"/>
    <w:rsid w:val="00070744"/>
    <w:rsid w:val="001509C4"/>
    <w:rsid w:val="001C789B"/>
    <w:rsid w:val="00251ADF"/>
    <w:rsid w:val="002D64EA"/>
    <w:rsid w:val="002F4FF6"/>
    <w:rsid w:val="00401FD1"/>
    <w:rsid w:val="00483F61"/>
    <w:rsid w:val="004F4A3B"/>
    <w:rsid w:val="00534DE8"/>
    <w:rsid w:val="00566A92"/>
    <w:rsid w:val="005A2DA2"/>
    <w:rsid w:val="008D4AB3"/>
    <w:rsid w:val="00A72207"/>
    <w:rsid w:val="00AF4F56"/>
    <w:rsid w:val="00BB5325"/>
    <w:rsid w:val="00BD7BA3"/>
    <w:rsid w:val="00C2389E"/>
    <w:rsid w:val="00D54B7A"/>
    <w:rsid w:val="00DB3944"/>
    <w:rsid w:val="00F067DD"/>
    <w:rsid w:val="00F120FF"/>
    <w:rsid w:val="158FB182"/>
    <w:rsid w:val="1FFB0E1C"/>
    <w:rsid w:val="2BE422D6"/>
    <w:rsid w:val="2EEF503C"/>
    <w:rsid w:val="2F5E3BFD"/>
    <w:rsid w:val="3BDEEC7A"/>
    <w:rsid w:val="3F5D145F"/>
    <w:rsid w:val="59ECAB37"/>
    <w:rsid w:val="5FBB4507"/>
    <w:rsid w:val="5FFB2179"/>
    <w:rsid w:val="63F5835A"/>
    <w:rsid w:val="66FEBCD6"/>
    <w:rsid w:val="67F66B8C"/>
    <w:rsid w:val="67FE37B6"/>
    <w:rsid w:val="69FF856A"/>
    <w:rsid w:val="6E7A1AD0"/>
    <w:rsid w:val="6FECEA04"/>
    <w:rsid w:val="73FAC5D7"/>
    <w:rsid w:val="77DDF331"/>
    <w:rsid w:val="7997A2E7"/>
    <w:rsid w:val="7B7F10E9"/>
    <w:rsid w:val="7B7FE723"/>
    <w:rsid w:val="7D53D22D"/>
    <w:rsid w:val="7D6F5E45"/>
    <w:rsid w:val="7DDE20E8"/>
    <w:rsid w:val="7DF610DE"/>
    <w:rsid w:val="7F6D258E"/>
    <w:rsid w:val="7F7F86CF"/>
    <w:rsid w:val="7FEF2C8A"/>
    <w:rsid w:val="7FF504AB"/>
    <w:rsid w:val="9A6693BC"/>
    <w:rsid w:val="9FFD4222"/>
    <w:rsid w:val="AEF9636E"/>
    <w:rsid w:val="AF39BF77"/>
    <w:rsid w:val="AFFF4205"/>
    <w:rsid w:val="B4EB7477"/>
    <w:rsid w:val="B53E234C"/>
    <w:rsid w:val="B7AF8551"/>
    <w:rsid w:val="BDFF13DF"/>
    <w:rsid w:val="BE8B867C"/>
    <w:rsid w:val="BFFE03DA"/>
    <w:rsid w:val="D6BFB6B3"/>
    <w:rsid w:val="DE5F2CB5"/>
    <w:rsid w:val="DEF7DFCE"/>
    <w:rsid w:val="DF5F77B7"/>
    <w:rsid w:val="EEFFF731"/>
    <w:rsid w:val="F4E7BF29"/>
    <w:rsid w:val="F53F726B"/>
    <w:rsid w:val="F5FEBD1E"/>
    <w:rsid w:val="F6FB98C1"/>
    <w:rsid w:val="F7FF7C60"/>
    <w:rsid w:val="FAB36B56"/>
    <w:rsid w:val="FB7F5CE9"/>
    <w:rsid w:val="FDEBE770"/>
    <w:rsid w:val="FEFF82CE"/>
    <w:rsid w:val="FF96F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rPr>
      <w:rFonts w:hint="eastAsia"/>
      <w:sz w:val="29"/>
    </w:rPr>
  </w:style>
  <w:style w:type="paragraph" w:styleId="3">
    <w:name w:val="Body Text Indent"/>
    <w:basedOn w:val="1"/>
    <w:link w:val="16"/>
    <w:semiHidden/>
    <w:unhideWhenUsed/>
    <w:qFormat/>
    <w:uiPriority w:val="99"/>
    <w:pPr>
      <w:spacing w:after="120"/>
      <w:ind w:left="420" w:leftChars="200"/>
    </w:pPr>
  </w:style>
  <w:style w:type="paragraph" w:styleId="4">
    <w:name w:val="Body Text Indent 2"/>
    <w:basedOn w:val="1"/>
    <w:link w:val="14"/>
    <w:qFormat/>
    <w:uiPriority w:val="0"/>
    <w:pPr>
      <w:spacing w:line="580" w:lineRule="exact"/>
      <w:ind w:firstLine="632" w:firstLineChars="200"/>
    </w:pPr>
  </w:style>
  <w:style w:type="paragraph" w:styleId="5">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Body Text First Indent 2"/>
    <w:basedOn w:val="3"/>
    <w:next w:val="1"/>
    <w:link w:val="17"/>
    <w:qFormat/>
    <w:uiPriority w:val="0"/>
    <w:pPr>
      <w:spacing w:after="0"/>
      <w:ind w:left="0" w:leftChars="0" w:firstLine="420" w:firstLineChars="200"/>
    </w:pPr>
    <w:rPr>
      <w:rFonts w:ascii="方正小标宋简体" w:hAnsi="宋体" w:eastAsia="方正小标宋简体"/>
      <w:kern w:val="0"/>
      <w:sz w:val="44"/>
      <w:szCs w:val="28"/>
    </w:rPr>
  </w:style>
  <w:style w:type="character" w:styleId="11">
    <w:name w:val="Strong"/>
    <w:basedOn w:val="10"/>
    <w:qFormat/>
    <w:uiPriority w:val="0"/>
    <w:rPr>
      <w:b/>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正文文本缩进 2 Char"/>
    <w:basedOn w:val="10"/>
    <w:link w:val="4"/>
    <w:qFormat/>
    <w:uiPriority w:val="0"/>
    <w:rPr>
      <w:rFonts w:ascii="Times New Roman" w:hAnsi="Times New Roman" w:eastAsia="宋体" w:cs="Times New Roman"/>
      <w:szCs w:val="24"/>
    </w:rPr>
  </w:style>
  <w:style w:type="character" w:customStyle="1" w:styleId="15">
    <w:name w:val="正文文本 Char"/>
    <w:basedOn w:val="10"/>
    <w:link w:val="2"/>
    <w:qFormat/>
    <w:uiPriority w:val="0"/>
    <w:rPr>
      <w:rFonts w:ascii="Times New Roman" w:hAnsi="Times New Roman" w:eastAsia="宋体" w:cs="Times New Roman"/>
      <w:sz w:val="29"/>
      <w:szCs w:val="24"/>
    </w:rPr>
  </w:style>
  <w:style w:type="character" w:customStyle="1" w:styleId="16">
    <w:name w:val="正文文本缩进 Char"/>
    <w:basedOn w:val="10"/>
    <w:link w:val="3"/>
    <w:semiHidden/>
    <w:qFormat/>
    <w:uiPriority w:val="99"/>
    <w:rPr>
      <w:rFonts w:ascii="Times New Roman" w:hAnsi="Times New Roman" w:eastAsia="宋体" w:cs="Times New Roman"/>
      <w:szCs w:val="24"/>
    </w:rPr>
  </w:style>
  <w:style w:type="character" w:customStyle="1" w:styleId="17">
    <w:name w:val="正文首行缩进 2 Char"/>
    <w:basedOn w:val="16"/>
    <w:link w:val="8"/>
    <w:qFormat/>
    <w:uiPriority w:val="0"/>
    <w:rPr>
      <w:rFonts w:ascii="方正小标宋简体" w:hAnsi="宋体" w:eastAsia="方正小标宋简体" w:cs="Times New Roman"/>
      <w:kern w:val="0"/>
      <w:sz w:val="44"/>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350</Words>
  <Characters>1997</Characters>
  <Lines>16</Lines>
  <Paragraphs>4</Paragraphs>
  <TotalTime>2</TotalTime>
  <ScaleCrop>false</ScaleCrop>
  <LinksUpToDate>false</LinksUpToDate>
  <CharactersWithSpaces>2343</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2025-07-09T13:54:00Z</dcterms:created>
  <dc:creator>AutoBVT</dc:creator>
  <cp:lastModifiedBy>chaoyue</cp:lastModifiedBy>
  <cp:lastPrinted>2025-08-01T05:33:00Z</cp:lastPrinted>
  <dcterms:modified xsi:type="dcterms:W3CDTF">2025-12-18T15:02:48Z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2297F2AC6C4E217618A7436965891BD2_43</vt:lpwstr>
  </property>
</Properties>
</file>