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仿宋" w:eastAsia="仿宋" w:hint="eastAsia"/>
          <w:b/>
          <w:bCs/>
          <w:sz w:val="28"/>
          <w:szCs w:val="28"/>
        </w:rPr>
      </w:pPr>
      <w:r>
        <w:rPr>
          <w:rFonts w:ascii="仿宋" w:eastAsia="仿宋" w:hint="eastAsia"/>
          <w:b/>
          <w:bCs/>
          <w:sz w:val="28"/>
          <w:szCs w:val="28"/>
        </w:rPr>
        <w:t>附件</w:t>
      </w:r>
      <w:r>
        <w:rPr>
          <w:rFonts w:ascii="仿宋" w:eastAsia="仿宋"/>
          <w:b/>
          <w:bCs/>
          <w:sz w:val="28"/>
          <w:szCs w:val="28"/>
        </w:rPr>
        <w:t>1</w:t>
      </w:r>
    </w:p>
    <w:p/>
    <w:p>
      <w:pPr>
        <w:jc w:val="center"/>
        <w:rPr>
          <w:rFonts w:ascii="华文中宋" w:eastAsia="华文中宋" w:hint="eastAsia"/>
          <w:b/>
          <w:sz w:val="36"/>
          <w:szCs w:val="36"/>
        </w:rPr>
      </w:pPr>
      <w:r>
        <w:rPr>
          <w:rFonts w:ascii="华文中宋" w:eastAsia="华文中宋" w:hint="eastAsia"/>
          <w:b/>
          <w:sz w:val="36"/>
          <w:szCs w:val="36"/>
        </w:rPr>
        <w:t>土壤污染重点监管单位法定义务</w:t>
      </w:r>
    </w:p>
    <w:p>
      <w:pPr>
        <w:snapToGrid w:val="0"/>
        <w:spacing w:line="360" w:lineRule="auto"/>
        <w:rPr>
          <w:b/>
        </w:rPr>
      </w:pPr>
    </w:p>
    <w:tbl>
      <w:tblPr>
        <w:jc w:val="left"/>
        <w:tblInd w:w="-521" w:type="dxa"/>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5"/>
        <w:gridCol w:w="1995"/>
        <w:gridCol w:w="6300"/>
      </w:tblGrid>
      <w:tr>
        <w:trPr>
          <w:tblHeader/>
        </w:trPr>
        <w:tc>
          <w:tcPr>
            <w:tcW w:w="735" w:type="dxa"/>
            <w:tcBorders>
              <w:tl2br w:val="nil"/>
              <w:tr2bl w:val="nil"/>
            </w:tcBorders>
          </w:tcPr>
          <w:p>
            <w:pPr>
              <w:jc w:val="center"/>
              <w:rPr>
                <w:rFonts w:ascii="仿宋" w:eastAsia="仿宋" w:hint="eastAsia"/>
                <w:b/>
                <w:sz w:val="24"/>
                <w:szCs w:val="24"/>
              </w:rPr>
            </w:pPr>
            <w:r>
              <w:rPr>
                <w:rFonts w:ascii="仿宋" w:eastAsia="仿宋" w:hint="eastAsia"/>
                <w:b/>
                <w:sz w:val="24"/>
                <w:szCs w:val="24"/>
              </w:rPr>
              <w:t>序号</w:t>
            </w:r>
          </w:p>
        </w:tc>
        <w:tc>
          <w:tcPr>
            <w:tcW w:w="1995" w:type="dxa"/>
            <w:tcBorders>
              <w:tl2br w:val="nil"/>
              <w:tr2bl w:val="nil"/>
            </w:tcBorders>
          </w:tcPr>
          <w:p>
            <w:pPr>
              <w:jc w:val="center"/>
              <w:rPr>
                <w:rFonts w:ascii="仿宋" w:eastAsia="仿宋" w:hint="eastAsia"/>
                <w:b/>
                <w:sz w:val="24"/>
                <w:szCs w:val="24"/>
              </w:rPr>
            </w:pPr>
            <w:r>
              <w:rPr>
                <w:rFonts w:ascii="仿宋" w:eastAsia="仿宋" w:hint="eastAsia"/>
                <w:b/>
                <w:sz w:val="24"/>
                <w:szCs w:val="24"/>
              </w:rPr>
              <w:t>法定义务</w:t>
            </w:r>
          </w:p>
        </w:tc>
        <w:tc>
          <w:tcPr>
            <w:tcW w:w="6300" w:type="dxa"/>
            <w:tcBorders>
              <w:tl2br w:val="nil"/>
              <w:tr2bl w:val="nil"/>
            </w:tcBorders>
          </w:tcPr>
          <w:p>
            <w:pPr>
              <w:jc w:val="center"/>
              <w:rPr>
                <w:rFonts w:ascii="仿宋" w:eastAsia="仿宋" w:hint="eastAsia"/>
                <w:b/>
                <w:sz w:val="24"/>
                <w:szCs w:val="24"/>
              </w:rPr>
            </w:pPr>
            <w:r>
              <w:rPr>
                <w:rFonts w:ascii="仿宋" w:eastAsia="仿宋" w:hint="eastAsia"/>
                <w:b/>
                <w:sz w:val="24"/>
                <w:szCs w:val="24"/>
              </w:rPr>
              <w:t>法律依据</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1</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有毒有害物质年度报告</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《土壤污染防治法》第二十一条 土壤污染重点监管单位应当履行下列义务：（一）严格控制有毒有害物质排放，并按年度向生态环境主管部门报告排放情况；</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2</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建立土壤污染隐患排查制度</w:t>
            </w:r>
          </w:p>
          <w:p>
            <w:pPr>
              <w:snapToGrid w:val="0"/>
              <w:jc w:val="left"/>
              <w:rPr>
                <w:rFonts w:ascii="仿宋" w:eastAsia="仿宋" w:hint="eastAsia"/>
                <w:szCs w:val="21"/>
              </w:rPr>
            </w:pP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1.《土壤污染防治法》第二十一条 土壤污染重点监管单位应当履行下列义务：（二）建立土壤污染隐患排查制度，保证持续有效防止有毒有害物质渗漏、流失、扬散；</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2.工矿用地土壤环境管理办法（试行）（部令 第3号）第十一条 重点单位应当建立土壤和地下水污染隐患排查治理制度，定期对重点区域、重点设施开展隐患排查。发现污染隐患的，应当制定整改方案，及时采取技术、管理措施消除隐患。隐患排查、治理情况应当如实记录并建立档案。</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3</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开展土壤自行监测并将监测数据报生态环境主管部门</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1.《土壤污染防治法》第二十一条 土壤污染重点监管单位应当履行下列义务：（三）制定、实施自行监测方案，并将监测数据报生态环境主管部门。</w:t>
            </w:r>
          </w:p>
          <w:p>
            <w:pPr>
              <w:snapToGrid w:val="0"/>
              <w:ind w:firstLineChars="200" w:firstLine="420"/>
              <w:jc w:val="left"/>
              <w:rPr>
                <w:rFonts w:ascii="仿宋" w:eastAsia="仿宋" w:hint="eastAsia"/>
                <w:szCs w:val="21"/>
              </w:rPr>
            </w:pPr>
            <w:r>
              <w:rPr>
                <w:rFonts w:ascii="仿宋" w:eastAsia="仿宋" w:hint="eastAsia"/>
                <w:szCs w:val="21"/>
              </w:rPr>
              <w:t>土壤污染重点监管单位应当对监测数据的真实性和准确性负责。生态环境主管部门发现土壤污染重点监管单位监测数据异常，应当及时进行调查。</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2.工矿用地土壤环境管理办法（试行）（部令 第3号）第十二条 重点单位应当按照相关技术规范要求，自行或者委托第三方定期开展土壤和地下水监测，重点监测存在污染隐患的区域和设施周边的土壤、地下水，并按照规定公开相关信息。</w:t>
            </w:r>
          </w:p>
        </w:tc>
      </w:tr>
      <w:tr>
        <w:trPr>
          <w:trHeight w:val="5968"/>
        </w:trP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4</w:t>
            </w:r>
          </w:p>
        </w:tc>
        <w:tc>
          <w:tcPr>
            <w:tcW w:w="199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企业开展拆除活动，编制应急措施在内的土壤污染防治工作方案。</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1.《土壤污染防治法》第二十二条：企业事业单位拆除设施、设备或者建筑物、构筑物的，应当采取相应的土壤污染防治措施。</w:t>
            </w:r>
          </w:p>
          <w:p>
            <w:pPr>
              <w:snapToGrid w:val="0"/>
              <w:ind w:firstLineChars="200" w:firstLine="420"/>
              <w:jc w:val="left"/>
              <w:rPr>
                <w:rFonts w:ascii="仿宋" w:eastAsia="仿宋" w:hint="eastAsia"/>
                <w:szCs w:val="21"/>
              </w:rPr>
            </w:pPr>
            <w:r>
              <w:rPr>
                <w:rFonts w:ascii="仿宋" w:eastAsia="仿宋" w:hint="eastAsia"/>
                <w:szCs w:val="21"/>
              </w:rPr>
              <w:t>土壤污染重点监管单位拆除设施、设备或者建筑物、构筑物的，应当制定包括应急措施在内的土壤污染防治工作方案，报地方人民政府生态环境、工业和信息化主管部门备案并实施。</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2.工矿用地土壤环境管理办法（试行）（部令 第3号）第十四条 重点单位拆除涉及有毒有害物质的生产设施设备、构筑物和污染治理设施的，应当按照有关规定，事先制定企业拆除活动污染防治方案，并在拆除活动前十五个工作日报所在地县级生态环境、工业和信息化主管部门备案。</w:t>
            </w:r>
          </w:p>
          <w:p>
            <w:pPr>
              <w:snapToGrid w:val="0"/>
              <w:ind w:firstLineChars="200" w:firstLine="420"/>
              <w:jc w:val="left"/>
              <w:rPr>
                <w:rFonts w:ascii="仿宋" w:eastAsia="仿宋" w:hint="eastAsia"/>
                <w:szCs w:val="21"/>
              </w:rPr>
            </w:pPr>
            <w:r>
              <w:rPr>
                <w:rFonts w:ascii="仿宋" w:eastAsia="仿宋" w:hint="eastAsia"/>
                <w:szCs w:val="21"/>
              </w:rPr>
              <w:t>企业拆除活动污染防治方案应当包括被拆除生产设施设备、构筑物和污染治理设施的基本情况、拆除活动全过程土壤污染防治的技术要求、针对周边环境的污染防治要求等内容。</w:t>
            </w:r>
          </w:p>
          <w:p>
            <w:pPr>
              <w:snapToGrid w:val="0"/>
              <w:ind w:firstLineChars="200" w:firstLine="420"/>
              <w:jc w:val="left"/>
              <w:rPr>
                <w:rFonts w:ascii="仿宋" w:eastAsia="仿宋" w:hint="eastAsia"/>
                <w:szCs w:val="21"/>
              </w:rPr>
            </w:pPr>
            <w:r>
              <w:rPr>
                <w:rFonts w:ascii="仿宋" w:eastAsia="仿宋" w:hint="eastAsia"/>
                <w:szCs w:val="21"/>
              </w:rPr>
              <w:t>重点单位拆除活动应当严格按照有关规定实施残留物料和污染物、污染设备和设施的安全处理处置，并做好拆除活动相关记录，防范拆除活动污染土壤和地下水。拆除活动相关记录应当长期保存。</w:t>
            </w:r>
          </w:p>
          <w:p>
            <w:pPr>
              <w:snapToGrid w:val="0"/>
              <w:ind w:firstLineChars="200" w:firstLine="420"/>
              <w:jc w:val="left"/>
              <w:rPr>
                <w:rFonts w:ascii="仿宋" w:eastAsia="仿宋" w:hint="eastAsia"/>
                <w:szCs w:val="21"/>
              </w:rPr>
            </w:pPr>
            <w:r>
              <w:rPr>
                <w:rFonts w:ascii="仿宋" w:eastAsia="仿宋" w:hint="eastAsia"/>
                <w:szCs w:val="21"/>
              </w:rPr>
              <w:t>3.工矿用地土壤环境管理办法（试行）（部令 第3号）第十五条 重点单位突发环境事件应急预案应当包括防止土壤和地下水污染相关内容。</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5</w:t>
            </w:r>
          </w:p>
        </w:tc>
        <w:tc>
          <w:tcPr>
            <w:tcW w:w="1995" w:type="dxa"/>
            <w:tcBorders>
              <w:tl2br w:val="nil"/>
              <w:tr2bl w:val="nil"/>
            </w:tcBorders>
            <w:vAlign w:val="center"/>
          </w:tcPr>
          <w:p>
            <w:pPr>
              <w:snapToGrid w:val="0"/>
              <w:rPr>
                <w:rFonts w:ascii="仿宋" w:eastAsia="仿宋" w:hint="eastAsia"/>
                <w:szCs w:val="21"/>
              </w:rPr>
            </w:pPr>
            <w:r>
              <w:rPr>
                <w:rFonts w:ascii="仿宋" w:eastAsia="仿宋" w:hint="eastAsia"/>
                <w:szCs w:val="21"/>
              </w:rPr>
              <w:t>属于重点监管的尾矿库的运营、管理单位应按规定进行土壤污染状况监测和定期评估。</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《土壤污染防治法》第二十三条第（二）款　尾矿库运营、管理单位应当按照规定，加强尾矿库的安全管理，采取措施防止土壤污染。危库、险库、病库以及其他需要重点监管的尾矿库的运营、管理单位应当按照规定，进行土壤污染状况监测和定期评估。</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6</w:t>
            </w:r>
          </w:p>
        </w:tc>
        <w:tc>
          <w:tcPr>
            <w:tcW w:w="1995" w:type="dxa"/>
            <w:tcBorders>
              <w:tl2br w:val="nil"/>
              <w:tr2bl w:val="nil"/>
            </w:tcBorders>
            <w:vAlign w:val="center"/>
          </w:tcPr>
          <w:p>
            <w:pPr>
              <w:snapToGrid w:val="0"/>
              <w:rPr>
                <w:rFonts w:ascii="仿宋" w:eastAsia="仿宋" w:hint="eastAsia"/>
                <w:szCs w:val="21"/>
              </w:rPr>
            </w:pPr>
            <w:r>
              <w:rPr>
                <w:rFonts w:ascii="仿宋" w:eastAsia="仿宋" w:hint="eastAsia"/>
                <w:szCs w:val="21"/>
              </w:rPr>
              <w:t>禁止向农用地排放三类物质</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《土壤污染防治法》第二十八条　禁止向农用地排放重金属或者其他有毒有害物质含量超标的污水、污泥，以及可能造成土壤污染的清淤底泥、尾矿、矿渣等。</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7</w:t>
            </w:r>
          </w:p>
        </w:tc>
        <w:tc>
          <w:tcPr>
            <w:tcW w:w="1995" w:type="dxa"/>
            <w:tcBorders>
              <w:tl2br w:val="nil"/>
              <w:tr2bl w:val="nil"/>
            </w:tcBorders>
            <w:vAlign w:val="center"/>
          </w:tcPr>
          <w:p>
            <w:pPr>
              <w:snapToGrid w:val="0"/>
              <w:rPr>
                <w:rFonts w:ascii="仿宋" w:eastAsia="仿宋" w:hint="eastAsia"/>
                <w:szCs w:val="21"/>
              </w:rPr>
            </w:pPr>
            <w:r>
              <w:rPr>
                <w:rFonts w:ascii="仿宋" w:eastAsia="仿宋" w:hint="eastAsia"/>
                <w:szCs w:val="21"/>
              </w:rPr>
              <w:t>企业用地用途变更，依法开展土壤污染状况调查并将调查报告报生态环境主管部门备案</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1.《土壤污染防治法》第六十七条　土壤污染重点监管单位生产经营用地的用途变更或者在其土地使用权收回、转让前，应当由土地使用权人按照规定进行土壤污染状况调查。土壤污染状况调查报告应当作为不动产登记资料送交地方人民政府不动产登记机构，并报地方人民政府生态环境主管部门备案。</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2.工矿用地土壤环境管理办法（试行）（部令 第3号） 第八条  重点单位新、改、扩建项目用地应当符合国家或者地方有关建设用地土壤污染风险管控标准。</w:t>
            </w:r>
          </w:p>
          <w:p>
            <w:pPr>
              <w:snapToGrid w:val="0"/>
              <w:ind w:firstLineChars="200" w:firstLine="420"/>
              <w:jc w:val="left"/>
              <w:rPr>
                <w:rFonts w:ascii="仿宋" w:eastAsia="仿宋" w:hint="eastAsia"/>
                <w:szCs w:val="21"/>
              </w:rPr>
            </w:pPr>
            <w:r>
              <w:rPr>
                <w:rFonts w:ascii="仿宋" w:eastAsia="仿宋" w:hint="eastAsia"/>
                <w:szCs w:val="21"/>
              </w:rPr>
              <w:t>3.工矿用地土壤环境管理办法（试行）（部令 第3号） 第十三条 重点单位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p>
            <w:pPr>
              <w:snapToGrid w:val="0"/>
              <w:ind w:firstLineChars="200" w:firstLine="420"/>
              <w:jc w:val="left"/>
              <w:rPr>
                <w:rFonts w:ascii="仿宋" w:eastAsia="仿宋" w:hint="eastAsia"/>
                <w:szCs w:val="21"/>
              </w:rPr>
            </w:pPr>
            <w:r>
              <w:rPr>
                <w:rFonts w:ascii="仿宋" w:eastAsia="仿宋" w:hint="eastAsia"/>
                <w:szCs w:val="21"/>
              </w:rPr>
              <w:t>4.工矿用地土壤环境管理办法（试行）（部令 第3号）第十六条 重点单位终止生产经营活动前，应当参照污染地块土壤环境管理有关规定，开展土壤和地下水环境初步调查，编制调查报告，及时上传全国污染地块土壤环境管理信息系统。</w:t>
            </w:r>
          </w:p>
          <w:p>
            <w:pPr>
              <w:snapToGrid w:val="0"/>
              <w:jc w:val="left"/>
              <w:rPr>
                <w:rFonts w:ascii="仿宋" w:eastAsia="仿宋" w:hint="eastAsia"/>
                <w:szCs w:val="21"/>
              </w:rPr>
            </w:pPr>
            <w:r>
              <w:rPr>
                <w:rFonts w:ascii="仿宋" w:eastAsia="仿宋" w:hint="eastAsia"/>
                <w:szCs w:val="21"/>
              </w:rPr>
              <w:t>　　重点单位应当将前款规定的调查报告主要内容通过其网站等便于公众知晓的方式向社会公开。</w:t>
            </w:r>
          </w:p>
          <w:p>
            <w:pPr>
              <w:snapToGrid w:val="0"/>
              <w:ind w:firstLine="420"/>
              <w:jc w:val="left"/>
              <w:rPr>
                <w:rFonts w:ascii="仿宋" w:eastAsia="仿宋" w:hint="eastAsia"/>
                <w:szCs w:val="21"/>
              </w:rPr>
            </w:pPr>
            <w:r>
              <w:rPr>
                <w:rFonts w:ascii="仿宋" w:eastAsia="仿宋" w:hint="eastAsia"/>
                <w:szCs w:val="21"/>
              </w:rPr>
              <w:t>土壤和地下水环境初步调查发现该重点单位用地污染物含量超过国家或者地方有关建设用地土壤污染风险管控标准的，应当参照污染地块土壤环境管理有关规定开展详细调查、风险评估、风险管控、治理与修复等活动。</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8</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新、改、扩建项目应当依法进行环境影响评价，并开展工矿用地土壤和地下水环境现状调查，编制调查报告并向社会公开。</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1.《土壤污染防治法》第十八条　各类涉及土地利用的规划和可能造成土壤污染的建设项目，应当依法进行环境影响评价。环境影响评价文件应当包括对土壤可能造成的不良影响及应当采取的相应预防措施等内容。</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2.《工矿用地土壤环境管理办法（试行）》（部令 第3号）第七条 重点单位新、改、扩建项目，应当在开展建设项目环境影响评价时，按照国家有关技术规范开展工矿用地土壤和地下水环境现状调查，编制调查报告，并按规定上报环境影响评价基础数据库。</w:t>
            </w:r>
          </w:p>
          <w:p>
            <w:pPr>
              <w:snapToGrid w:val="0"/>
              <w:ind w:firstLineChars="200" w:firstLine="420"/>
              <w:jc w:val="left"/>
              <w:rPr>
                <w:rFonts w:ascii="仿宋" w:eastAsia="仿宋" w:hint="eastAsia"/>
                <w:szCs w:val="21"/>
              </w:rPr>
            </w:pPr>
            <w:r>
              <w:rPr>
                <w:rFonts w:ascii="仿宋" w:eastAsia="仿宋" w:hint="eastAsia"/>
                <w:szCs w:val="21"/>
              </w:rPr>
              <w:t>重点单位应当将前款规定的调查报告主要内容通过其网站等便于公众知晓的方式向社会公开。</w:t>
            </w:r>
          </w:p>
        </w:tc>
      </w:tr>
      <w:tr>
        <w:trPr>
          <w:trHeight w:val="1934"/>
        </w:trP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9</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设施设备防泄漏</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工矿用地土壤环境管理办法（试行）（部令 第3号）第九条 重点单位建设涉及有毒有害物质的生产装置、储罐和管道，或者建设污水处理池、应急池等存在土壤污染风险的设施，应当按照国家有关标准和规范的要求，设计、建设和安装有关防腐蚀、防泄漏设施和泄漏监测装置，防止有毒有害物质污染土壤和地下水。</w:t>
            </w: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10</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有毒有害物质地下储罐备案</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1.《工矿用地土壤环境管理办法（试行）》（部令 第3号）第十条 重点单位现有地下储罐储存有毒有害物质的，应当在本办法公布后一年之内，将地下储罐的信息报所在地设区的市级生态环境主管部门备案。</w:t>
            </w:r>
          </w:p>
          <w:p>
            <w:pPr>
              <w:snapToGrid w:val="0"/>
              <w:ind w:firstLineChars="200" w:firstLine="420"/>
              <w:jc w:val="left"/>
              <w:rPr>
                <w:rFonts w:ascii="仿宋" w:eastAsia="仿宋" w:hint="eastAsia"/>
                <w:szCs w:val="21"/>
              </w:rPr>
            </w:pPr>
            <w:r>
              <w:rPr>
                <w:rFonts w:ascii="仿宋" w:eastAsia="仿宋" w:hint="eastAsia"/>
                <w:szCs w:val="21"/>
              </w:rPr>
              <w:t>重点单位新、改、扩建项目地下储罐储存有毒有害物质的，应当在项目投入生产或者使用之前，将地下储罐的信息报所在地设区的市级生态环境主管部门备案。</w:t>
            </w:r>
          </w:p>
          <w:p>
            <w:pPr>
              <w:snapToGrid w:val="0"/>
              <w:jc w:val="left"/>
              <w:rPr>
                <w:rFonts w:ascii="仿宋" w:eastAsia="仿宋" w:hint="eastAsia"/>
                <w:szCs w:val="21"/>
              </w:rPr>
            </w:pPr>
            <w:r>
              <w:rPr>
                <w:rFonts w:ascii="仿宋" w:eastAsia="仿宋" w:hint="eastAsia"/>
                <w:szCs w:val="21"/>
              </w:rPr>
              <w:t>　　地下储罐的信息包括地下储罐的使用年限、类型、规格、位置和使用情况等。</w:t>
            </w:r>
          </w:p>
          <w:p>
            <w:pPr>
              <w:snapToGrid w:val="0"/>
              <w:ind w:firstLineChars="150" w:firstLine="315"/>
              <w:jc w:val="left"/>
              <w:rPr>
                <w:rFonts w:ascii="仿宋" w:eastAsia="仿宋" w:hint="eastAsia"/>
                <w:szCs w:val="21"/>
              </w:rPr>
            </w:pPr>
          </w:p>
        </w:tc>
      </w:tr>
      <w:tr>
        <w:tc>
          <w:tcPr>
            <w:tcW w:w="735" w:type="dxa"/>
            <w:tcBorders>
              <w:tl2br w:val="nil"/>
              <w:tr2bl w:val="nil"/>
            </w:tcBorders>
            <w:vAlign w:val="center"/>
          </w:tcPr>
          <w:p>
            <w:pPr>
              <w:snapToGrid w:val="0"/>
              <w:jc w:val="center"/>
              <w:rPr>
                <w:rFonts w:ascii="仿宋" w:eastAsia="仿宋" w:hint="eastAsia"/>
                <w:szCs w:val="21"/>
              </w:rPr>
            </w:pPr>
            <w:r>
              <w:rPr>
                <w:rFonts w:ascii="仿宋" w:eastAsia="仿宋" w:hint="eastAsia"/>
                <w:szCs w:val="21"/>
              </w:rPr>
              <w:t>11</w:t>
            </w:r>
          </w:p>
        </w:tc>
        <w:tc>
          <w:tcPr>
            <w:tcW w:w="1995" w:type="dxa"/>
            <w:tcBorders>
              <w:tl2br w:val="nil"/>
              <w:tr2bl w:val="nil"/>
            </w:tcBorders>
            <w:vAlign w:val="center"/>
          </w:tcPr>
          <w:p>
            <w:pPr>
              <w:snapToGrid w:val="0"/>
              <w:jc w:val="left"/>
              <w:rPr>
                <w:rFonts w:ascii="仿宋" w:eastAsia="仿宋" w:hint="eastAsia"/>
                <w:szCs w:val="21"/>
              </w:rPr>
            </w:pPr>
            <w:r>
              <w:rPr>
                <w:rFonts w:ascii="仿宋" w:eastAsia="仿宋" w:hint="eastAsia"/>
                <w:szCs w:val="21"/>
              </w:rPr>
              <w:t>企业应积极配合检查，如实反映有关情况</w:t>
            </w:r>
          </w:p>
        </w:tc>
        <w:tc>
          <w:tcPr>
            <w:tcW w:w="6300" w:type="dxa"/>
            <w:tcBorders>
              <w:tl2br w:val="nil"/>
              <w:tr2bl w:val="nil"/>
            </w:tcBorders>
          </w:tcPr>
          <w:p>
            <w:pPr>
              <w:snapToGrid w:val="0"/>
              <w:ind w:firstLineChars="200" w:firstLine="420"/>
              <w:jc w:val="left"/>
              <w:rPr>
                <w:rFonts w:ascii="仿宋" w:eastAsia="仿宋" w:hint="eastAsia"/>
                <w:szCs w:val="21"/>
              </w:rPr>
            </w:pPr>
            <w:r>
              <w:rPr>
                <w:rFonts w:ascii="仿宋" w:eastAsia="仿宋" w:hint="eastAsia"/>
                <w:szCs w:val="21"/>
              </w:rPr>
              <w:t>1.《土壤污染防治法》第七十七条　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被检查者应当配合检查工作，如实反映情况，提供必要的资料。实施现场检查的部门、机构及其工作人员应当为被检查者保守商业秘密。</w:t>
            </w:r>
          </w:p>
          <w:p>
            <w:pPr>
              <w:snapToGrid w:val="0"/>
              <w:ind w:firstLineChars="200" w:firstLine="420"/>
              <w:jc w:val="left"/>
              <w:rPr>
                <w:rFonts w:ascii="仿宋" w:eastAsia="仿宋" w:hint="eastAsia"/>
                <w:szCs w:val="21"/>
              </w:rPr>
            </w:pPr>
            <w:r>
              <w:rPr>
                <w:rFonts w:ascii="仿宋" w:eastAsia="仿宋" w:hint="eastAsia"/>
                <w:szCs w:val="21"/>
              </w:rPr>
              <w:t>2.《工矿用地土壤环境管理办法（试行）》第十七条　县级以上生态环境主管部门有权对本行政区域内的重点单位进行现场检查。被检查单位应当予以配合，如实反映情况，提供必要的资料。实施现场检查的部门、机构及其工作人员应当为被检查单位保守商业秘密。</w:t>
            </w:r>
          </w:p>
          <w:p>
            <w:pPr>
              <w:snapToGrid w:val="0"/>
              <w:ind w:firstLineChars="200" w:firstLine="420"/>
              <w:jc w:val="left"/>
              <w:rPr>
                <w:rFonts w:ascii="仿宋" w:eastAsia="仿宋" w:hint="eastAsia"/>
                <w:szCs w:val="21"/>
              </w:rPr>
            </w:pPr>
          </w:p>
        </w:tc>
      </w:tr>
    </w:tbl>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b/>
          <w:bCs/>
          <w:sz w:val="36"/>
          <w:szCs w:val="36"/>
        </w:rPr>
      </w:pPr>
    </w:p>
    <w:p>
      <w:pPr>
        <w:pStyle w:val="15"/>
        <w:pBdr>
          <w:top w:val="none" w:sz="0" w:space="0" w:color="auto"/>
          <w:left w:val="none" w:sz="0" w:space="0" w:color="auto"/>
          <w:bottom w:val="none" w:sz="0" w:space="0" w:color="auto"/>
          <w:right w:val="none" w:sz="0" w:space="0" w:color="auto"/>
        </w:pBdr>
        <w:shd w:val="clear" w:color="auto" w:fill="FFFFFF"/>
        <w:adjustRightInd w:val="0"/>
        <w:snapToGrid w:val="0"/>
        <w:spacing w:before="0" w:beforeAutospacing="0" w:after="0" w:afterAutospacing="0" w:line="360" w:lineRule="auto"/>
        <w:ind w:left="0"/>
        <w:jc w:val="both"/>
        <w:rPr>
          <w:rFonts w:ascii="华文中宋" w:eastAsia="华文中宋" w:hint="eastAsia"/>
          <w:b/>
          <w:bCs/>
          <w:sz w:val="36"/>
          <w:szCs w:val="36"/>
        </w:rPr>
      </w:pPr>
      <w:bookmarkStart w:id="0" w:name="_GoBack"/>
      <w:bookmarkEnd w:id="0"/>
    </w:p>
    <w:sectPr>
      <w:footerReference w:type="default" r:id="rId2"/>
      <w:footerReference w:type="even" r:id="rId3"/>
      <w:pgSz w:w="11907" w:h="16839"/>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6"/>
      <w:tabs>
        <w:tab w:val="center" w:pos="4153"/>
        <w:tab w:val="right" w:pos="8307"/>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pBdr>
        <w:top w:val="none" w:sz="0" w:space="0" w:color="auto"/>
        <w:left w:val="none" w:sz="0" w:space="0" w:color="auto"/>
        <w:bottom w:val="none" w:sz="0" w:space="0" w:color="auto"/>
        <w:right w:val="none" w:sz="0" w:space="0" w:color="auto"/>
      </w:pBdr>
      <w:tabs>
        <w:tab w:val="center" w:pos="4153"/>
        <w:tab w:val="right" w:pos="8307"/>
      </w:tabs>
    </w:pPr>
    <w:r>
      <w:rPr>
        <w:rStyle w:val="17"/>
      </w:rPr>
      <w:fldChar w:fldCharType="begin"/>
    </w:r>
    <w:r>
      <w:rPr>
        <w:rStyle w:val="17"/>
      </w:rPr>
      <w:instrText>Page</w:instrText>
    </w:r>
    <w:r>
      <w:rPr>
        <w:rStyle w:val="17"/>
      </w:rPr>
      <w:fldChar w:fldCharType="separate"/>
    </w:r>
    <w:r>
      <w:rPr>
        <w:rStyle w:val="17"/>
      </w:rPr>
      <w:t>1</w:t>
    </w:r>
    <w:r>
      <w:rPr>
        <w:rStyle w:val="17"/>
      </w:rPr>
      <w:fldChar w:fldCharType="end"/>
    </w:r>
  </w:p>
  <w:p>
    <w:pPr>
      <w:pStyle w:val="16"/>
      <w:tabs>
        <w:tab w:val="center" w:pos="4153"/>
        <w:tab w:val="right" w:pos="8307"/>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Web)"/>
    <w:pPr>
      <w:widowControl w:val="0"/>
      <w:spacing w:before="100" w:beforeAutospacing="1" w:after="100" w:afterAutospacing="1" w:line="240" w:lineRule="auto"/>
      <w:jc w:val="left"/>
    </w:pPr>
    <w:rPr>
      <w:rFonts w:ascii="宋体" w:eastAsia="宋体" w:cs="Times New Roman"/>
      <w:kern w:val="2"/>
      <w:sz w:val="24"/>
      <w:szCs w:val="21"/>
      <w:lang w:val="en-US" w:eastAsia="zh-CN" w:bidi="ar-SA"/>
    </w:rPr>
  </w:style>
  <w:style w:type="paragraph" w:styleId="16">
    <w:name w:val="footer"/>
    <w:basedOn w:val="0"/>
    <w:pPr>
      <w:tabs>
        <w:tab w:val="center" w:pos="4153"/>
        <w:tab w:val="right" w:pos="8307"/>
      </w:tabs>
      <w:snapToGrid w:val="0"/>
      <w:jc w:val="left"/>
    </w:pPr>
    <w:rPr>
      <w:sz w:val="18"/>
    </w:rPr>
  </w:style>
  <w:style w:type="character" w:styleId="17">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1685</TotalTime>
  <Application>Yozo_Office</Application>
  <Pages>3</Pages>
  <Words>2927</Words>
  <Characters>2945</Characters>
  <Lines>173</Lines>
  <Paragraphs>56</Paragraphs>
  <CharactersWithSpaces>2981</CharactersWithSpaces>
  <Company>11</Company>
</Properties>
</file>

<file path=docProps/core.xml><?xml version="1.0" encoding="utf-8"?>
<cp:coreProperties xmlns:cp="http://schemas.openxmlformats.org/package/2006/metadata/core-properties" xmlns:dc="http://purl.org/dc/elements/1.1/" xmlns:dcterms="http://purl.org/dc/terms/" xmlns:xsi="http://www.w3.org/2001/XMLSchema-instance">
  <dc:creator>lin</dc:creator>
  <cp:lastModifiedBy>lin</cp:lastModifiedBy>
  <cp:revision>1</cp:revision>
  <cp:lastPrinted>2020-03-17T02:48:25Z</cp:lastPrinted>
  <dcterms:created xsi:type="dcterms:W3CDTF">2020-03-04T08:41:38Z</dcterms:created>
  <dcterms:modified xsi:type="dcterms:W3CDTF">2020-03-22T07:31:04Z</dcterms:modified>
</cp:coreProperties>
</file>