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2E0" w:rsidRDefault="004032E0">
      <w:pPr>
        <w:pStyle w:val="1"/>
        <w:adjustRightInd w:val="0"/>
        <w:snapToGrid w:val="0"/>
        <w:spacing w:line="360" w:lineRule="auto"/>
        <w:jc w:val="center"/>
        <w:rPr>
          <w:rFonts w:ascii="方正小标宋_GBK" w:eastAsia="方正小标宋_GBK" w:hAnsi="方正小标宋_GBK" w:cs="方正小标宋_GBK"/>
          <w:sz w:val="28"/>
          <w:szCs w:val="28"/>
        </w:rPr>
      </w:pPr>
      <w:bookmarkStart w:id="0" w:name="_Toc34058951"/>
    </w:p>
    <w:p w:rsidR="004032E0" w:rsidRDefault="004032E0">
      <w:pPr>
        <w:spacing w:line="360" w:lineRule="auto"/>
      </w:pPr>
    </w:p>
    <w:p w:rsidR="004032E0" w:rsidRDefault="00E86E11">
      <w:pPr>
        <w:pStyle w:val="1"/>
        <w:adjustRightInd w:val="0"/>
        <w:snapToGrid w:val="0"/>
        <w:spacing w:line="360" w:lineRule="auto"/>
        <w:jc w:val="center"/>
        <w:rPr>
          <w:rFonts w:ascii="方正小标宋_GBK" w:eastAsia="方正小标宋_GBK" w:hAnsi="方正小标宋_GBK" w:cs="方正小标宋_GBK"/>
          <w:sz w:val="36"/>
          <w:szCs w:val="36"/>
        </w:rPr>
      </w:pPr>
      <w:bookmarkStart w:id="1" w:name="_Toc27722"/>
      <w:bookmarkStart w:id="2" w:name="_Toc11163"/>
      <w:bookmarkStart w:id="3" w:name="_Toc761"/>
      <w:bookmarkStart w:id="4" w:name="_Toc26065"/>
      <w:bookmarkStart w:id="5" w:name="_Toc13325"/>
      <w:bookmarkStart w:id="6" w:name="_Toc11986"/>
      <w:bookmarkStart w:id="7" w:name="_Toc3592"/>
      <w:bookmarkStart w:id="8" w:name="_Toc25534"/>
      <w:bookmarkStart w:id="9" w:name="_Toc16490"/>
      <w:bookmarkStart w:id="10" w:name="_Toc1987"/>
      <w:bookmarkStart w:id="11" w:name="_Toc29637"/>
      <w:bookmarkStart w:id="12" w:name="_Toc834"/>
      <w:bookmarkStart w:id="13" w:name="_Toc15413"/>
      <w:bookmarkStart w:id="14" w:name="_Toc27640"/>
      <w:bookmarkStart w:id="15" w:name="_Toc29894"/>
      <w:bookmarkStart w:id="16" w:name="_Toc1830"/>
      <w:bookmarkStart w:id="17" w:name="_Toc21883"/>
      <w:r>
        <w:rPr>
          <w:rFonts w:ascii="方正小标宋_GBK" w:eastAsia="方正小标宋_GBK" w:hAnsi="方正小标宋_GBK" w:cs="方正小标宋_GBK" w:hint="eastAsia"/>
          <w:sz w:val="36"/>
          <w:szCs w:val="36"/>
        </w:rPr>
        <w:t>2019年度泉州市</w:t>
      </w:r>
      <w:bookmarkEnd w:id="1"/>
      <w:bookmarkEnd w:id="2"/>
      <w:bookmarkEnd w:id="3"/>
      <w:bookmarkEnd w:id="4"/>
      <w:bookmarkEnd w:id="5"/>
      <w:bookmarkEnd w:id="6"/>
      <w:bookmarkEnd w:id="7"/>
      <w:r>
        <w:rPr>
          <w:rFonts w:ascii="方正小标宋_GBK" w:eastAsia="方正小标宋_GBK" w:hAnsi="方正小标宋_GBK" w:cs="方正小标宋_GBK" w:hint="eastAsia"/>
          <w:sz w:val="36"/>
          <w:szCs w:val="36"/>
        </w:rPr>
        <w:t>乡村振兴专项资金</w:t>
      </w:r>
      <w:bookmarkEnd w:id="8"/>
      <w:bookmarkEnd w:id="9"/>
      <w:bookmarkEnd w:id="10"/>
      <w:bookmarkEnd w:id="11"/>
      <w:bookmarkEnd w:id="12"/>
      <w:bookmarkEnd w:id="13"/>
      <w:bookmarkEnd w:id="14"/>
      <w:bookmarkEnd w:id="15"/>
      <w:bookmarkEnd w:id="16"/>
      <w:bookmarkEnd w:id="17"/>
    </w:p>
    <w:p w:rsidR="004032E0" w:rsidRDefault="00E86E11">
      <w:pPr>
        <w:pStyle w:val="1"/>
        <w:adjustRightInd w:val="0"/>
        <w:snapToGrid w:val="0"/>
        <w:spacing w:line="360" w:lineRule="auto"/>
        <w:jc w:val="center"/>
        <w:rPr>
          <w:rFonts w:ascii="方正小标宋_GBK" w:eastAsia="方正小标宋_GBK" w:hAnsi="方正小标宋_GBK" w:cs="方正小标宋_GBK"/>
          <w:sz w:val="48"/>
          <w:szCs w:val="48"/>
        </w:rPr>
      </w:pPr>
      <w:bookmarkStart w:id="18" w:name="_Toc17183"/>
      <w:bookmarkStart w:id="19" w:name="_Toc16584"/>
      <w:bookmarkStart w:id="20" w:name="_Toc32437"/>
      <w:bookmarkStart w:id="21" w:name="_Toc25179"/>
      <w:bookmarkStart w:id="22" w:name="_Toc14285"/>
      <w:bookmarkStart w:id="23" w:name="_Toc9594"/>
      <w:bookmarkStart w:id="24" w:name="_Toc18676"/>
      <w:bookmarkStart w:id="25" w:name="_Toc23678"/>
      <w:bookmarkStart w:id="26" w:name="_Toc5473"/>
      <w:bookmarkStart w:id="27" w:name="_Toc21083"/>
      <w:bookmarkStart w:id="28" w:name="_Toc4369"/>
      <w:bookmarkStart w:id="29" w:name="_Toc17133"/>
      <w:bookmarkStart w:id="30" w:name="_Toc14123"/>
      <w:bookmarkStart w:id="31" w:name="_Toc24834"/>
      <w:bookmarkStart w:id="32" w:name="_Toc1588"/>
      <w:bookmarkStart w:id="33" w:name="_Toc5074"/>
      <w:bookmarkStart w:id="34" w:name="_Toc7801"/>
      <w:r>
        <w:rPr>
          <w:rFonts w:ascii="方正小标宋_GBK" w:eastAsia="方正小标宋_GBK" w:hAnsi="方正小标宋_GBK" w:cs="方正小标宋_GBK" w:hint="eastAsia"/>
          <w:sz w:val="52"/>
          <w:szCs w:val="52"/>
        </w:rPr>
        <w:t>绩效评价报告</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032E0" w:rsidRDefault="004032E0">
      <w:pPr>
        <w:adjustRightInd w:val="0"/>
        <w:snapToGrid w:val="0"/>
        <w:spacing w:line="360" w:lineRule="auto"/>
        <w:jc w:val="center"/>
        <w:rPr>
          <w:rFonts w:asciiTheme="majorEastAsia" w:eastAsiaTheme="majorEastAsia" w:hAnsiTheme="majorEastAsia" w:cstheme="majorEastAsia"/>
          <w:b/>
          <w:bCs/>
          <w:sz w:val="28"/>
          <w:szCs w:val="28"/>
        </w:rPr>
      </w:pPr>
    </w:p>
    <w:p w:rsidR="004032E0" w:rsidRDefault="004032E0">
      <w:pPr>
        <w:adjustRightInd w:val="0"/>
        <w:snapToGrid w:val="0"/>
        <w:spacing w:line="360" w:lineRule="auto"/>
        <w:jc w:val="center"/>
        <w:rPr>
          <w:rFonts w:asciiTheme="majorEastAsia" w:eastAsiaTheme="majorEastAsia" w:hAnsiTheme="majorEastAsia" w:cstheme="majorEastAsia"/>
          <w:b/>
          <w:bCs/>
          <w:sz w:val="28"/>
          <w:szCs w:val="28"/>
        </w:rPr>
      </w:pPr>
    </w:p>
    <w:p w:rsidR="004032E0" w:rsidRDefault="004032E0">
      <w:pPr>
        <w:adjustRightInd w:val="0"/>
        <w:snapToGrid w:val="0"/>
        <w:spacing w:line="360" w:lineRule="auto"/>
        <w:rPr>
          <w:rFonts w:asciiTheme="majorEastAsia" w:eastAsiaTheme="majorEastAsia" w:hAnsiTheme="majorEastAsia" w:cstheme="majorEastAsia"/>
          <w:b/>
          <w:bCs/>
          <w:sz w:val="28"/>
          <w:szCs w:val="28"/>
        </w:rPr>
      </w:pPr>
    </w:p>
    <w:p w:rsidR="004032E0" w:rsidRDefault="004032E0">
      <w:pPr>
        <w:adjustRightInd w:val="0"/>
        <w:snapToGrid w:val="0"/>
        <w:spacing w:line="360" w:lineRule="auto"/>
        <w:jc w:val="center"/>
        <w:rPr>
          <w:rFonts w:asciiTheme="majorEastAsia" w:eastAsiaTheme="majorEastAsia" w:hAnsiTheme="majorEastAsia" w:cstheme="majorEastAsia"/>
          <w:b/>
          <w:bCs/>
          <w:sz w:val="28"/>
          <w:szCs w:val="28"/>
        </w:rPr>
      </w:pPr>
    </w:p>
    <w:p w:rsidR="004032E0" w:rsidRDefault="00E86E11">
      <w:pPr>
        <w:spacing w:line="360" w:lineRule="auto"/>
        <w:ind w:rightChars="-94" w:right="-282" w:firstLineChars="200" w:firstLine="643"/>
        <w:jc w:val="left"/>
        <w:rPr>
          <w:rFonts w:ascii="楷体" w:eastAsia="楷体" w:hAnsi="楷体" w:cs="楷体"/>
          <w:b/>
          <w:bCs/>
          <w:sz w:val="32"/>
          <w:szCs w:val="32"/>
          <w:u w:val="single"/>
        </w:rPr>
      </w:pPr>
      <w:r>
        <w:rPr>
          <w:rFonts w:ascii="楷体" w:eastAsia="楷体" w:hAnsi="楷体" w:cs="楷体" w:hint="eastAsia"/>
          <w:b/>
          <w:bCs/>
          <w:sz w:val="32"/>
          <w:szCs w:val="32"/>
        </w:rPr>
        <w:t>项 目 名称</w:t>
      </w:r>
      <w:r>
        <w:rPr>
          <w:rFonts w:ascii="楷体" w:eastAsia="楷体" w:hAnsi="楷体" w:cs="楷体" w:hint="eastAsia"/>
          <w:b/>
          <w:bCs/>
          <w:sz w:val="32"/>
          <w:szCs w:val="32"/>
          <w:u w:val="single"/>
        </w:rPr>
        <w:t xml:space="preserve">   乡村振兴专项资金        </w:t>
      </w:r>
    </w:p>
    <w:p w:rsidR="004032E0" w:rsidRDefault="00E86E11">
      <w:pPr>
        <w:spacing w:line="360" w:lineRule="auto"/>
        <w:ind w:rightChars="-94" w:right="-282" w:firstLineChars="200" w:firstLine="643"/>
        <w:jc w:val="left"/>
        <w:rPr>
          <w:rFonts w:ascii="楷体" w:eastAsia="楷体" w:hAnsi="楷体" w:cs="楷体"/>
          <w:b/>
          <w:bCs/>
          <w:sz w:val="32"/>
          <w:szCs w:val="32"/>
          <w:u w:val="single"/>
        </w:rPr>
      </w:pPr>
      <w:r>
        <w:rPr>
          <w:rFonts w:ascii="楷体" w:eastAsia="楷体" w:hAnsi="楷体" w:cs="楷体" w:hint="eastAsia"/>
          <w:b/>
          <w:bCs/>
          <w:sz w:val="32"/>
          <w:szCs w:val="32"/>
        </w:rPr>
        <w:t>项目实施单位</w:t>
      </w:r>
      <w:r>
        <w:rPr>
          <w:rFonts w:ascii="楷体" w:eastAsia="楷体" w:hAnsi="楷体" w:cs="楷体" w:hint="eastAsia"/>
          <w:b/>
          <w:bCs/>
          <w:sz w:val="32"/>
          <w:szCs w:val="32"/>
          <w:u w:val="single"/>
        </w:rPr>
        <w:t xml:space="preserve">   泉州市农业农村局      </w:t>
      </w:r>
    </w:p>
    <w:p w:rsidR="004032E0" w:rsidRDefault="00A72ABD">
      <w:pPr>
        <w:spacing w:line="360" w:lineRule="auto"/>
        <w:ind w:rightChars="-94" w:right="-282" w:firstLineChars="200" w:firstLine="643"/>
        <w:jc w:val="left"/>
        <w:rPr>
          <w:rFonts w:ascii="楷体" w:eastAsia="楷体" w:hAnsi="楷体" w:cs="楷体"/>
          <w:b/>
          <w:bCs/>
          <w:sz w:val="32"/>
          <w:szCs w:val="32"/>
        </w:rPr>
      </w:pPr>
      <w:r>
        <w:rPr>
          <w:rFonts w:ascii="楷体" w:eastAsia="楷体" w:hAnsi="楷体" w:cs="楷体"/>
          <w:b/>
          <w:bCs/>
          <w:sz w:val="32"/>
          <w:szCs w:val="32"/>
        </w:rPr>
        <w:pict>
          <v:rect id="_x0000_s1026" style="position:absolute;left:0;text-align:left;margin-left:126pt;margin-top:34.4pt;width:256.45pt;height:57pt;z-index:251658240" o:gfxdata="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eOjydoAAAAKAQAADwAAAAAAAAABACAAAAAiAAAAZHJzL2Rvd25y&#10;ZXYueG1sUEsBAhQAFAAAAAgAh07iQIOdxY/8AQAAAAQAAA4AAAAAAAAAAQAgAAAAKQEAAGRycy9l&#10;Mm9Eb2MueG1sUEsFBgAAAAAGAAYAWQEAAJcFAAAAAA==&#10;" filled="f" strokecolor="white">
            <v:textbox>
              <w:txbxContent>
                <w:p w:rsidR="004032E0" w:rsidRDefault="00E86E11">
                  <w:pPr>
                    <w:rPr>
                      <w:rFonts w:ascii="楷体" w:eastAsia="楷体" w:hAnsi="楷体" w:cs="楷体"/>
                      <w:b/>
                      <w:bCs/>
                      <w:sz w:val="32"/>
                      <w:szCs w:val="32"/>
                    </w:rPr>
                  </w:pPr>
                  <w:r>
                    <w:rPr>
                      <w:rFonts w:ascii="楷体" w:eastAsia="楷体" w:hAnsi="楷体" w:cs="楷体" w:hint="eastAsia"/>
                      <w:b/>
                      <w:bCs/>
                      <w:sz w:val="32"/>
                      <w:szCs w:val="32"/>
                      <w:u w:val="single"/>
                    </w:rPr>
                    <w:t>厦门鑫永安会计有限公司</w:t>
                  </w:r>
                </w:p>
              </w:txbxContent>
            </v:textbox>
          </v:rect>
        </w:pict>
      </w:r>
      <w:r w:rsidR="00E86E11">
        <w:rPr>
          <w:rFonts w:ascii="楷体" w:eastAsia="楷体" w:hAnsi="楷体" w:cs="楷体" w:hint="eastAsia"/>
          <w:b/>
          <w:bCs/>
          <w:sz w:val="32"/>
          <w:szCs w:val="32"/>
        </w:rPr>
        <w:t>评 价 机构</w:t>
      </w:r>
      <w:r w:rsidR="00E86E11">
        <w:rPr>
          <w:rFonts w:ascii="楷体" w:eastAsia="楷体" w:hAnsi="楷体" w:cs="楷体" w:hint="eastAsia"/>
          <w:b/>
          <w:bCs/>
          <w:sz w:val="32"/>
          <w:szCs w:val="32"/>
          <w:u w:val="single"/>
        </w:rPr>
        <w:t xml:space="preserve">   泉州市财政局</w:t>
      </w:r>
      <w:r w:rsidR="00170380">
        <w:rPr>
          <w:rFonts w:ascii="楷体" w:eastAsia="楷体" w:hAnsi="楷体" w:cs="楷体" w:hint="eastAsia"/>
          <w:b/>
          <w:bCs/>
          <w:sz w:val="32"/>
          <w:szCs w:val="32"/>
          <w:u w:val="single"/>
        </w:rPr>
        <w:t xml:space="preserve">            </w:t>
      </w:r>
    </w:p>
    <w:p w:rsidR="004032E0" w:rsidRDefault="00E86E11">
      <w:pPr>
        <w:adjustRightInd w:val="0"/>
        <w:snapToGrid w:val="0"/>
        <w:spacing w:line="360" w:lineRule="auto"/>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参与评价</w:t>
      </w:r>
    </w:p>
    <w:p w:rsidR="004032E0" w:rsidRPr="004F0EA3" w:rsidRDefault="00E86E11" w:rsidP="004F0EA3">
      <w:pPr>
        <w:adjustRightInd w:val="0"/>
        <w:snapToGrid w:val="0"/>
        <w:spacing w:line="360" w:lineRule="auto"/>
        <w:ind w:firstLineChars="196" w:firstLine="630"/>
        <w:jc w:val="left"/>
        <w:rPr>
          <w:rFonts w:ascii="楷体" w:eastAsia="楷体" w:hAnsi="楷体" w:cs="楷体"/>
          <w:sz w:val="32"/>
          <w:szCs w:val="32"/>
        </w:rPr>
      </w:pPr>
      <w:r w:rsidRPr="004F0EA3">
        <w:rPr>
          <w:rFonts w:ascii="楷体" w:eastAsia="楷体" w:hAnsi="楷体" w:cs="楷体" w:hint="eastAsia"/>
          <w:b/>
          <w:bCs/>
          <w:sz w:val="32"/>
          <w:szCs w:val="32"/>
        </w:rPr>
        <w:t>第三方机构</w:t>
      </w:r>
    </w:p>
    <w:p w:rsidR="004032E0" w:rsidRPr="00170380" w:rsidRDefault="004032E0">
      <w:pPr>
        <w:adjustRightInd w:val="0"/>
        <w:snapToGrid w:val="0"/>
        <w:spacing w:line="360" w:lineRule="auto"/>
        <w:jc w:val="center"/>
        <w:rPr>
          <w:rFonts w:asciiTheme="majorEastAsia" w:eastAsiaTheme="majorEastAsia" w:hAnsiTheme="majorEastAsia" w:cstheme="majorEastAsia"/>
          <w:b/>
          <w:bCs/>
          <w:sz w:val="28"/>
          <w:szCs w:val="28"/>
          <w:u w:val="single"/>
        </w:rPr>
      </w:pPr>
    </w:p>
    <w:p w:rsidR="004032E0" w:rsidRDefault="004032E0">
      <w:pPr>
        <w:adjustRightInd w:val="0"/>
        <w:snapToGrid w:val="0"/>
        <w:spacing w:line="360" w:lineRule="auto"/>
        <w:rPr>
          <w:rFonts w:asciiTheme="majorEastAsia" w:eastAsiaTheme="majorEastAsia" w:hAnsiTheme="majorEastAsia" w:cstheme="majorEastAsia"/>
          <w:b/>
          <w:bCs/>
          <w:sz w:val="28"/>
          <w:szCs w:val="28"/>
        </w:rPr>
      </w:pPr>
    </w:p>
    <w:p w:rsidR="004032E0" w:rsidRDefault="004032E0">
      <w:pPr>
        <w:adjustRightInd w:val="0"/>
        <w:snapToGrid w:val="0"/>
        <w:spacing w:line="360" w:lineRule="auto"/>
        <w:rPr>
          <w:rFonts w:asciiTheme="majorEastAsia" w:eastAsiaTheme="majorEastAsia" w:hAnsiTheme="majorEastAsia" w:cstheme="majorEastAsia"/>
          <w:b/>
          <w:bCs/>
          <w:sz w:val="28"/>
          <w:szCs w:val="28"/>
        </w:rPr>
      </w:pPr>
    </w:p>
    <w:p w:rsidR="004032E0" w:rsidRDefault="00E86E11">
      <w:pPr>
        <w:adjustRightInd w:val="0"/>
        <w:snapToGrid w:val="0"/>
        <w:spacing w:line="360" w:lineRule="auto"/>
        <w:jc w:val="center"/>
        <w:rPr>
          <w:rFonts w:ascii="楷体" w:eastAsia="楷体" w:hAnsi="楷体" w:cs="楷体"/>
          <w:b/>
          <w:bCs/>
          <w:sz w:val="32"/>
          <w:szCs w:val="32"/>
        </w:rPr>
      </w:pPr>
      <w:r>
        <w:rPr>
          <w:rFonts w:ascii="楷体" w:eastAsia="楷体" w:hAnsi="楷体" w:cs="楷体" w:hint="eastAsia"/>
          <w:b/>
          <w:bCs/>
          <w:sz w:val="32"/>
          <w:szCs w:val="32"/>
        </w:rPr>
        <w:t>二0二0年九月</w:t>
      </w:r>
    </w:p>
    <w:p w:rsidR="004032E0" w:rsidRDefault="004032E0">
      <w:pPr>
        <w:adjustRightInd w:val="0"/>
        <w:snapToGrid w:val="0"/>
        <w:spacing w:line="360" w:lineRule="auto"/>
        <w:rPr>
          <w:rFonts w:ascii="楷体" w:eastAsia="楷体" w:hAnsi="楷体" w:cs="楷体"/>
          <w:b/>
          <w:bCs/>
          <w:sz w:val="28"/>
          <w:szCs w:val="28"/>
        </w:rPr>
        <w:sectPr w:rsidR="004032E0">
          <w:pgSz w:w="11906" w:h="16838"/>
          <w:pgMar w:top="1440" w:right="1800" w:bottom="1440" w:left="1800" w:header="737" w:footer="851" w:gutter="0"/>
          <w:cols w:space="720"/>
          <w:docGrid w:type="lines" w:linePitch="408"/>
        </w:sectPr>
      </w:pPr>
    </w:p>
    <w:bookmarkEnd w:id="0" w:displacedByCustomXml="next"/>
    <w:bookmarkStart w:id="35" w:name="_Toc11543" w:displacedByCustomXml="next"/>
    <w:sdt>
      <w:sdtPr>
        <w:rPr>
          <w:rFonts w:ascii="仿宋_GB2312" w:hAnsi="仿宋_GB2312" w:cs="仿宋_GB2312" w:hint="eastAsia"/>
          <w:b/>
          <w:bCs/>
          <w:sz w:val="32"/>
          <w:szCs w:val="32"/>
        </w:rPr>
        <w:id w:val="147472256"/>
        <w:docPartObj>
          <w:docPartGallery w:val="Table of Contents"/>
          <w:docPartUnique/>
        </w:docPartObj>
      </w:sdtPr>
      <w:sdtEndPr>
        <w:rPr>
          <w:rFonts w:ascii="宋体" w:eastAsia="宋体" w:hAnsi="宋体" w:cs="宋体"/>
          <w:sz w:val="24"/>
          <w:szCs w:val="24"/>
        </w:rPr>
      </w:sdtEndPr>
      <w:sdtContent>
        <w:p w:rsidR="004032E0" w:rsidRDefault="00E86E11">
          <w:pPr>
            <w:jc w:val="center"/>
            <w:rPr>
              <w:rFonts w:ascii="宋体" w:eastAsia="宋体" w:hAnsi="宋体" w:cs="宋体"/>
              <w:sz w:val="24"/>
            </w:rPr>
          </w:pPr>
          <w:r>
            <w:rPr>
              <w:rFonts w:ascii="仿宋_GB2312" w:hAnsi="仿宋_GB2312" w:cs="仿宋_GB2312" w:hint="eastAsia"/>
              <w:b/>
              <w:bCs/>
              <w:sz w:val="32"/>
              <w:szCs w:val="32"/>
            </w:rPr>
            <w:t>目录</w:t>
          </w:r>
          <w:r w:rsidR="00A72ABD">
            <w:rPr>
              <w:rFonts w:ascii="宋体" w:eastAsia="宋体" w:hAnsi="宋体" w:cs="宋体" w:hint="eastAsia"/>
              <w:sz w:val="24"/>
            </w:rPr>
            <w:fldChar w:fldCharType="begin"/>
          </w:r>
          <w:r>
            <w:rPr>
              <w:rFonts w:ascii="宋体" w:eastAsia="宋体" w:hAnsi="宋体" w:cs="宋体" w:hint="eastAsia"/>
              <w:sz w:val="24"/>
            </w:rPr>
            <w:instrText xml:space="preserve">TOC \o "1-3" \h \u </w:instrText>
          </w:r>
          <w:r w:rsidR="00A72ABD">
            <w:rPr>
              <w:rFonts w:ascii="宋体" w:eastAsia="宋体" w:hAnsi="宋体" w:cs="宋体" w:hint="eastAsia"/>
              <w:sz w:val="24"/>
            </w:rPr>
            <w:fldChar w:fldCharType="separate"/>
          </w:r>
        </w:p>
        <w:p w:rsidR="004032E0" w:rsidRDefault="00A72ABD" w:rsidP="00170380">
          <w:pPr>
            <w:pStyle w:val="20"/>
            <w:tabs>
              <w:tab w:val="right" w:leader="dot" w:pos="8844"/>
            </w:tabs>
            <w:ind w:left="600"/>
            <w:rPr>
              <w:rFonts w:ascii="宋体" w:eastAsia="宋体" w:hAnsi="宋体" w:cs="宋体"/>
              <w:sz w:val="24"/>
            </w:rPr>
          </w:pPr>
          <w:hyperlink w:anchor="_Toc14139" w:history="1">
            <w:r w:rsidR="00E86E11">
              <w:rPr>
                <w:rFonts w:ascii="宋体" w:eastAsia="宋体" w:hAnsi="宋体" w:cs="宋体" w:hint="eastAsia"/>
                <w:sz w:val="24"/>
              </w:rPr>
              <w:t>一、 基本情况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_Toc14139 </w:instrText>
            </w:r>
            <w:r>
              <w:rPr>
                <w:rFonts w:ascii="宋体" w:eastAsia="宋体" w:hAnsi="宋体" w:cs="宋体" w:hint="eastAsia"/>
                <w:sz w:val="24"/>
              </w:rPr>
              <w:fldChar w:fldCharType="separate"/>
            </w:r>
            <w:r w:rsidR="00E86E11">
              <w:rPr>
                <w:rFonts w:ascii="宋体" w:eastAsia="宋体" w:hAnsi="宋体" w:cs="宋体" w:hint="eastAsia"/>
                <w:sz w:val="24"/>
              </w:rPr>
              <w:t>3</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6628" w:history="1">
            <w:r w:rsidR="00E86E11">
              <w:rPr>
                <w:rFonts w:ascii="宋体" w:eastAsia="宋体" w:hAnsi="宋体" w:cs="宋体" w:hint="eastAsia"/>
                <w:sz w:val="24"/>
              </w:rPr>
              <w:t>（一）项目概况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_Toc26628 </w:instrText>
            </w:r>
            <w:r>
              <w:rPr>
                <w:rFonts w:ascii="宋体" w:eastAsia="宋体" w:hAnsi="宋体" w:cs="宋体" w:hint="eastAsia"/>
                <w:sz w:val="24"/>
              </w:rPr>
              <w:fldChar w:fldCharType="separate"/>
            </w:r>
            <w:r w:rsidR="00E86E11">
              <w:rPr>
                <w:rFonts w:ascii="宋体" w:eastAsia="宋体" w:hAnsi="宋体" w:cs="宋体" w:hint="eastAsia"/>
                <w:sz w:val="24"/>
              </w:rPr>
              <w:t>3</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3518" w:history="1">
            <w:r w:rsidR="00E86E11">
              <w:rPr>
                <w:rFonts w:ascii="宋体" w:eastAsia="宋体" w:hAnsi="宋体" w:cs="宋体" w:hint="eastAsia"/>
                <w:sz w:val="24"/>
              </w:rPr>
              <w:t>1.主要内容及实施情况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_Toc23518 </w:instrText>
            </w:r>
            <w:r>
              <w:rPr>
                <w:rFonts w:ascii="宋体" w:eastAsia="宋体" w:hAnsi="宋体" w:cs="宋体" w:hint="eastAsia"/>
                <w:sz w:val="24"/>
              </w:rPr>
              <w:fldChar w:fldCharType="separate"/>
            </w:r>
            <w:r w:rsidR="00E86E11">
              <w:rPr>
                <w:rFonts w:ascii="宋体" w:eastAsia="宋体" w:hAnsi="宋体" w:cs="宋体" w:hint="eastAsia"/>
                <w:sz w:val="24"/>
              </w:rPr>
              <w:t>3</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4540" w:history="1">
            <w:r w:rsidR="00E86E11">
              <w:rPr>
                <w:rFonts w:ascii="宋体" w:eastAsia="宋体" w:hAnsi="宋体" w:cs="宋体" w:hint="eastAsia"/>
                <w:sz w:val="24"/>
              </w:rPr>
              <w:t>2.资金投入和使用情况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_Toc24540 </w:instrText>
            </w:r>
            <w:r>
              <w:rPr>
                <w:rFonts w:ascii="宋体" w:eastAsia="宋体" w:hAnsi="宋体" w:cs="宋体" w:hint="eastAsia"/>
                <w:sz w:val="24"/>
              </w:rPr>
              <w:fldChar w:fldCharType="separate"/>
            </w:r>
            <w:r w:rsidR="00E86E11">
              <w:rPr>
                <w:rFonts w:ascii="宋体" w:eastAsia="宋体" w:hAnsi="宋体" w:cs="宋体" w:hint="eastAsia"/>
                <w:sz w:val="24"/>
              </w:rPr>
              <w:t>4</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7855" w:history="1">
            <w:r w:rsidR="00E86E11">
              <w:rPr>
                <w:rFonts w:ascii="宋体" w:eastAsia="宋体" w:hAnsi="宋体" w:cs="宋体" w:hint="eastAsia"/>
                <w:sz w:val="24"/>
              </w:rPr>
              <w:t>（二）项目绩效目标</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_Toc7855 </w:instrText>
            </w:r>
            <w:r>
              <w:rPr>
                <w:rFonts w:ascii="宋体" w:eastAsia="宋体" w:hAnsi="宋体" w:cs="宋体" w:hint="eastAsia"/>
                <w:sz w:val="24"/>
              </w:rPr>
              <w:fldChar w:fldCharType="separate"/>
            </w:r>
            <w:r w:rsidR="00E86E11">
              <w:rPr>
                <w:rFonts w:ascii="宋体" w:eastAsia="宋体" w:hAnsi="宋体" w:cs="宋体" w:hint="eastAsia"/>
                <w:sz w:val="24"/>
              </w:rPr>
              <w:t>5</w:t>
            </w:r>
            <w:r>
              <w:rPr>
                <w:rFonts w:ascii="宋体" w:eastAsia="宋体" w:hAnsi="宋体" w:cs="宋体" w:hint="eastAsia"/>
                <w:sz w:val="24"/>
              </w:rPr>
              <w:fldChar w:fldCharType="end"/>
            </w:r>
          </w:hyperlink>
        </w:p>
        <w:p w:rsidR="004032E0" w:rsidRDefault="00A72ABD" w:rsidP="00170380">
          <w:pPr>
            <w:pStyle w:val="20"/>
            <w:tabs>
              <w:tab w:val="right" w:leader="dot" w:pos="8844"/>
            </w:tabs>
            <w:ind w:left="600"/>
            <w:rPr>
              <w:rFonts w:ascii="宋体" w:eastAsia="宋体" w:hAnsi="宋体" w:cs="宋体"/>
              <w:sz w:val="24"/>
            </w:rPr>
          </w:pPr>
          <w:hyperlink w:anchor="_Toc1407" w:history="1">
            <w:r w:rsidR="00E86E11">
              <w:rPr>
                <w:rFonts w:ascii="宋体" w:eastAsia="宋体" w:hAnsi="宋体" w:cs="宋体" w:hint="eastAsia"/>
                <w:sz w:val="24"/>
              </w:rPr>
              <w:t>二、 绩效评价指标分析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_Toc1407 </w:instrText>
            </w:r>
            <w:r>
              <w:rPr>
                <w:rFonts w:ascii="宋体" w:eastAsia="宋体" w:hAnsi="宋体" w:cs="宋体" w:hint="eastAsia"/>
                <w:sz w:val="24"/>
              </w:rPr>
              <w:fldChar w:fldCharType="separate"/>
            </w:r>
            <w:r w:rsidR="00E86E11">
              <w:rPr>
                <w:rFonts w:ascii="宋体" w:eastAsia="宋体" w:hAnsi="宋体" w:cs="宋体" w:hint="eastAsia"/>
                <w:sz w:val="24"/>
              </w:rPr>
              <w:t>5</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7206" w:history="1">
            <w:r w:rsidR="00E86E11">
              <w:rPr>
                <w:rFonts w:ascii="宋体" w:eastAsia="宋体" w:hAnsi="宋体" w:cs="宋体" w:hint="eastAsia"/>
                <w:sz w:val="24"/>
              </w:rPr>
              <w:t>（一）项目决策情况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_Toc7206 </w:instrText>
            </w:r>
            <w:r>
              <w:rPr>
                <w:rFonts w:ascii="宋体" w:eastAsia="宋体" w:hAnsi="宋体" w:cs="宋体" w:hint="eastAsia"/>
                <w:sz w:val="24"/>
              </w:rPr>
              <w:fldChar w:fldCharType="separate"/>
            </w:r>
            <w:r w:rsidR="00E86E11">
              <w:rPr>
                <w:rFonts w:ascii="宋体" w:eastAsia="宋体" w:hAnsi="宋体" w:cs="宋体" w:hint="eastAsia"/>
                <w:sz w:val="24"/>
              </w:rPr>
              <w:t>5</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6173" w:history="1">
            <w:r w:rsidR="00E86E11">
              <w:rPr>
                <w:rFonts w:ascii="宋体" w:eastAsia="宋体" w:hAnsi="宋体" w:cs="宋体" w:hint="eastAsia"/>
                <w:sz w:val="24"/>
              </w:rPr>
              <w:t>1.项目立项分析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_Toc6173 </w:instrText>
            </w:r>
            <w:r>
              <w:rPr>
                <w:rFonts w:ascii="宋体" w:eastAsia="宋体" w:hAnsi="宋体" w:cs="宋体" w:hint="eastAsia"/>
                <w:sz w:val="24"/>
              </w:rPr>
              <w:fldChar w:fldCharType="separate"/>
            </w:r>
            <w:r w:rsidR="00E86E11">
              <w:rPr>
                <w:rFonts w:ascii="宋体" w:eastAsia="宋体" w:hAnsi="宋体" w:cs="宋体" w:hint="eastAsia"/>
                <w:sz w:val="24"/>
              </w:rPr>
              <w:t>5</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6610" w:history="1">
            <w:r w:rsidR="00E86E11">
              <w:rPr>
                <w:rFonts w:ascii="宋体" w:eastAsia="宋体" w:hAnsi="宋体" w:cs="宋体" w:hint="eastAsia"/>
                <w:sz w:val="24"/>
              </w:rPr>
              <w:t>2.绩效目标分析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_Toc16610 </w:instrText>
            </w:r>
            <w:r>
              <w:rPr>
                <w:rFonts w:ascii="宋体" w:eastAsia="宋体" w:hAnsi="宋体" w:cs="宋体" w:hint="eastAsia"/>
                <w:sz w:val="24"/>
              </w:rPr>
              <w:fldChar w:fldCharType="separate"/>
            </w:r>
            <w:r w:rsidR="00E86E11">
              <w:rPr>
                <w:rFonts w:ascii="宋体" w:eastAsia="宋体" w:hAnsi="宋体" w:cs="宋体" w:hint="eastAsia"/>
                <w:sz w:val="24"/>
              </w:rPr>
              <w:t>6</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6980" w:history="1">
            <w:r w:rsidR="00E86E11">
              <w:rPr>
                <w:rFonts w:ascii="宋体" w:eastAsia="宋体" w:hAnsi="宋体" w:cs="宋体" w:hint="eastAsia"/>
                <w:sz w:val="24"/>
              </w:rPr>
              <w:t>（二）项目过程情况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_Toc6980 </w:instrText>
            </w:r>
            <w:r>
              <w:rPr>
                <w:rFonts w:ascii="宋体" w:eastAsia="宋体" w:hAnsi="宋体" w:cs="宋体" w:hint="eastAsia"/>
                <w:sz w:val="24"/>
              </w:rPr>
              <w:fldChar w:fldCharType="separate"/>
            </w:r>
            <w:r w:rsidR="00E86E11">
              <w:rPr>
                <w:rFonts w:ascii="宋体" w:eastAsia="宋体" w:hAnsi="宋体" w:cs="宋体" w:hint="eastAsia"/>
                <w:sz w:val="24"/>
              </w:rPr>
              <w:t>6</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9969" w:history="1">
            <w:r w:rsidR="00E86E11">
              <w:rPr>
                <w:rFonts w:ascii="宋体" w:eastAsia="宋体" w:hAnsi="宋体" w:cs="宋体" w:hint="eastAsia"/>
                <w:sz w:val="24"/>
              </w:rPr>
              <w:t>1.资金管理情况分析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_Toc19969 </w:instrText>
            </w:r>
            <w:r>
              <w:rPr>
                <w:rFonts w:ascii="宋体" w:eastAsia="宋体" w:hAnsi="宋体" w:cs="宋体" w:hint="eastAsia"/>
                <w:sz w:val="24"/>
              </w:rPr>
              <w:fldChar w:fldCharType="separate"/>
            </w:r>
            <w:r w:rsidR="00E86E11">
              <w:rPr>
                <w:rFonts w:ascii="宋体" w:eastAsia="宋体" w:hAnsi="宋体" w:cs="宋体" w:hint="eastAsia"/>
                <w:sz w:val="24"/>
              </w:rPr>
              <w:t>6</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8754" w:history="1">
            <w:r w:rsidR="00E86E11">
              <w:rPr>
                <w:rFonts w:ascii="宋体" w:eastAsia="宋体" w:hAnsi="宋体" w:cs="宋体" w:hint="eastAsia"/>
                <w:sz w:val="24"/>
              </w:rPr>
              <w:t>2.组织实施情况分析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_Toc28754 </w:instrText>
            </w:r>
            <w:r>
              <w:rPr>
                <w:rFonts w:ascii="宋体" w:eastAsia="宋体" w:hAnsi="宋体" w:cs="宋体" w:hint="eastAsia"/>
                <w:sz w:val="24"/>
              </w:rPr>
              <w:fldChar w:fldCharType="separate"/>
            </w:r>
            <w:r w:rsidR="00E86E11">
              <w:rPr>
                <w:rFonts w:ascii="宋体" w:eastAsia="宋体" w:hAnsi="宋体" w:cs="宋体" w:hint="eastAsia"/>
                <w:sz w:val="24"/>
              </w:rPr>
              <w:t>6</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6452" w:history="1">
            <w:r w:rsidR="00E86E11">
              <w:rPr>
                <w:rFonts w:ascii="宋体" w:eastAsia="宋体" w:hAnsi="宋体" w:cs="宋体" w:hint="eastAsia"/>
                <w:sz w:val="24"/>
              </w:rPr>
              <w:t>（三）项目产出情况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_Toc6452 </w:instrText>
            </w:r>
            <w:r>
              <w:rPr>
                <w:rFonts w:ascii="宋体" w:eastAsia="宋体" w:hAnsi="宋体" w:cs="宋体" w:hint="eastAsia"/>
                <w:sz w:val="24"/>
              </w:rPr>
              <w:fldChar w:fldCharType="separate"/>
            </w:r>
            <w:r w:rsidR="00E86E11">
              <w:rPr>
                <w:rFonts w:ascii="宋体" w:eastAsia="宋体" w:hAnsi="宋体" w:cs="宋体" w:hint="eastAsia"/>
                <w:sz w:val="24"/>
              </w:rPr>
              <w:t>6</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8863" w:history="1">
            <w:r w:rsidR="00E86E11">
              <w:rPr>
                <w:rFonts w:ascii="宋体" w:eastAsia="宋体" w:hAnsi="宋体" w:cs="宋体" w:hint="eastAsia"/>
                <w:sz w:val="24"/>
              </w:rPr>
              <w:t>1.从产出数量指标看</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_Toc28863 </w:instrText>
            </w:r>
            <w:r>
              <w:rPr>
                <w:rFonts w:ascii="宋体" w:eastAsia="宋体" w:hAnsi="宋体" w:cs="宋体" w:hint="eastAsia"/>
                <w:sz w:val="24"/>
              </w:rPr>
              <w:fldChar w:fldCharType="separate"/>
            </w:r>
            <w:r w:rsidR="00E86E11">
              <w:rPr>
                <w:rFonts w:ascii="宋体" w:eastAsia="宋体" w:hAnsi="宋体" w:cs="宋体" w:hint="eastAsia"/>
                <w:sz w:val="24"/>
              </w:rPr>
              <w:t>7</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1898" w:history="1">
            <w:r w:rsidR="00E86E11">
              <w:rPr>
                <w:rFonts w:ascii="宋体" w:eastAsia="宋体" w:hAnsi="宋体" w:cs="宋体" w:hint="eastAsia"/>
                <w:sz w:val="24"/>
              </w:rPr>
              <w:t>2.从产出时效指标看</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_Toc11898 </w:instrText>
            </w:r>
            <w:r>
              <w:rPr>
                <w:rFonts w:ascii="宋体" w:eastAsia="宋体" w:hAnsi="宋体" w:cs="宋体" w:hint="eastAsia"/>
                <w:sz w:val="24"/>
              </w:rPr>
              <w:fldChar w:fldCharType="separate"/>
            </w:r>
            <w:r w:rsidR="00E86E11">
              <w:rPr>
                <w:rFonts w:ascii="宋体" w:eastAsia="宋体" w:hAnsi="宋体" w:cs="宋体" w:hint="eastAsia"/>
                <w:sz w:val="24"/>
              </w:rPr>
              <w:t>7</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4186" w:history="1">
            <w:r w:rsidR="00E86E11">
              <w:rPr>
                <w:rFonts w:ascii="宋体" w:eastAsia="宋体" w:hAnsi="宋体" w:cs="宋体" w:hint="eastAsia"/>
                <w:sz w:val="24"/>
              </w:rPr>
              <w:t>3.从产出质量指标看</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_Toc14186 </w:instrText>
            </w:r>
            <w:r>
              <w:rPr>
                <w:rFonts w:ascii="宋体" w:eastAsia="宋体" w:hAnsi="宋体" w:cs="宋体" w:hint="eastAsia"/>
                <w:sz w:val="24"/>
              </w:rPr>
              <w:fldChar w:fldCharType="separate"/>
            </w:r>
            <w:r w:rsidR="00E86E11">
              <w:rPr>
                <w:rFonts w:ascii="宋体" w:eastAsia="宋体" w:hAnsi="宋体" w:cs="宋体" w:hint="eastAsia"/>
                <w:sz w:val="24"/>
              </w:rPr>
              <w:t>7</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6786" w:history="1">
            <w:r w:rsidR="00E86E11">
              <w:rPr>
                <w:rFonts w:ascii="宋体" w:eastAsia="宋体" w:hAnsi="宋体" w:cs="宋体" w:hint="eastAsia"/>
                <w:sz w:val="24"/>
              </w:rPr>
              <w:t>（四）项目效益情况</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_Toc26786 </w:instrText>
            </w:r>
            <w:r>
              <w:rPr>
                <w:rFonts w:ascii="宋体" w:eastAsia="宋体" w:hAnsi="宋体" w:cs="宋体" w:hint="eastAsia"/>
                <w:sz w:val="24"/>
              </w:rPr>
              <w:fldChar w:fldCharType="separate"/>
            </w:r>
            <w:r w:rsidR="00E86E11">
              <w:rPr>
                <w:rFonts w:ascii="宋体" w:eastAsia="宋体" w:hAnsi="宋体" w:cs="宋体" w:hint="eastAsia"/>
                <w:sz w:val="24"/>
              </w:rPr>
              <w:t>8</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31115" w:history="1">
            <w:r w:rsidR="00E86E11">
              <w:rPr>
                <w:rFonts w:ascii="宋体" w:eastAsia="宋体" w:hAnsi="宋体" w:cs="宋体" w:hint="eastAsia"/>
                <w:sz w:val="24"/>
              </w:rPr>
              <w:t>1.社会效益分析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_Toc31115 </w:instrText>
            </w:r>
            <w:r>
              <w:rPr>
                <w:rFonts w:ascii="宋体" w:eastAsia="宋体" w:hAnsi="宋体" w:cs="宋体" w:hint="eastAsia"/>
                <w:sz w:val="24"/>
              </w:rPr>
              <w:fldChar w:fldCharType="separate"/>
            </w:r>
            <w:r w:rsidR="00E86E11">
              <w:rPr>
                <w:rFonts w:ascii="宋体" w:eastAsia="宋体" w:hAnsi="宋体" w:cs="宋体" w:hint="eastAsia"/>
                <w:sz w:val="24"/>
              </w:rPr>
              <w:t>8</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32527" w:history="1">
            <w:r w:rsidR="00E86E11">
              <w:rPr>
                <w:rFonts w:ascii="宋体" w:eastAsia="宋体" w:hAnsi="宋体" w:cs="宋体" w:hint="eastAsia"/>
                <w:sz w:val="24"/>
              </w:rPr>
              <w:t>2.环境生态效益分析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_Toc32527 </w:instrText>
            </w:r>
            <w:r>
              <w:rPr>
                <w:rFonts w:ascii="宋体" w:eastAsia="宋体" w:hAnsi="宋体" w:cs="宋体" w:hint="eastAsia"/>
                <w:sz w:val="24"/>
              </w:rPr>
              <w:fldChar w:fldCharType="separate"/>
            </w:r>
            <w:r w:rsidR="00E86E11">
              <w:rPr>
                <w:rFonts w:ascii="宋体" w:eastAsia="宋体" w:hAnsi="宋体" w:cs="宋体" w:hint="eastAsia"/>
                <w:sz w:val="24"/>
              </w:rPr>
              <w:t>8</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5113" w:history="1">
            <w:r w:rsidR="00E86E11">
              <w:rPr>
                <w:rFonts w:ascii="宋体" w:eastAsia="宋体" w:hAnsi="宋体" w:cs="宋体" w:hint="eastAsia"/>
                <w:sz w:val="24"/>
              </w:rPr>
              <w:t>3.经济效益分析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_Toc5113 </w:instrText>
            </w:r>
            <w:r>
              <w:rPr>
                <w:rFonts w:ascii="宋体" w:eastAsia="宋体" w:hAnsi="宋体" w:cs="宋体" w:hint="eastAsia"/>
                <w:sz w:val="24"/>
              </w:rPr>
              <w:fldChar w:fldCharType="separate"/>
            </w:r>
            <w:r w:rsidR="00E86E11">
              <w:rPr>
                <w:rFonts w:ascii="宋体" w:eastAsia="宋体" w:hAnsi="宋体" w:cs="宋体" w:hint="eastAsia"/>
                <w:sz w:val="24"/>
              </w:rPr>
              <w:t>9</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4920" w:history="1">
            <w:r w:rsidR="00E86E11">
              <w:rPr>
                <w:rFonts w:ascii="宋体" w:eastAsia="宋体" w:hAnsi="宋体" w:cs="宋体" w:hint="eastAsia"/>
                <w:sz w:val="24"/>
              </w:rPr>
              <w:t>4.可持续发展分析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_Toc14920 </w:instrText>
            </w:r>
            <w:r>
              <w:rPr>
                <w:rFonts w:ascii="宋体" w:eastAsia="宋体" w:hAnsi="宋体" w:cs="宋体" w:hint="eastAsia"/>
                <w:sz w:val="24"/>
              </w:rPr>
              <w:fldChar w:fldCharType="separate"/>
            </w:r>
            <w:r w:rsidR="00E86E11">
              <w:rPr>
                <w:rFonts w:ascii="宋体" w:eastAsia="宋体" w:hAnsi="宋体" w:cs="宋体" w:hint="eastAsia"/>
                <w:sz w:val="24"/>
              </w:rPr>
              <w:t>9</w:t>
            </w:r>
            <w:r>
              <w:rPr>
                <w:rFonts w:ascii="宋体" w:eastAsia="宋体" w:hAnsi="宋体" w:cs="宋体" w:hint="eastAsia"/>
                <w:sz w:val="24"/>
              </w:rPr>
              <w:fldChar w:fldCharType="end"/>
            </w:r>
          </w:hyperlink>
        </w:p>
        <w:p w:rsidR="004032E0" w:rsidRDefault="00A72ABD" w:rsidP="00170380">
          <w:pPr>
            <w:pStyle w:val="20"/>
            <w:tabs>
              <w:tab w:val="right" w:leader="dot" w:pos="8844"/>
            </w:tabs>
            <w:ind w:left="600"/>
            <w:rPr>
              <w:rFonts w:ascii="宋体" w:eastAsia="宋体" w:hAnsi="宋体" w:cs="宋体"/>
              <w:sz w:val="24"/>
            </w:rPr>
          </w:pPr>
          <w:hyperlink w:anchor="_Toc22502" w:history="1">
            <w:r w:rsidR="00E86E11">
              <w:rPr>
                <w:rFonts w:ascii="宋体" w:eastAsia="宋体" w:hAnsi="宋体" w:cs="宋体" w:hint="eastAsia"/>
                <w:sz w:val="24"/>
              </w:rPr>
              <w:t>三、存在的问题及原因分析</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_Toc22502 </w:instrText>
            </w:r>
            <w:r>
              <w:rPr>
                <w:rFonts w:ascii="宋体" w:eastAsia="宋体" w:hAnsi="宋体" w:cs="宋体" w:hint="eastAsia"/>
                <w:sz w:val="24"/>
              </w:rPr>
              <w:fldChar w:fldCharType="separate"/>
            </w:r>
            <w:r w:rsidR="00E86E11">
              <w:rPr>
                <w:rFonts w:ascii="宋体" w:eastAsia="宋体" w:hAnsi="宋体" w:cs="宋体" w:hint="eastAsia"/>
                <w:sz w:val="24"/>
              </w:rPr>
              <w:t>10</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0059" w:history="1">
            <w:r w:rsidR="00E86E11">
              <w:rPr>
                <w:rFonts w:ascii="宋体" w:eastAsia="宋体" w:hAnsi="宋体" w:cs="宋体" w:hint="eastAsia"/>
                <w:sz w:val="24"/>
              </w:rPr>
              <w:t>（一）绩效目标设置需进一步完善</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_Toc20059 </w:instrText>
            </w:r>
            <w:r>
              <w:rPr>
                <w:rFonts w:ascii="宋体" w:eastAsia="宋体" w:hAnsi="宋体" w:cs="宋体" w:hint="eastAsia"/>
                <w:sz w:val="24"/>
              </w:rPr>
              <w:fldChar w:fldCharType="separate"/>
            </w:r>
            <w:r w:rsidR="00E86E11">
              <w:rPr>
                <w:rFonts w:ascii="宋体" w:eastAsia="宋体" w:hAnsi="宋体" w:cs="宋体" w:hint="eastAsia"/>
                <w:sz w:val="24"/>
              </w:rPr>
              <w:t>10</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4915" w:history="1">
            <w:r w:rsidR="00E86E11">
              <w:rPr>
                <w:rFonts w:ascii="宋体" w:eastAsia="宋体" w:hAnsi="宋体" w:cs="宋体" w:hint="eastAsia"/>
                <w:sz w:val="24"/>
              </w:rPr>
              <w:t>（二）资金使用不符合专项资金管理规定，资金监管有待加强</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_Toc14915 </w:instrText>
            </w:r>
            <w:r>
              <w:rPr>
                <w:rFonts w:ascii="宋体" w:eastAsia="宋体" w:hAnsi="宋体" w:cs="宋体" w:hint="eastAsia"/>
                <w:sz w:val="24"/>
              </w:rPr>
              <w:fldChar w:fldCharType="separate"/>
            </w:r>
            <w:r w:rsidR="00E86E11">
              <w:rPr>
                <w:rFonts w:ascii="宋体" w:eastAsia="宋体" w:hAnsi="宋体" w:cs="宋体" w:hint="eastAsia"/>
                <w:sz w:val="24"/>
              </w:rPr>
              <w:t>11</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4388" w:history="1">
            <w:r w:rsidR="00E86E11">
              <w:rPr>
                <w:rFonts w:ascii="宋体" w:eastAsia="宋体" w:hAnsi="宋体" w:cs="宋体" w:hint="eastAsia"/>
                <w:sz w:val="24"/>
              </w:rPr>
              <w:t>（三）宣传形式及宣传效果有进一步提升空间</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_Toc4388 </w:instrText>
            </w:r>
            <w:r>
              <w:rPr>
                <w:rFonts w:ascii="宋体" w:eastAsia="宋体" w:hAnsi="宋体" w:cs="宋体" w:hint="eastAsia"/>
                <w:sz w:val="24"/>
              </w:rPr>
              <w:fldChar w:fldCharType="separate"/>
            </w:r>
            <w:r w:rsidR="00E86E11">
              <w:rPr>
                <w:rFonts w:ascii="宋体" w:eastAsia="宋体" w:hAnsi="宋体" w:cs="宋体" w:hint="eastAsia"/>
                <w:sz w:val="24"/>
              </w:rPr>
              <w:t>11</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5442" w:history="1">
            <w:r w:rsidR="00E86E11">
              <w:rPr>
                <w:rFonts w:ascii="宋体" w:eastAsia="宋体" w:hAnsi="宋体" w:cs="宋体" w:hint="eastAsia"/>
                <w:sz w:val="24"/>
              </w:rPr>
              <w:t>（四）村民参与度不够高，呈现不可持续性和不稳定性特征</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_Toc25442 </w:instrText>
            </w:r>
            <w:r>
              <w:rPr>
                <w:rFonts w:ascii="宋体" w:eastAsia="宋体" w:hAnsi="宋体" w:cs="宋体" w:hint="eastAsia"/>
                <w:sz w:val="24"/>
              </w:rPr>
              <w:fldChar w:fldCharType="separate"/>
            </w:r>
            <w:r w:rsidR="00E86E11">
              <w:rPr>
                <w:rFonts w:ascii="宋体" w:eastAsia="宋体" w:hAnsi="宋体" w:cs="宋体" w:hint="eastAsia"/>
                <w:sz w:val="24"/>
              </w:rPr>
              <w:t>11</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3298" w:history="1">
            <w:r w:rsidR="00E86E11">
              <w:rPr>
                <w:rFonts w:ascii="宋体" w:eastAsia="宋体" w:hAnsi="宋体" w:cs="宋体" w:hint="eastAsia"/>
                <w:sz w:val="24"/>
              </w:rPr>
              <w:t>（五）项目资金投入力度较薄弱，资金投入渠道有待拓宽</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_Toc13298 </w:instrText>
            </w:r>
            <w:r>
              <w:rPr>
                <w:rFonts w:ascii="宋体" w:eastAsia="宋体" w:hAnsi="宋体" w:cs="宋体" w:hint="eastAsia"/>
                <w:sz w:val="24"/>
              </w:rPr>
              <w:fldChar w:fldCharType="separate"/>
            </w:r>
            <w:r w:rsidR="00E86E11">
              <w:rPr>
                <w:rFonts w:ascii="宋体" w:eastAsia="宋体" w:hAnsi="宋体" w:cs="宋体" w:hint="eastAsia"/>
                <w:sz w:val="24"/>
              </w:rPr>
              <w:t>12</w:t>
            </w:r>
            <w:r>
              <w:rPr>
                <w:rFonts w:ascii="宋体" w:eastAsia="宋体" w:hAnsi="宋体" w:cs="宋体" w:hint="eastAsia"/>
                <w:sz w:val="24"/>
              </w:rPr>
              <w:fldChar w:fldCharType="end"/>
            </w:r>
          </w:hyperlink>
        </w:p>
        <w:p w:rsidR="004032E0" w:rsidRDefault="00A72ABD" w:rsidP="00170380">
          <w:pPr>
            <w:pStyle w:val="20"/>
            <w:tabs>
              <w:tab w:val="right" w:leader="dot" w:pos="8844"/>
            </w:tabs>
            <w:ind w:left="600"/>
            <w:rPr>
              <w:rFonts w:ascii="宋体" w:eastAsia="宋体" w:hAnsi="宋体" w:cs="宋体"/>
              <w:sz w:val="24"/>
            </w:rPr>
          </w:pPr>
          <w:hyperlink w:anchor="_Toc18582" w:history="1">
            <w:r w:rsidR="00E86E11">
              <w:rPr>
                <w:rFonts w:ascii="宋体" w:eastAsia="宋体" w:hAnsi="宋体" w:cs="宋体" w:hint="eastAsia"/>
                <w:sz w:val="24"/>
              </w:rPr>
              <w:t>四、评价结论及相关建议</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_Toc18582 </w:instrText>
            </w:r>
            <w:r>
              <w:rPr>
                <w:rFonts w:ascii="宋体" w:eastAsia="宋体" w:hAnsi="宋体" w:cs="宋体" w:hint="eastAsia"/>
                <w:sz w:val="24"/>
              </w:rPr>
              <w:fldChar w:fldCharType="separate"/>
            </w:r>
            <w:r w:rsidR="00E86E11">
              <w:rPr>
                <w:rFonts w:ascii="宋体" w:eastAsia="宋体" w:hAnsi="宋体" w:cs="宋体" w:hint="eastAsia"/>
                <w:sz w:val="24"/>
              </w:rPr>
              <w:t>12</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8989" w:history="1">
            <w:r w:rsidR="00E86E11">
              <w:rPr>
                <w:rFonts w:ascii="宋体" w:eastAsia="宋体" w:hAnsi="宋体" w:cs="宋体" w:hint="eastAsia"/>
                <w:sz w:val="24"/>
              </w:rPr>
              <w:t>（一）评价结论（附相关评分表）</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_Toc8989 </w:instrText>
            </w:r>
            <w:r>
              <w:rPr>
                <w:rFonts w:ascii="宋体" w:eastAsia="宋体" w:hAnsi="宋体" w:cs="宋体" w:hint="eastAsia"/>
                <w:sz w:val="24"/>
              </w:rPr>
              <w:fldChar w:fldCharType="separate"/>
            </w:r>
            <w:r w:rsidR="00E86E11">
              <w:rPr>
                <w:rFonts w:ascii="宋体" w:eastAsia="宋体" w:hAnsi="宋体" w:cs="宋体" w:hint="eastAsia"/>
                <w:sz w:val="24"/>
              </w:rPr>
              <w:t>12</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2014" w:history="1">
            <w:r w:rsidR="00E86E11">
              <w:rPr>
                <w:rFonts w:ascii="宋体" w:eastAsia="宋体" w:hAnsi="宋体" w:cs="宋体" w:hint="eastAsia"/>
                <w:sz w:val="24"/>
              </w:rPr>
              <w:t>（二）相关建议</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_Toc2014 </w:instrText>
            </w:r>
            <w:r>
              <w:rPr>
                <w:rFonts w:ascii="宋体" w:eastAsia="宋体" w:hAnsi="宋体" w:cs="宋体" w:hint="eastAsia"/>
                <w:sz w:val="24"/>
              </w:rPr>
              <w:fldChar w:fldCharType="separate"/>
            </w:r>
            <w:r w:rsidR="00E86E11">
              <w:rPr>
                <w:rFonts w:ascii="宋体" w:eastAsia="宋体" w:hAnsi="宋体" w:cs="宋体" w:hint="eastAsia"/>
                <w:sz w:val="24"/>
              </w:rPr>
              <w:t>13</w:t>
            </w:r>
            <w:r>
              <w:rPr>
                <w:rFonts w:ascii="宋体" w:eastAsia="宋体" w:hAnsi="宋体" w:cs="宋体" w:hint="eastAsia"/>
                <w:sz w:val="24"/>
              </w:rPr>
              <w:fldChar w:fldCharType="end"/>
            </w:r>
          </w:hyperlink>
        </w:p>
        <w:p w:rsidR="004032E0" w:rsidRDefault="00A72ABD" w:rsidP="00170380">
          <w:pPr>
            <w:pStyle w:val="20"/>
            <w:tabs>
              <w:tab w:val="right" w:leader="dot" w:pos="8844"/>
            </w:tabs>
            <w:ind w:left="600"/>
            <w:rPr>
              <w:rFonts w:ascii="宋体" w:eastAsia="宋体" w:hAnsi="宋体" w:cs="宋体"/>
              <w:sz w:val="24"/>
            </w:rPr>
          </w:pPr>
          <w:hyperlink w:anchor="_Toc909" w:history="1">
            <w:r w:rsidR="00E86E11">
              <w:rPr>
                <w:rFonts w:ascii="宋体" w:eastAsia="宋体" w:hAnsi="宋体" w:cs="宋体" w:hint="eastAsia"/>
                <w:sz w:val="24"/>
              </w:rPr>
              <w:t>五、相关附件</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_Toc909 </w:instrText>
            </w:r>
            <w:r>
              <w:rPr>
                <w:rFonts w:ascii="宋体" w:eastAsia="宋体" w:hAnsi="宋体" w:cs="宋体" w:hint="eastAsia"/>
                <w:sz w:val="24"/>
              </w:rPr>
              <w:fldChar w:fldCharType="separate"/>
            </w:r>
            <w:r w:rsidR="00E86E11">
              <w:rPr>
                <w:rFonts w:ascii="宋体" w:eastAsia="宋体" w:hAnsi="宋体" w:cs="宋体" w:hint="eastAsia"/>
                <w:sz w:val="24"/>
              </w:rPr>
              <w:t>14</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5838" w:history="1">
            <w:r w:rsidR="00E86E11">
              <w:rPr>
                <w:rFonts w:ascii="宋体" w:eastAsia="宋体" w:hAnsi="宋体" w:cs="宋体" w:hint="eastAsia"/>
                <w:sz w:val="24"/>
              </w:rPr>
              <w:t>附件1 乡村振兴专项资金支出绩效评价指标体系</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_Toc15838 </w:instrText>
            </w:r>
            <w:r>
              <w:rPr>
                <w:rFonts w:ascii="宋体" w:eastAsia="宋体" w:hAnsi="宋体" w:cs="宋体" w:hint="eastAsia"/>
                <w:sz w:val="24"/>
              </w:rPr>
              <w:fldChar w:fldCharType="separate"/>
            </w:r>
            <w:r w:rsidR="00E86E11">
              <w:rPr>
                <w:rFonts w:ascii="宋体" w:eastAsia="宋体" w:hAnsi="宋体" w:cs="宋体" w:hint="eastAsia"/>
                <w:sz w:val="24"/>
              </w:rPr>
              <w:t>15</w:t>
            </w:r>
            <w:r>
              <w:rPr>
                <w:rFonts w:ascii="宋体" w:eastAsia="宋体" w:hAnsi="宋体" w:cs="宋体" w:hint="eastAsia"/>
                <w:sz w:val="24"/>
              </w:rPr>
              <w:fldChar w:fldCharType="end"/>
            </w:r>
          </w:hyperlink>
        </w:p>
        <w:p w:rsidR="004032E0" w:rsidRDefault="00A72ABD" w:rsidP="00170380">
          <w:pPr>
            <w:pStyle w:val="30"/>
            <w:tabs>
              <w:tab w:val="right" w:leader="dot" w:pos="8844"/>
            </w:tabs>
            <w:ind w:left="1200"/>
            <w:rPr>
              <w:rFonts w:ascii="宋体" w:eastAsia="宋体" w:hAnsi="宋体" w:cs="宋体"/>
              <w:sz w:val="24"/>
            </w:rPr>
          </w:pPr>
          <w:hyperlink w:anchor="_Toc17732" w:history="1">
            <w:r w:rsidR="00E86E11">
              <w:rPr>
                <w:rFonts w:ascii="宋体" w:eastAsia="宋体" w:hAnsi="宋体" w:cs="宋体" w:hint="eastAsia"/>
                <w:sz w:val="24"/>
              </w:rPr>
              <w:t>附件2 问卷调查统计表</w:t>
            </w:r>
            <w:r w:rsidR="00E86E11">
              <w:rPr>
                <w:rFonts w:ascii="宋体" w:eastAsia="宋体" w:hAnsi="宋体" w:cs="宋体" w:hint="eastAsia"/>
                <w:sz w:val="24"/>
              </w:rPr>
              <w:tab/>
            </w:r>
            <w:r>
              <w:rPr>
                <w:rFonts w:ascii="宋体" w:eastAsia="宋体" w:hAnsi="宋体" w:cs="宋体" w:hint="eastAsia"/>
                <w:sz w:val="24"/>
              </w:rPr>
              <w:fldChar w:fldCharType="begin"/>
            </w:r>
            <w:r w:rsidR="00E86E11">
              <w:rPr>
                <w:rFonts w:ascii="宋体" w:eastAsia="宋体" w:hAnsi="宋体" w:cs="宋体" w:hint="eastAsia"/>
                <w:sz w:val="24"/>
              </w:rPr>
              <w:instrText xml:space="preserve"> PAGEREF _Toc17732 </w:instrText>
            </w:r>
            <w:r>
              <w:rPr>
                <w:rFonts w:ascii="宋体" w:eastAsia="宋体" w:hAnsi="宋体" w:cs="宋体" w:hint="eastAsia"/>
                <w:sz w:val="24"/>
              </w:rPr>
              <w:fldChar w:fldCharType="separate"/>
            </w:r>
            <w:r w:rsidR="00E86E11">
              <w:rPr>
                <w:rFonts w:ascii="宋体" w:eastAsia="宋体" w:hAnsi="宋体" w:cs="宋体" w:hint="eastAsia"/>
                <w:sz w:val="24"/>
              </w:rPr>
              <w:t>25</w:t>
            </w:r>
            <w:r>
              <w:rPr>
                <w:rFonts w:ascii="宋体" w:eastAsia="宋体" w:hAnsi="宋体" w:cs="宋体" w:hint="eastAsia"/>
                <w:sz w:val="24"/>
              </w:rPr>
              <w:fldChar w:fldCharType="end"/>
            </w:r>
          </w:hyperlink>
        </w:p>
        <w:p w:rsidR="004032E0" w:rsidRDefault="00A72ABD">
          <w:pPr>
            <w:spacing w:line="360" w:lineRule="auto"/>
            <w:jc w:val="center"/>
            <w:rPr>
              <w:rFonts w:ascii="宋体" w:eastAsia="宋体" w:hAnsi="宋体" w:cs="宋体"/>
              <w:sz w:val="24"/>
            </w:rPr>
          </w:pPr>
          <w:r>
            <w:rPr>
              <w:rFonts w:ascii="宋体" w:eastAsia="宋体" w:hAnsi="宋体" w:cs="宋体" w:hint="eastAsia"/>
              <w:sz w:val="24"/>
            </w:rPr>
            <w:fldChar w:fldCharType="end"/>
          </w:r>
        </w:p>
      </w:sdtContent>
    </w:sdt>
    <w:p w:rsidR="004032E0" w:rsidRDefault="00E86E11">
      <w:pPr>
        <w:adjustRightInd w:val="0"/>
        <w:snapToGrid w:val="0"/>
        <w:spacing w:line="360" w:lineRule="auto"/>
        <w:rPr>
          <w:rFonts w:ascii="宋体" w:eastAsia="宋体" w:hAnsi="宋体" w:cs="宋体"/>
          <w:sz w:val="24"/>
        </w:rPr>
      </w:pPr>
      <w:r>
        <w:rPr>
          <w:rFonts w:ascii="宋体" w:eastAsia="宋体" w:hAnsi="宋体" w:cs="宋体" w:hint="eastAsia"/>
          <w:sz w:val="24"/>
        </w:rPr>
        <w:br w:type="page"/>
      </w:r>
      <w:bookmarkStart w:id="36" w:name="_GoBack"/>
      <w:bookmarkEnd w:id="36"/>
    </w:p>
    <w:p w:rsidR="004032E0" w:rsidRDefault="00E86E11">
      <w:pPr>
        <w:adjustRightInd w:val="0"/>
        <w:snapToGrid w:val="0"/>
        <w:spacing w:line="360" w:lineRule="auto"/>
        <w:jc w:val="center"/>
        <w:outlineLvl w:val="0"/>
        <w:rPr>
          <w:rFonts w:ascii="方正小标宋_GBK" w:eastAsia="方正小标宋_GBK" w:hAnsi="方正小标宋_GBK" w:cs="方正小标宋_GBK"/>
          <w:sz w:val="32"/>
          <w:szCs w:val="32"/>
        </w:rPr>
      </w:pPr>
      <w:bookmarkStart w:id="37" w:name="_Toc10053"/>
      <w:bookmarkStart w:id="38" w:name="_Toc8076"/>
      <w:bookmarkStart w:id="39" w:name="_Toc2246"/>
      <w:bookmarkStart w:id="40" w:name="_Toc22254"/>
      <w:bookmarkStart w:id="41" w:name="_Toc9316"/>
      <w:bookmarkStart w:id="42" w:name="_Toc7732"/>
      <w:bookmarkStart w:id="43" w:name="_Toc28840"/>
      <w:bookmarkStart w:id="44" w:name="_Toc2529"/>
      <w:bookmarkStart w:id="45" w:name="_Toc15153"/>
      <w:bookmarkStart w:id="46" w:name="_Toc29341"/>
      <w:bookmarkStart w:id="47" w:name="_Toc18397"/>
      <w:bookmarkStart w:id="48" w:name="_Toc3090"/>
      <w:bookmarkStart w:id="49" w:name="_Toc19193"/>
      <w:bookmarkStart w:id="50" w:name="_Toc15446"/>
      <w:bookmarkStart w:id="51" w:name="_Toc1029"/>
      <w:bookmarkStart w:id="52" w:name="_Toc12124"/>
      <w:bookmarkStart w:id="53" w:name="_Toc16245"/>
      <w:r>
        <w:rPr>
          <w:rFonts w:ascii="方正小标宋_GBK" w:eastAsia="方正小标宋_GBK" w:hAnsi="方正小标宋_GBK" w:cs="方正小标宋_GBK" w:hint="eastAsia"/>
          <w:sz w:val="32"/>
          <w:szCs w:val="32"/>
        </w:rPr>
        <w:lastRenderedPageBreak/>
        <w:t>泉州市</w:t>
      </w:r>
      <w:bookmarkEnd w:id="35"/>
      <w:bookmarkEnd w:id="37"/>
      <w:bookmarkEnd w:id="38"/>
      <w:bookmarkEnd w:id="39"/>
      <w:bookmarkEnd w:id="40"/>
      <w:bookmarkEnd w:id="41"/>
      <w:bookmarkEnd w:id="42"/>
      <w:bookmarkEnd w:id="43"/>
      <w:r>
        <w:rPr>
          <w:rFonts w:ascii="方正小标宋_GBK" w:eastAsia="方正小标宋_GBK" w:hAnsi="方正小标宋_GBK" w:cs="方正小标宋_GBK" w:hint="eastAsia"/>
          <w:sz w:val="32"/>
          <w:szCs w:val="32"/>
        </w:rPr>
        <w:t>农业农村局</w:t>
      </w:r>
      <w:bookmarkEnd w:id="44"/>
      <w:bookmarkEnd w:id="45"/>
      <w:bookmarkEnd w:id="46"/>
      <w:bookmarkEnd w:id="47"/>
      <w:bookmarkEnd w:id="48"/>
      <w:bookmarkEnd w:id="49"/>
      <w:bookmarkEnd w:id="50"/>
      <w:bookmarkEnd w:id="51"/>
      <w:bookmarkEnd w:id="52"/>
      <w:bookmarkEnd w:id="53"/>
    </w:p>
    <w:p w:rsidR="004032E0" w:rsidRDefault="00E86E11">
      <w:pPr>
        <w:adjustRightInd w:val="0"/>
        <w:snapToGrid w:val="0"/>
        <w:spacing w:line="360" w:lineRule="auto"/>
        <w:jc w:val="center"/>
        <w:outlineLvl w:val="0"/>
        <w:rPr>
          <w:rFonts w:ascii="方正小标宋_GBK" w:eastAsia="方正小标宋_GBK" w:hAnsi="方正小标宋_GBK" w:cs="方正小标宋_GBK"/>
          <w:sz w:val="32"/>
          <w:szCs w:val="32"/>
        </w:rPr>
      </w:pPr>
      <w:bookmarkStart w:id="54" w:name="_Toc26138"/>
      <w:bookmarkStart w:id="55" w:name="_Toc31289"/>
      <w:bookmarkStart w:id="56" w:name="_Toc25921"/>
      <w:bookmarkStart w:id="57" w:name="_Toc13214"/>
      <w:bookmarkStart w:id="58" w:name="_Toc3177"/>
      <w:bookmarkStart w:id="59" w:name="_Toc32494"/>
      <w:bookmarkStart w:id="60" w:name="_Toc31668"/>
      <w:bookmarkStart w:id="61" w:name="_Toc11021"/>
      <w:bookmarkStart w:id="62" w:name="_Toc20682"/>
      <w:bookmarkStart w:id="63" w:name="_Toc7455"/>
      <w:bookmarkStart w:id="64" w:name="_Toc1690"/>
      <w:bookmarkStart w:id="65" w:name="_Toc4931"/>
      <w:bookmarkStart w:id="66" w:name="_Toc23961"/>
      <w:bookmarkStart w:id="67" w:name="_Toc13609"/>
      <w:bookmarkStart w:id="68" w:name="_Toc3250"/>
      <w:bookmarkStart w:id="69" w:name="_Toc5225"/>
      <w:bookmarkStart w:id="70" w:name="_Toc3360"/>
      <w:bookmarkStart w:id="71" w:name="_Toc15693"/>
      <w:r>
        <w:rPr>
          <w:rFonts w:ascii="方正小标宋_GBK" w:eastAsia="方正小标宋_GBK" w:hAnsi="方正小标宋_GBK" w:cs="方正小标宋_GBK" w:hint="eastAsia"/>
          <w:sz w:val="32"/>
          <w:szCs w:val="32"/>
        </w:rPr>
        <w:t>2019年度乡村振兴专项资金绩效评价报告</w:t>
      </w:r>
      <w:bookmarkStart w:id="72" w:name="_Toc1268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4032E0" w:rsidRDefault="004032E0">
      <w:pPr>
        <w:adjustRightInd w:val="0"/>
        <w:snapToGrid w:val="0"/>
        <w:spacing w:line="360" w:lineRule="auto"/>
        <w:jc w:val="center"/>
        <w:rPr>
          <w:rFonts w:ascii="黑体" w:eastAsia="黑体" w:hAnsi="黑体" w:cs="黑体"/>
          <w:sz w:val="28"/>
          <w:szCs w:val="28"/>
        </w:rPr>
      </w:pPr>
    </w:p>
    <w:p w:rsidR="004032E0" w:rsidRDefault="00E86E11">
      <w:pPr>
        <w:adjustRightInd w:val="0"/>
        <w:snapToGrid w:val="0"/>
        <w:spacing w:line="360" w:lineRule="auto"/>
        <w:ind w:firstLineChars="200" w:firstLine="600"/>
        <w:jc w:val="left"/>
        <w:rPr>
          <w:rFonts w:ascii="仿宋_GB2312"/>
          <w:szCs w:val="30"/>
        </w:rPr>
      </w:pPr>
      <w:r>
        <w:rPr>
          <w:rFonts w:ascii="仿宋_GB2312" w:hint="eastAsia"/>
          <w:szCs w:val="30"/>
        </w:rPr>
        <w:t>根据《中华人民共和国预算法》《福建省财政厅关于印发&lt;福建省财政支出绩效评价管理办法&gt;的通知》（闽财绩〔2015〕4号）、《泉州市财政局关于转发财政部&lt;项目支出绩效评价管理办法&gt;的通知》（泉财绩﹝2020﹞163号）等有关文件精神，厦门鑫永安会计有限公司（以下简称“我司”）受泉州市财政局（以下简称“市财政局”）委托组建项目绩效评价工作小组，对泉州市农业农村局（以下简称“市农业农村局”）2019年度“乡村振兴专项资金”（以下简称“本项目”）绩效情况实施绩效评价，形成本项目绩效评价报告。</w:t>
      </w:r>
    </w:p>
    <w:p w:rsidR="004032E0" w:rsidRDefault="00E86E11">
      <w:pPr>
        <w:pStyle w:val="2"/>
        <w:numPr>
          <w:ilvl w:val="0"/>
          <w:numId w:val="1"/>
        </w:numPr>
        <w:adjustRightInd w:val="0"/>
        <w:snapToGrid w:val="0"/>
        <w:rPr>
          <w:sz w:val="30"/>
          <w:szCs w:val="30"/>
        </w:rPr>
      </w:pPr>
      <w:bookmarkStart w:id="73" w:name="_Toc9800"/>
      <w:bookmarkStart w:id="74" w:name="_Toc14139"/>
      <w:r>
        <w:rPr>
          <w:rFonts w:hint="eastAsia"/>
          <w:sz w:val="30"/>
          <w:szCs w:val="30"/>
        </w:rPr>
        <w:t>基本情况</w:t>
      </w:r>
      <w:bookmarkStart w:id="75" w:name="_Toc4157"/>
      <w:bookmarkEnd w:id="72"/>
      <w:bookmarkEnd w:id="73"/>
      <w:bookmarkEnd w:id="74"/>
    </w:p>
    <w:p w:rsidR="004032E0" w:rsidRDefault="00E86E11" w:rsidP="00170380">
      <w:pPr>
        <w:pStyle w:val="3"/>
        <w:spacing w:before="81" w:after="81"/>
      </w:pPr>
      <w:bookmarkStart w:id="76" w:name="_Toc26628"/>
      <w:bookmarkStart w:id="77" w:name="_Toc32736"/>
      <w:r>
        <w:rPr>
          <w:rFonts w:hint="eastAsia"/>
        </w:rPr>
        <w:t>（一）项目概况</w:t>
      </w:r>
      <w:bookmarkEnd w:id="75"/>
      <w:bookmarkEnd w:id="76"/>
      <w:bookmarkEnd w:id="77"/>
    </w:p>
    <w:p w:rsidR="004032E0" w:rsidRDefault="00E86E11" w:rsidP="00170380">
      <w:pPr>
        <w:pStyle w:val="4"/>
        <w:adjustRightInd w:val="0"/>
        <w:snapToGrid w:val="0"/>
        <w:spacing w:before="81" w:after="81"/>
        <w:rPr>
          <w:sz w:val="30"/>
          <w:szCs w:val="30"/>
        </w:rPr>
      </w:pPr>
      <w:bookmarkStart w:id="78" w:name="_Toc7100"/>
      <w:bookmarkStart w:id="79" w:name="_Toc23518"/>
      <w:r>
        <w:rPr>
          <w:rFonts w:hint="eastAsia"/>
          <w:sz w:val="30"/>
          <w:szCs w:val="30"/>
        </w:rPr>
        <w:t>1.</w:t>
      </w:r>
      <w:r>
        <w:rPr>
          <w:rFonts w:hint="eastAsia"/>
          <w:sz w:val="30"/>
          <w:szCs w:val="30"/>
        </w:rPr>
        <w:t>主要内容</w:t>
      </w:r>
      <w:bookmarkStart w:id="80" w:name="_Toc1003"/>
      <w:r>
        <w:rPr>
          <w:rFonts w:hint="eastAsia"/>
          <w:sz w:val="30"/>
          <w:szCs w:val="30"/>
        </w:rPr>
        <w:t>及实施情况</w:t>
      </w:r>
      <w:bookmarkEnd w:id="78"/>
      <w:bookmarkEnd w:id="79"/>
    </w:p>
    <w:p w:rsidR="004032E0" w:rsidRDefault="00E86E11">
      <w:pPr>
        <w:adjustRightInd w:val="0"/>
        <w:snapToGrid w:val="0"/>
        <w:spacing w:line="360" w:lineRule="auto"/>
        <w:ind w:firstLineChars="200" w:firstLine="600"/>
        <w:jc w:val="left"/>
        <w:rPr>
          <w:rFonts w:ascii="仿宋_GB2312" w:hAnsi="宋体" w:cs="仿宋_GB2312"/>
          <w:color w:val="222222"/>
          <w:kern w:val="0"/>
          <w:szCs w:val="30"/>
        </w:rPr>
      </w:pPr>
      <w:r>
        <w:rPr>
          <w:rFonts w:ascii="仿宋_GB2312" w:hAnsi="宋体" w:cs="仿宋_GB2312" w:hint="eastAsia"/>
          <w:color w:val="222222"/>
          <w:kern w:val="0"/>
          <w:szCs w:val="30"/>
        </w:rPr>
        <w:t>泉州市按照“一乡（镇）一特色、一村一方案、一年一计划”思路，打造4个乡村振兴重点县（市、区）、13个特色乡（镇）和145个试点村为示范样板，以点带面推进乡村全面振兴。开展以“清洁村庄助力乡村振兴”为主题村庄清洁行动，优化整合各种资源，集中整治农村环境脏乱问题，每月对全市2055个行政村随机抽评300个以上村庄和100段以上道路，实行“以评代检、以奖代补”激励</w:t>
      </w:r>
      <w:r>
        <w:rPr>
          <w:rFonts w:ascii="仿宋_GB2312" w:hAnsi="宋体" w:cs="仿宋_GB2312" w:hint="eastAsia"/>
          <w:color w:val="222222"/>
          <w:kern w:val="0"/>
          <w:szCs w:val="30"/>
        </w:rPr>
        <w:lastRenderedPageBreak/>
        <w:t>机制，加快提升村容村貌，持续改善农村人居环境。辐射打造14条乡村振兴示范线路，覆盖50个重点村。创新案例奖励255个项目，其中示范提升项目84个，基础设施建设或公共服务配套项目75个，产业发展项目69个，创新案例项目27个。</w:t>
      </w:r>
    </w:p>
    <w:p w:rsidR="004032E0" w:rsidRDefault="00E86E11" w:rsidP="00170380">
      <w:pPr>
        <w:pStyle w:val="4"/>
        <w:adjustRightInd w:val="0"/>
        <w:snapToGrid w:val="0"/>
        <w:spacing w:before="81" w:after="81"/>
        <w:rPr>
          <w:sz w:val="30"/>
          <w:szCs w:val="30"/>
        </w:rPr>
      </w:pPr>
      <w:bookmarkStart w:id="81" w:name="_Toc24540"/>
      <w:bookmarkStart w:id="82" w:name="_Toc25330"/>
      <w:r>
        <w:rPr>
          <w:rFonts w:hint="eastAsia"/>
          <w:sz w:val="30"/>
          <w:szCs w:val="30"/>
        </w:rPr>
        <w:t>2.</w:t>
      </w:r>
      <w:r>
        <w:rPr>
          <w:rFonts w:hint="eastAsia"/>
          <w:sz w:val="30"/>
          <w:szCs w:val="30"/>
        </w:rPr>
        <w:t>资金投入和使用情况</w:t>
      </w:r>
      <w:bookmarkEnd w:id="80"/>
      <w:bookmarkEnd w:id="81"/>
      <w:bookmarkEnd w:id="82"/>
    </w:p>
    <w:p w:rsidR="004032E0" w:rsidRDefault="00E86E11">
      <w:pPr>
        <w:pStyle w:val="a0"/>
        <w:spacing w:line="360" w:lineRule="auto"/>
        <w:ind w:leftChars="0" w:left="0" w:rightChars="0" w:right="0" w:firstLineChars="200" w:firstLine="600"/>
        <w:rPr>
          <w:rFonts w:ascii="仿宋_GB2312"/>
          <w:szCs w:val="30"/>
        </w:rPr>
      </w:pPr>
      <w:r>
        <w:rPr>
          <w:rFonts w:ascii="仿宋_GB2312" w:hAnsi="宋体" w:cs="仿宋_GB2312" w:hint="eastAsia"/>
          <w:color w:val="222222"/>
          <w:kern w:val="0"/>
          <w:szCs w:val="30"/>
        </w:rPr>
        <w:t>根据《泉州市财政局关于下达2019年度市直行政事业单位部门预算的通知》（泉财指标〔2019〕1号）文件批复，</w:t>
      </w:r>
      <w:r>
        <w:rPr>
          <w:rFonts w:hint="eastAsia"/>
          <w:szCs w:val="30"/>
        </w:rPr>
        <w:t>本项目预算资</w:t>
      </w:r>
      <w:r>
        <w:rPr>
          <w:rFonts w:ascii="仿宋_GB2312" w:hAnsi="仿宋_GB2312" w:cs="仿宋_GB2312" w:hint="eastAsia"/>
          <w:szCs w:val="30"/>
        </w:rPr>
        <w:t>金13,400万元（具体预算情况见图1）。</w:t>
      </w:r>
      <w:r>
        <w:rPr>
          <w:rFonts w:hint="eastAsia"/>
          <w:szCs w:val="30"/>
        </w:rPr>
        <w:t>截止</w:t>
      </w:r>
      <w:r>
        <w:rPr>
          <w:rFonts w:ascii="仿宋_GB2312" w:hAnsi="仿宋_GB2312" w:cs="仿宋_GB2312" w:hint="eastAsia"/>
          <w:szCs w:val="30"/>
        </w:rPr>
        <w:t>2019年12月31日，项目到位资金13,400万元，资金到位率100%。项目实际支出数13,216.4万元，预算执行力98.63%（具体支出情况见图2），结余183.6万元为乡村振兴工作经费，结余率1.37%。</w:t>
      </w:r>
    </w:p>
    <w:p w:rsidR="004032E0" w:rsidRDefault="00E86E11">
      <w:pPr>
        <w:adjustRightInd w:val="0"/>
        <w:snapToGrid w:val="0"/>
        <w:spacing w:line="360" w:lineRule="auto"/>
        <w:ind w:firstLineChars="200" w:firstLine="600"/>
        <w:jc w:val="center"/>
        <w:rPr>
          <w:rFonts w:ascii="楷体" w:eastAsia="楷体" w:hAnsi="楷体" w:cs="楷体"/>
          <w:szCs w:val="30"/>
        </w:rPr>
      </w:pPr>
      <w:r>
        <w:rPr>
          <w:rFonts w:ascii="楷体" w:eastAsia="楷体" w:hAnsi="楷体" w:cs="楷体" w:hint="eastAsia"/>
          <w:szCs w:val="30"/>
        </w:rPr>
        <w:t>图1  “2019年度乡村振兴专项”预算资金分布图</w:t>
      </w:r>
    </w:p>
    <w:p w:rsidR="004032E0" w:rsidRDefault="00E86E11">
      <w:pPr>
        <w:adjustRightInd w:val="0"/>
        <w:snapToGrid w:val="0"/>
        <w:spacing w:line="360" w:lineRule="auto"/>
        <w:ind w:firstLineChars="200" w:firstLine="600"/>
        <w:jc w:val="right"/>
      </w:pPr>
      <w:r>
        <w:rPr>
          <w:rFonts w:ascii="仿宋_GB2312" w:hint="eastAsia"/>
          <w:szCs w:val="30"/>
        </w:rPr>
        <w:t>单位：万元</w:t>
      </w:r>
    </w:p>
    <w:p w:rsidR="004032E0" w:rsidRDefault="00E86E11">
      <w:pPr>
        <w:adjustRightInd w:val="0"/>
        <w:snapToGrid w:val="0"/>
        <w:spacing w:line="360" w:lineRule="auto"/>
        <w:ind w:firstLineChars="200" w:firstLine="600"/>
        <w:jc w:val="center"/>
      </w:pPr>
      <w:r>
        <w:rPr>
          <w:noProof/>
        </w:rPr>
        <w:drawing>
          <wp:inline distT="0" distB="0" distL="114300" distR="114300">
            <wp:extent cx="4679315" cy="2981325"/>
            <wp:effectExtent l="4445" t="4445" r="15240" b="1143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32E0" w:rsidRDefault="00E86E11">
      <w:pPr>
        <w:adjustRightInd w:val="0"/>
        <w:snapToGrid w:val="0"/>
        <w:spacing w:line="360" w:lineRule="auto"/>
        <w:ind w:firstLineChars="200" w:firstLine="600"/>
        <w:jc w:val="center"/>
        <w:rPr>
          <w:rFonts w:ascii="楷体" w:eastAsia="楷体" w:hAnsi="楷体" w:cs="楷体"/>
        </w:rPr>
      </w:pPr>
      <w:r>
        <w:rPr>
          <w:rFonts w:ascii="楷体" w:eastAsia="楷体" w:hAnsi="楷体" w:cs="楷体" w:hint="eastAsia"/>
        </w:rPr>
        <w:t>图2  “2019年乡村振兴专项”预算支出对比图</w:t>
      </w:r>
    </w:p>
    <w:p w:rsidR="004032E0" w:rsidRDefault="00E86E11">
      <w:pPr>
        <w:adjustRightInd w:val="0"/>
        <w:snapToGrid w:val="0"/>
        <w:spacing w:line="360" w:lineRule="auto"/>
        <w:ind w:firstLineChars="200" w:firstLine="600"/>
        <w:jc w:val="right"/>
        <w:rPr>
          <w:rFonts w:ascii="仿宋_GB2312" w:hAnsi="仿宋_GB2312" w:cs="仿宋_GB2312"/>
        </w:rPr>
      </w:pPr>
      <w:r>
        <w:rPr>
          <w:rFonts w:ascii="仿宋_GB2312" w:hAnsi="仿宋_GB2312" w:cs="仿宋_GB2312" w:hint="eastAsia"/>
        </w:rPr>
        <w:lastRenderedPageBreak/>
        <w:t>单位：万元</w:t>
      </w:r>
    </w:p>
    <w:p w:rsidR="004032E0" w:rsidRDefault="00E86E11">
      <w:pPr>
        <w:adjustRightInd w:val="0"/>
        <w:snapToGrid w:val="0"/>
        <w:spacing w:line="360" w:lineRule="auto"/>
        <w:ind w:firstLineChars="200" w:firstLine="600"/>
        <w:jc w:val="center"/>
      </w:pPr>
      <w:r>
        <w:rPr>
          <w:noProof/>
        </w:rPr>
        <w:drawing>
          <wp:inline distT="0" distB="0" distL="114300" distR="114300">
            <wp:extent cx="4745355" cy="2884170"/>
            <wp:effectExtent l="4445" t="4445" r="12700" b="698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32E0" w:rsidRDefault="00E86E11" w:rsidP="00170380">
      <w:pPr>
        <w:pStyle w:val="3"/>
        <w:spacing w:before="81" w:after="81"/>
      </w:pPr>
      <w:bookmarkStart w:id="83" w:name="_Toc12767"/>
      <w:bookmarkStart w:id="84" w:name="_Toc21297"/>
      <w:bookmarkStart w:id="85" w:name="_Toc7855"/>
      <w:r>
        <w:rPr>
          <w:rFonts w:hint="eastAsia"/>
        </w:rPr>
        <w:t>（二）项目绩效目标</w:t>
      </w:r>
      <w:bookmarkEnd w:id="83"/>
      <w:bookmarkEnd w:id="84"/>
      <w:bookmarkEnd w:id="85"/>
    </w:p>
    <w:p w:rsidR="004032E0" w:rsidRDefault="00E86E11">
      <w:pPr>
        <w:widowControl/>
        <w:adjustRightInd w:val="0"/>
        <w:snapToGrid w:val="0"/>
        <w:spacing w:line="360" w:lineRule="auto"/>
        <w:ind w:firstLineChars="200" w:firstLine="600"/>
        <w:jc w:val="left"/>
        <w:rPr>
          <w:rFonts w:ascii="楷体" w:eastAsia="楷体" w:hAnsi="楷体" w:cs="楷体"/>
          <w:kern w:val="0"/>
          <w:szCs w:val="30"/>
        </w:rPr>
      </w:pPr>
      <w:r>
        <w:rPr>
          <w:rFonts w:ascii="仿宋_GB2312" w:hint="eastAsia"/>
          <w:szCs w:val="30"/>
        </w:rPr>
        <w:t>通过组织实施乡村振兴战略“千村试点，万村推进”活动，扶持打造一批有示范带动作用的乡村振兴试点村和示范村，推动全市农村开展全面振兴，实现农业全面升级，农村全面进步，农民全面发展，为确保2020年全市实现全面建成小康社会奠定坚实基础。</w:t>
      </w:r>
    </w:p>
    <w:p w:rsidR="004032E0" w:rsidRDefault="00E86E11">
      <w:pPr>
        <w:pStyle w:val="2"/>
        <w:numPr>
          <w:ilvl w:val="0"/>
          <w:numId w:val="1"/>
        </w:numPr>
        <w:adjustRightInd w:val="0"/>
        <w:snapToGrid w:val="0"/>
        <w:rPr>
          <w:sz w:val="30"/>
          <w:szCs w:val="30"/>
        </w:rPr>
      </w:pPr>
      <w:bookmarkStart w:id="86" w:name="_Toc27343"/>
      <w:bookmarkStart w:id="87" w:name="_Toc1407"/>
      <w:bookmarkStart w:id="88" w:name="_Toc32042"/>
      <w:r>
        <w:rPr>
          <w:rFonts w:hint="eastAsia"/>
          <w:sz w:val="30"/>
          <w:szCs w:val="30"/>
        </w:rPr>
        <w:t>绩效评价指标分析</w:t>
      </w:r>
      <w:bookmarkEnd w:id="86"/>
      <w:bookmarkEnd w:id="87"/>
      <w:bookmarkEnd w:id="88"/>
    </w:p>
    <w:p w:rsidR="004032E0" w:rsidRDefault="00E86E11">
      <w:pPr>
        <w:spacing w:line="360" w:lineRule="auto"/>
        <w:ind w:firstLineChars="200" w:firstLine="600"/>
      </w:pPr>
      <w:r>
        <w:rPr>
          <w:rFonts w:ascii="仿宋_GB2312" w:hAnsi="仿宋_GB2312" w:cs="仿宋_GB2312" w:hint="eastAsia"/>
          <w:szCs w:val="30"/>
        </w:rPr>
        <w:t>本项目绩效评价指标体系共设置4个一级指标、13个二级指标、26个三级指标</w:t>
      </w:r>
      <w:r>
        <w:rPr>
          <w:rFonts w:ascii="仿宋_GB2312" w:hAnsi="仿宋_GB2312" w:cs="仿宋_GB2312" w:hint="eastAsia"/>
          <w:kern w:val="0"/>
          <w:szCs w:val="30"/>
        </w:rPr>
        <w:t>。具体指标体系的构成、评分标准、分值及得分情况见附件1。</w:t>
      </w:r>
    </w:p>
    <w:p w:rsidR="004032E0" w:rsidRDefault="00E86E11" w:rsidP="00170380">
      <w:pPr>
        <w:pStyle w:val="3"/>
        <w:adjustRightInd w:val="0"/>
        <w:snapToGrid w:val="0"/>
        <w:spacing w:before="81" w:after="81"/>
        <w:rPr>
          <w:sz w:val="30"/>
          <w:szCs w:val="30"/>
        </w:rPr>
      </w:pPr>
      <w:bookmarkStart w:id="89" w:name="_Toc26878"/>
      <w:bookmarkStart w:id="90" w:name="_Toc830"/>
      <w:bookmarkStart w:id="91" w:name="_Toc7206"/>
      <w:r>
        <w:rPr>
          <w:rFonts w:hint="eastAsia"/>
          <w:sz w:val="30"/>
          <w:szCs w:val="30"/>
        </w:rPr>
        <w:t>（一）项目决策情况</w:t>
      </w:r>
      <w:bookmarkStart w:id="92" w:name="_Toc20203"/>
      <w:bookmarkEnd w:id="89"/>
      <w:bookmarkEnd w:id="90"/>
      <w:bookmarkEnd w:id="91"/>
    </w:p>
    <w:p w:rsidR="004032E0" w:rsidRDefault="00E86E11" w:rsidP="00170380">
      <w:pPr>
        <w:pStyle w:val="4"/>
        <w:spacing w:before="81" w:after="81"/>
      </w:pPr>
      <w:bookmarkStart w:id="93" w:name="_Toc6173"/>
      <w:r>
        <w:rPr>
          <w:rFonts w:hint="eastAsia"/>
        </w:rPr>
        <w:t>1.</w:t>
      </w:r>
      <w:r>
        <w:rPr>
          <w:rFonts w:hint="eastAsia"/>
        </w:rPr>
        <w:t>项目立项分析</w:t>
      </w:r>
      <w:bookmarkEnd w:id="93"/>
    </w:p>
    <w:p w:rsidR="004032E0" w:rsidRDefault="00E86E11">
      <w:pPr>
        <w:spacing w:line="360" w:lineRule="auto"/>
        <w:ind w:firstLineChars="200" w:firstLine="600"/>
        <w:rPr>
          <w:szCs w:val="30"/>
        </w:rPr>
      </w:pPr>
      <w:r>
        <w:rPr>
          <w:rFonts w:hint="eastAsia"/>
          <w:szCs w:val="30"/>
        </w:rPr>
        <w:t>从与经济社会发展决策相符性看，本项目紧紧围绕习近平新时</w:t>
      </w:r>
      <w:r>
        <w:rPr>
          <w:rFonts w:hint="eastAsia"/>
          <w:szCs w:val="30"/>
        </w:rPr>
        <w:lastRenderedPageBreak/>
        <w:t>代中国特色社会主义思想以及《乡村振兴战略规划（</w:t>
      </w:r>
      <w:r>
        <w:rPr>
          <w:rFonts w:hint="eastAsia"/>
          <w:szCs w:val="30"/>
        </w:rPr>
        <w:t>2018-2022</w:t>
      </w:r>
      <w:r>
        <w:rPr>
          <w:rFonts w:hint="eastAsia"/>
          <w:szCs w:val="30"/>
        </w:rPr>
        <w:t>年）》规划要求，且与市农业农村局“贯彻落实党在农村的基本政策”主要职责密切相关，符合相关要求。因此，本项目立项依据充分、程序规范</w:t>
      </w:r>
      <w:r>
        <w:rPr>
          <w:rFonts w:ascii="仿宋_GB2312" w:hint="eastAsia"/>
          <w:szCs w:val="30"/>
        </w:rPr>
        <w:t>（详见附件1）</w:t>
      </w:r>
      <w:r>
        <w:rPr>
          <w:rFonts w:hint="eastAsia"/>
          <w:szCs w:val="30"/>
        </w:rPr>
        <w:t>。</w:t>
      </w:r>
    </w:p>
    <w:p w:rsidR="004032E0" w:rsidRDefault="00E86E11" w:rsidP="00170380">
      <w:pPr>
        <w:pStyle w:val="4"/>
        <w:spacing w:before="81" w:after="81"/>
        <w:rPr>
          <w:szCs w:val="22"/>
        </w:rPr>
      </w:pPr>
      <w:bookmarkStart w:id="94" w:name="_Toc16610"/>
      <w:r>
        <w:rPr>
          <w:rFonts w:hint="eastAsia"/>
          <w:szCs w:val="22"/>
        </w:rPr>
        <w:t>2.</w:t>
      </w:r>
      <w:r>
        <w:rPr>
          <w:rFonts w:hint="eastAsia"/>
          <w:szCs w:val="22"/>
        </w:rPr>
        <w:t>绩效目标分析</w:t>
      </w:r>
      <w:bookmarkEnd w:id="94"/>
    </w:p>
    <w:p w:rsidR="004032E0" w:rsidRDefault="00E86E11">
      <w:pPr>
        <w:spacing w:line="360" w:lineRule="auto"/>
        <w:ind w:firstLineChars="200" w:firstLine="600"/>
        <w:rPr>
          <w:rFonts w:ascii="仿宋_GB2312" w:hAnsi="仿宋_GB2312" w:cs="仿宋_GB2312"/>
          <w:szCs w:val="30"/>
        </w:rPr>
      </w:pPr>
      <w:r>
        <w:rPr>
          <w:rFonts w:ascii="仿宋_GB2312" w:hAnsi="仿宋_GB2312" w:cs="仿宋_GB2312" w:hint="eastAsia"/>
          <w:szCs w:val="30"/>
        </w:rPr>
        <w:t>总体来看，目标的设定与《泉州市实施乡村振兴战略规划（2018-2022年）》（泉委[2019]23号）紧密相关，与年度计划数相对应，与预算确定的资金量相匹配，目标设置的可操作性较强，但目标设置不够精细，投入项目经费测算精度</w:t>
      </w:r>
      <w:r>
        <w:rPr>
          <w:rFonts w:ascii="仿宋_GB2312" w:hint="eastAsia"/>
          <w:szCs w:val="30"/>
        </w:rPr>
        <w:t>需进一步加强（详见附件1）。</w:t>
      </w:r>
    </w:p>
    <w:p w:rsidR="004032E0" w:rsidRDefault="00E86E11" w:rsidP="00170380">
      <w:pPr>
        <w:pStyle w:val="3"/>
        <w:spacing w:before="81" w:after="81"/>
      </w:pPr>
      <w:bookmarkStart w:id="95" w:name="_Toc13790"/>
      <w:bookmarkStart w:id="96" w:name="_Toc6980"/>
      <w:r>
        <w:rPr>
          <w:rFonts w:hint="eastAsia"/>
        </w:rPr>
        <w:t>（二）项目过程情况</w:t>
      </w:r>
      <w:bookmarkEnd w:id="92"/>
      <w:bookmarkEnd w:id="95"/>
      <w:bookmarkEnd w:id="96"/>
    </w:p>
    <w:p w:rsidR="004032E0" w:rsidRDefault="00E86E11" w:rsidP="00170380">
      <w:pPr>
        <w:pStyle w:val="4"/>
        <w:spacing w:before="81" w:after="81"/>
      </w:pPr>
      <w:bookmarkStart w:id="97" w:name="_Toc19969"/>
      <w:r>
        <w:rPr>
          <w:rFonts w:hint="eastAsia"/>
        </w:rPr>
        <w:t>1.</w:t>
      </w:r>
      <w:r>
        <w:rPr>
          <w:rFonts w:hint="eastAsia"/>
        </w:rPr>
        <w:t>资金管理情况分析</w:t>
      </w:r>
      <w:bookmarkEnd w:id="97"/>
    </w:p>
    <w:p w:rsidR="004032E0" w:rsidRDefault="00E86E11">
      <w:pPr>
        <w:spacing w:line="360" w:lineRule="auto"/>
        <w:ind w:firstLineChars="200" w:firstLine="600"/>
        <w:rPr>
          <w:rFonts w:ascii="仿宋_GB2312" w:hAnsi="仿宋_GB2312" w:cs="仿宋_GB2312"/>
          <w:szCs w:val="30"/>
        </w:rPr>
      </w:pPr>
      <w:r>
        <w:rPr>
          <w:rFonts w:ascii="仿宋_GB2312" w:hAnsi="仿宋_GB2312" w:cs="仿宋_GB2312" w:hint="eastAsia"/>
          <w:szCs w:val="30"/>
        </w:rPr>
        <w:t>本项目资金具有完备的支撑保障条件，会计核算资料完整且入账及时，预算编制较为准确，但资金的使用存在不符合专项资金管理规定的现象，未完全做到专款专用</w:t>
      </w:r>
      <w:r>
        <w:rPr>
          <w:rFonts w:ascii="仿宋_GB2312" w:hint="eastAsia"/>
          <w:szCs w:val="30"/>
        </w:rPr>
        <w:t>（详见附件1）</w:t>
      </w:r>
      <w:r>
        <w:rPr>
          <w:rFonts w:ascii="仿宋_GB2312" w:hAnsi="仿宋_GB2312" w:cs="仿宋_GB2312" w:hint="eastAsia"/>
          <w:szCs w:val="30"/>
        </w:rPr>
        <w:t>。</w:t>
      </w:r>
    </w:p>
    <w:p w:rsidR="004032E0" w:rsidRDefault="00E86E11" w:rsidP="00170380">
      <w:pPr>
        <w:pStyle w:val="4"/>
        <w:spacing w:before="81" w:after="81"/>
      </w:pPr>
      <w:bookmarkStart w:id="98" w:name="_Toc28754"/>
      <w:r>
        <w:rPr>
          <w:rFonts w:hint="eastAsia"/>
        </w:rPr>
        <w:t>2.</w:t>
      </w:r>
      <w:r>
        <w:rPr>
          <w:rFonts w:hint="eastAsia"/>
        </w:rPr>
        <w:t>组织实施情况分析</w:t>
      </w:r>
      <w:bookmarkEnd w:id="98"/>
    </w:p>
    <w:p w:rsidR="004032E0" w:rsidRDefault="00E86E11">
      <w:pPr>
        <w:widowControl/>
        <w:spacing w:line="360" w:lineRule="auto"/>
        <w:ind w:firstLine="640"/>
        <w:rPr>
          <w:rFonts w:ascii="仿宋_GB2312" w:hAnsi="仿宋_GB2312" w:cs="仿宋_GB2312"/>
          <w:szCs w:val="30"/>
        </w:rPr>
      </w:pPr>
      <w:r>
        <w:rPr>
          <w:rFonts w:ascii="仿宋_GB2312" w:hAnsi="仿宋_GB2312" w:cs="仿宋_GB2312" w:hint="eastAsia"/>
          <w:szCs w:val="30"/>
        </w:rPr>
        <w:t>本项目制度较为完善，但资金监督有待进一步加强</w:t>
      </w:r>
      <w:r>
        <w:rPr>
          <w:rFonts w:ascii="仿宋_GB2312" w:hint="eastAsia"/>
          <w:szCs w:val="30"/>
        </w:rPr>
        <w:t>（详见附件1）</w:t>
      </w:r>
      <w:r>
        <w:rPr>
          <w:rFonts w:ascii="仿宋_GB2312" w:hAnsi="仿宋_GB2312" w:cs="仿宋_GB2312" w:hint="eastAsia"/>
          <w:szCs w:val="30"/>
        </w:rPr>
        <w:t>。</w:t>
      </w:r>
    </w:p>
    <w:p w:rsidR="004032E0" w:rsidRDefault="00E86E11" w:rsidP="00170380">
      <w:pPr>
        <w:pStyle w:val="3"/>
        <w:spacing w:before="81" w:after="81"/>
      </w:pPr>
      <w:bookmarkStart w:id="99" w:name="_Toc6452"/>
      <w:bookmarkStart w:id="100" w:name="_Toc6614"/>
      <w:bookmarkStart w:id="101" w:name="_Toc9763"/>
      <w:r>
        <w:rPr>
          <w:rFonts w:hint="eastAsia"/>
        </w:rPr>
        <w:t>（三）项目产出情况</w:t>
      </w:r>
      <w:bookmarkEnd w:id="99"/>
      <w:bookmarkEnd w:id="100"/>
      <w:bookmarkEnd w:id="101"/>
    </w:p>
    <w:p w:rsidR="004032E0" w:rsidRDefault="00E86E11" w:rsidP="00170380">
      <w:pPr>
        <w:pStyle w:val="4"/>
        <w:spacing w:before="81" w:after="81"/>
      </w:pPr>
      <w:bookmarkStart w:id="102" w:name="_Toc28863"/>
      <w:bookmarkStart w:id="103" w:name="_Toc2326"/>
      <w:r>
        <w:rPr>
          <w:rFonts w:hint="eastAsia"/>
        </w:rPr>
        <w:lastRenderedPageBreak/>
        <w:t>1.</w:t>
      </w:r>
      <w:r>
        <w:rPr>
          <w:rFonts w:hint="eastAsia"/>
        </w:rPr>
        <w:t>从产出数量指标看</w:t>
      </w:r>
      <w:bookmarkEnd w:id="102"/>
      <w:bookmarkEnd w:id="103"/>
    </w:p>
    <w:p w:rsidR="004032E0" w:rsidRDefault="00E86E11">
      <w:pPr>
        <w:spacing w:line="360" w:lineRule="auto"/>
        <w:ind w:firstLineChars="200" w:firstLine="600"/>
        <w:rPr>
          <w:rFonts w:ascii="仿宋_GB2312" w:hAnsi="仿宋_GB2312" w:cs="仿宋_GB2312"/>
        </w:rPr>
      </w:pPr>
      <w:r>
        <w:rPr>
          <w:rFonts w:ascii="仿宋_GB2312" w:hAnsi="仿宋_GB2312" w:cs="仿宋_GB2312" w:hint="eastAsia"/>
        </w:rPr>
        <w:t>本项目乡村振兴试点村完成率、农村环境卫生考评率、房前屋后整治覆盖率、乡村振兴建设项目开工率均为100%，项目数量指标完成情况出色。通过随机对24位试点村村民的问卷调查，在乡村振兴战略群众知晓率方面（详见图3），了解的占比为63%。虽然</w:t>
      </w:r>
      <w:r>
        <w:rPr>
          <w:rFonts w:ascii="仿宋_GB2312" w:hint="eastAsia"/>
          <w:szCs w:val="30"/>
        </w:rPr>
        <w:t>宣传全面覆盖，但是效果有待提升，宣传形式有待改进。</w:t>
      </w:r>
    </w:p>
    <w:p w:rsidR="004032E0" w:rsidRDefault="00E86E11">
      <w:pPr>
        <w:spacing w:line="360" w:lineRule="auto"/>
        <w:ind w:firstLineChars="200" w:firstLine="600"/>
        <w:jc w:val="center"/>
        <w:rPr>
          <w:rFonts w:ascii="楷体" w:eastAsia="楷体" w:hAnsi="楷体" w:cs="楷体"/>
        </w:rPr>
      </w:pPr>
      <w:r>
        <w:rPr>
          <w:rFonts w:ascii="楷体" w:eastAsia="楷体" w:hAnsi="楷体" w:cs="楷体" w:hint="eastAsia"/>
        </w:rPr>
        <w:t>图3  乡村振兴战略群众知晓情况</w:t>
      </w:r>
    </w:p>
    <w:p w:rsidR="004032E0" w:rsidRDefault="00E86E11">
      <w:pPr>
        <w:spacing w:line="360" w:lineRule="auto"/>
        <w:ind w:firstLineChars="200" w:firstLine="600"/>
        <w:jc w:val="center"/>
        <w:rPr>
          <w:rFonts w:ascii="楷体" w:eastAsia="楷体" w:hAnsi="楷体" w:cs="楷体"/>
        </w:rPr>
      </w:pPr>
      <w:r>
        <w:rPr>
          <w:noProof/>
        </w:rPr>
        <w:drawing>
          <wp:inline distT="0" distB="0" distL="114300" distR="114300">
            <wp:extent cx="3743325" cy="2289175"/>
            <wp:effectExtent l="4445" t="5080" r="11430" b="4445"/>
            <wp:docPr id="3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32E0" w:rsidRDefault="00E86E11" w:rsidP="00170380">
      <w:pPr>
        <w:pStyle w:val="4"/>
        <w:spacing w:before="81" w:after="81"/>
        <w:rPr>
          <w:szCs w:val="22"/>
        </w:rPr>
      </w:pPr>
      <w:bookmarkStart w:id="104" w:name="_Toc11898"/>
      <w:bookmarkStart w:id="105" w:name="_Toc8300"/>
      <w:r>
        <w:rPr>
          <w:rFonts w:hint="eastAsia"/>
          <w:szCs w:val="22"/>
        </w:rPr>
        <w:t>2.</w:t>
      </w:r>
      <w:r>
        <w:rPr>
          <w:rFonts w:hint="eastAsia"/>
          <w:szCs w:val="22"/>
        </w:rPr>
        <w:t>从产出时效指标看</w:t>
      </w:r>
      <w:bookmarkEnd w:id="104"/>
      <w:bookmarkEnd w:id="105"/>
    </w:p>
    <w:p w:rsidR="004032E0" w:rsidRDefault="00E86E11">
      <w:pPr>
        <w:spacing w:line="360" w:lineRule="auto"/>
        <w:ind w:firstLineChars="200" w:firstLine="600"/>
        <w:rPr>
          <w:rFonts w:ascii="仿宋_GB2312" w:hAnsi="仿宋_GB2312" w:cs="仿宋_GB2312"/>
        </w:rPr>
      </w:pPr>
      <w:r>
        <w:rPr>
          <w:rFonts w:ascii="仿宋_GB2312" w:hAnsi="仿宋_GB2312" w:cs="仿宋_GB2312" w:hint="eastAsia"/>
        </w:rPr>
        <w:t>根据市农业农村局提供的数据来看，乡村振兴资金均在规定时限内完成下达，资金下达及时率100%，项目时效控制较好。</w:t>
      </w:r>
    </w:p>
    <w:p w:rsidR="004032E0" w:rsidRDefault="00E86E11" w:rsidP="00170380">
      <w:pPr>
        <w:pStyle w:val="4"/>
        <w:spacing w:before="81" w:after="81"/>
        <w:rPr>
          <w:szCs w:val="22"/>
        </w:rPr>
      </w:pPr>
      <w:bookmarkStart w:id="106" w:name="_Toc14186"/>
      <w:bookmarkStart w:id="107" w:name="_Toc18314"/>
      <w:r>
        <w:rPr>
          <w:rFonts w:hint="eastAsia"/>
          <w:szCs w:val="22"/>
        </w:rPr>
        <w:t>3.</w:t>
      </w:r>
      <w:r>
        <w:rPr>
          <w:rFonts w:hint="eastAsia"/>
          <w:szCs w:val="22"/>
        </w:rPr>
        <w:t>从产出质量指标看</w:t>
      </w:r>
      <w:bookmarkEnd w:id="106"/>
      <w:bookmarkEnd w:id="107"/>
    </w:p>
    <w:p w:rsidR="004032E0" w:rsidRDefault="00E86E11">
      <w:pPr>
        <w:spacing w:line="360" w:lineRule="auto"/>
        <w:ind w:firstLineChars="200" w:firstLine="600"/>
        <w:rPr>
          <w:sz w:val="28"/>
          <w:szCs w:val="28"/>
        </w:rPr>
      </w:pPr>
      <w:r>
        <w:rPr>
          <w:rFonts w:ascii="仿宋_GB2312" w:hAnsi="仿宋_GB2312" w:cs="仿宋_GB2312" w:hint="eastAsia"/>
        </w:rPr>
        <w:t>2019年度泉州市培育12个典型示范村，打造“微景观大格局 助力乡村振兴”、“全域推进 全面提升 全境美丽”、“一个集体经济薄弱村的‘百万生意经’”、“抢抓机遇 善作善成 建设‘大美 尚善 活力 安康’田底村”、“建设生态宜居乡村 打造乡村振兴样板”、</w:t>
      </w:r>
      <w:r>
        <w:rPr>
          <w:rFonts w:ascii="仿宋_GB2312" w:hAnsi="仿宋_GB2312" w:cs="仿宋_GB2312" w:hint="eastAsia"/>
        </w:rPr>
        <w:lastRenderedPageBreak/>
        <w:t>“丰美燎原”、“活态传承文化 发展特色旅游”共7个典型范例，产出质量指标突出。</w:t>
      </w:r>
    </w:p>
    <w:p w:rsidR="004032E0" w:rsidRDefault="00E86E11" w:rsidP="00170380">
      <w:pPr>
        <w:pStyle w:val="3"/>
        <w:spacing w:before="81" w:after="81"/>
      </w:pPr>
      <w:bookmarkStart w:id="108" w:name="_Toc6187"/>
      <w:bookmarkStart w:id="109" w:name="_Toc16830"/>
      <w:bookmarkStart w:id="110" w:name="_Toc26786"/>
      <w:r>
        <w:rPr>
          <w:rFonts w:hint="eastAsia"/>
        </w:rPr>
        <w:t>（四）项目效益情况</w:t>
      </w:r>
      <w:bookmarkEnd w:id="108"/>
      <w:bookmarkEnd w:id="109"/>
      <w:bookmarkEnd w:id="110"/>
    </w:p>
    <w:p w:rsidR="004032E0" w:rsidRDefault="00E86E11" w:rsidP="00170380">
      <w:pPr>
        <w:pStyle w:val="4"/>
        <w:spacing w:before="81" w:after="81"/>
      </w:pPr>
      <w:bookmarkStart w:id="111" w:name="_Toc8106"/>
      <w:bookmarkStart w:id="112" w:name="_Toc31115"/>
      <w:r>
        <w:rPr>
          <w:rFonts w:hint="eastAsia"/>
        </w:rPr>
        <w:t>1.</w:t>
      </w:r>
      <w:r>
        <w:rPr>
          <w:rFonts w:hint="eastAsia"/>
        </w:rPr>
        <w:t>社会效益分析</w:t>
      </w:r>
      <w:bookmarkEnd w:id="111"/>
      <w:bookmarkEnd w:id="112"/>
    </w:p>
    <w:p w:rsidR="004032E0" w:rsidRDefault="00E86E11">
      <w:pPr>
        <w:spacing w:line="360" w:lineRule="auto"/>
        <w:ind w:firstLineChars="200" w:firstLine="600"/>
        <w:rPr>
          <w:rFonts w:ascii="仿宋_GB2312" w:hAnsi="仿宋_GB2312" w:cs="仿宋_GB2312"/>
        </w:rPr>
      </w:pPr>
      <w:r>
        <w:rPr>
          <w:rFonts w:ascii="仿宋_GB2312" w:hAnsi="仿宋_GB2312" w:cs="仿宋_GB2312" w:hint="eastAsia"/>
        </w:rPr>
        <w:t>2019年度乡村振兴成效吸引市级媒体宣传报道64篇，营造了乡村振兴的良好氛围，社会效益显著。</w:t>
      </w:r>
    </w:p>
    <w:p w:rsidR="004032E0" w:rsidRDefault="00E86E11" w:rsidP="00170380">
      <w:pPr>
        <w:pStyle w:val="4"/>
        <w:spacing w:before="81" w:after="81"/>
      </w:pPr>
      <w:bookmarkStart w:id="113" w:name="_Toc3773"/>
      <w:bookmarkStart w:id="114" w:name="_Toc32527"/>
      <w:r>
        <w:rPr>
          <w:rFonts w:hint="eastAsia"/>
        </w:rPr>
        <w:t>2.</w:t>
      </w:r>
      <w:r>
        <w:rPr>
          <w:rFonts w:hint="eastAsia"/>
        </w:rPr>
        <w:t>环境生态效益分析</w:t>
      </w:r>
      <w:bookmarkEnd w:id="113"/>
      <w:bookmarkEnd w:id="114"/>
    </w:p>
    <w:p w:rsidR="004032E0" w:rsidRDefault="00E86E11">
      <w:pPr>
        <w:spacing w:line="360" w:lineRule="auto"/>
        <w:ind w:firstLineChars="200" w:firstLine="600"/>
        <w:rPr>
          <w:rFonts w:ascii="仿宋" w:eastAsia="仿宋" w:hAnsi="仿宋"/>
          <w:szCs w:val="30"/>
        </w:rPr>
      </w:pPr>
      <w:r>
        <w:rPr>
          <w:rFonts w:ascii="仿宋_GB2312" w:hAnsi="仿宋_GB2312" w:cs="仿宋_GB2312" w:hint="eastAsia"/>
        </w:rPr>
        <w:t>通过对24位试点村村民走访及问卷调查，大家对农村环境宜居度好评率为67%，农村环境宜居水平虽大幅提升，但维护振兴成果需要全员参与，</w:t>
      </w:r>
      <w:r>
        <w:rPr>
          <w:rFonts w:ascii="仿宋" w:eastAsia="仿宋" w:hAnsi="仿宋" w:hint="eastAsia"/>
          <w:szCs w:val="30"/>
        </w:rPr>
        <w:t>当前的乡村振兴工作仍以政府推动为主，村民参与度不够高、主动性不足，导致部分村垃圾乱堆乱放等出现反弹（详见图4）。</w:t>
      </w:r>
    </w:p>
    <w:p w:rsidR="004032E0" w:rsidRDefault="00E86E11">
      <w:pPr>
        <w:spacing w:line="360" w:lineRule="auto"/>
        <w:ind w:firstLineChars="200" w:firstLine="600"/>
        <w:jc w:val="center"/>
        <w:rPr>
          <w:rFonts w:ascii="楷体" w:eastAsia="楷体" w:hAnsi="楷体" w:cs="楷体"/>
        </w:rPr>
      </w:pPr>
      <w:r>
        <w:rPr>
          <w:rFonts w:ascii="楷体" w:eastAsia="楷体" w:hAnsi="楷体" w:cs="楷体" w:hint="eastAsia"/>
          <w:szCs w:val="30"/>
        </w:rPr>
        <w:t>图4 2019年度</w:t>
      </w:r>
      <w:r>
        <w:rPr>
          <w:rFonts w:ascii="楷体" w:eastAsia="楷体" w:hAnsi="楷体" w:cs="楷体" w:hint="eastAsia"/>
        </w:rPr>
        <w:t>村居环境卫生月考评情况</w:t>
      </w:r>
    </w:p>
    <w:p w:rsidR="004032E0" w:rsidRDefault="00E86E11">
      <w:pPr>
        <w:spacing w:line="360" w:lineRule="auto"/>
        <w:ind w:firstLineChars="200" w:firstLine="600"/>
        <w:jc w:val="center"/>
        <w:rPr>
          <w:rFonts w:ascii="楷体" w:eastAsia="楷体" w:hAnsi="楷体" w:cs="楷体"/>
        </w:rPr>
      </w:pPr>
      <w:r>
        <w:rPr>
          <w:noProof/>
        </w:rPr>
        <w:drawing>
          <wp:inline distT="0" distB="0" distL="114300" distR="114300">
            <wp:extent cx="4627880" cy="2752090"/>
            <wp:effectExtent l="0" t="0" r="7620" b="38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32E0" w:rsidRDefault="00E86E11" w:rsidP="00170380">
      <w:pPr>
        <w:pStyle w:val="4"/>
        <w:spacing w:before="81" w:after="81"/>
      </w:pPr>
      <w:bookmarkStart w:id="115" w:name="_Toc5113"/>
      <w:bookmarkStart w:id="116" w:name="_Toc7092"/>
      <w:r>
        <w:rPr>
          <w:rFonts w:hint="eastAsia"/>
        </w:rPr>
        <w:lastRenderedPageBreak/>
        <w:t>3.</w:t>
      </w:r>
      <w:r>
        <w:rPr>
          <w:rFonts w:hint="eastAsia"/>
        </w:rPr>
        <w:t>经济效益分析</w:t>
      </w:r>
      <w:bookmarkEnd w:id="115"/>
      <w:bookmarkEnd w:id="116"/>
    </w:p>
    <w:p w:rsidR="004032E0" w:rsidRDefault="00E86E11">
      <w:pPr>
        <w:spacing w:line="360" w:lineRule="auto"/>
        <w:ind w:firstLineChars="200" w:firstLine="600"/>
        <w:rPr>
          <w:rFonts w:ascii="仿宋" w:eastAsia="仿宋" w:hAnsi="仿宋"/>
          <w:szCs w:val="30"/>
        </w:rPr>
      </w:pPr>
      <w:r>
        <w:rPr>
          <w:rFonts w:ascii="仿宋" w:eastAsia="仿宋" w:hAnsi="仿宋" w:hint="eastAsia"/>
          <w:szCs w:val="30"/>
        </w:rPr>
        <w:t>通过对泉州市2018年-2019年村集体经济收入情况对比分析（如图5所示），2019年度村集体经济收入呈上升趋势。乡村振兴的实施，有效推动了乡村经济的发展，经济效益指标突出。</w:t>
      </w:r>
    </w:p>
    <w:p w:rsidR="004032E0" w:rsidRDefault="00E86E11">
      <w:pPr>
        <w:spacing w:line="360" w:lineRule="auto"/>
        <w:ind w:firstLineChars="200" w:firstLine="600"/>
        <w:jc w:val="center"/>
        <w:rPr>
          <w:rFonts w:ascii="楷体" w:eastAsia="楷体" w:hAnsi="楷体" w:cs="楷体"/>
          <w:szCs w:val="30"/>
        </w:rPr>
      </w:pPr>
      <w:r>
        <w:rPr>
          <w:rFonts w:ascii="楷体" w:eastAsia="楷体" w:hAnsi="楷体" w:cs="楷体" w:hint="eastAsia"/>
          <w:szCs w:val="30"/>
        </w:rPr>
        <w:t>图5 泉州市村集体年度经济收入区间对比图（2018、2019年度）</w:t>
      </w:r>
    </w:p>
    <w:p w:rsidR="004032E0" w:rsidRDefault="00E86E11">
      <w:pPr>
        <w:spacing w:line="360" w:lineRule="auto"/>
        <w:ind w:firstLineChars="200" w:firstLine="600"/>
        <w:jc w:val="right"/>
        <w:rPr>
          <w:rFonts w:ascii="仿宋" w:eastAsia="仿宋" w:hAnsi="仿宋"/>
          <w:szCs w:val="30"/>
        </w:rPr>
      </w:pPr>
      <w:r>
        <w:rPr>
          <w:rFonts w:ascii="仿宋" w:eastAsia="仿宋" w:hAnsi="仿宋" w:hint="eastAsia"/>
          <w:szCs w:val="30"/>
        </w:rPr>
        <w:t>单位：个</w:t>
      </w:r>
    </w:p>
    <w:p w:rsidR="004032E0" w:rsidRDefault="00E86E11">
      <w:pPr>
        <w:spacing w:line="360" w:lineRule="auto"/>
        <w:ind w:firstLineChars="200" w:firstLine="600"/>
        <w:rPr>
          <w:rFonts w:ascii="仿宋" w:eastAsia="仿宋" w:hAnsi="仿宋"/>
          <w:szCs w:val="30"/>
        </w:rPr>
      </w:pPr>
      <w:r>
        <w:rPr>
          <w:noProof/>
        </w:rPr>
        <w:drawing>
          <wp:inline distT="0" distB="0" distL="114300" distR="114300">
            <wp:extent cx="5038725" cy="2954020"/>
            <wp:effectExtent l="5080" t="4445" r="10795" b="1333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32E0" w:rsidRDefault="00E86E11" w:rsidP="00170380">
      <w:pPr>
        <w:pStyle w:val="4"/>
        <w:spacing w:before="81" w:after="81"/>
      </w:pPr>
      <w:bookmarkStart w:id="117" w:name="_Toc18480"/>
      <w:bookmarkStart w:id="118" w:name="_Toc14920"/>
      <w:r>
        <w:rPr>
          <w:rFonts w:hint="eastAsia"/>
        </w:rPr>
        <w:t>4.</w:t>
      </w:r>
      <w:r>
        <w:rPr>
          <w:rFonts w:hint="eastAsia"/>
        </w:rPr>
        <w:t>可持续发展分析</w:t>
      </w:r>
      <w:bookmarkEnd w:id="117"/>
      <w:bookmarkEnd w:id="118"/>
    </w:p>
    <w:p w:rsidR="004032E0" w:rsidRDefault="00E86E11">
      <w:pPr>
        <w:spacing w:line="360" w:lineRule="auto"/>
        <w:ind w:firstLineChars="200" w:firstLine="600"/>
        <w:rPr>
          <w:rFonts w:ascii="仿宋" w:eastAsia="仿宋" w:hAnsi="仿宋"/>
          <w:szCs w:val="30"/>
        </w:rPr>
      </w:pPr>
      <w:r>
        <w:rPr>
          <w:rFonts w:ascii="仿宋" w:eastAsia="仿宋" w:hAnsi="仿宋" w:hint="eastAsia"/>
          <w:szCs w:val="30"/>
        </w:rPr>
        <w:t>根据对泉州市2018年-2019年村集体经济收入情况对比分析以及对24位村民的问卷调查，本项目的实施在乡村生活水平、基础设施、人居环境、乡村经济、居民素质方面有了一定的变化和改善，有效的推动了农村全面进步，本项目的可持续影响显著。</w:t>
      </w:r>
    </w:p>
    <w:p w:rsidR="004032E0" w:rsidRDefault="00E86E11" w:rsidP="00170380">
      <w:pPr>
        <w:pStyle w:val="4"/>
        <w:spacing w:before="81" w:after="81"/>
      </w:pPr>
      <w:r>
        <w:rPr>
          <w:rFonts w:hint="eastAsia"/>
        </w:rPr>
        <w:t>5.</w:t>
      </w:r>
      <w:r>
        <w:rPr>
          <w:rFonts w:hint="eastAsia"/>
        </w:rPr>
        <w:t>服务对象满意度</w:t>
      </w:r>
    </w:p>
    <w:p w:rsidR="004032E0" w:rsidRDefault="00E86E11">
      <w:pPr>
        <w:widowControl/>
        <w:spacing w:line="360" w:lineRule="auto"/>
        <w:ind w:firstLineChars="200" w:firstLine="600"/>
        <w:rPr>
          <w:rFonts w:ascii="仿宋_GB2312" w:hAnsi="仿宋_GB2312" w:cs="仿宋_GB2312"/>
        </w:rPr>
      </w:pPr>
      <w:r>
        <w:rPr>
          <w:rFonts w:ascii="仿宋_GB2312" w:hAnsi="仿宋_GB2312" w:cs="仿宋_GB2312" w:hint="eastAsia"/>
        </w:rPr>
        <w:lastRenderedPageBreak/>
        <w:t>从受益对象满意度看，根据问卷调查数据统计（详见图6），受益村民整体满意率一般，主要表现在民生问题短板，例如基础设施建设不够完善等。</w:t>
      </w:r>
    </w:p>
    <w:p w:rsidR="004032E0" w:rsidRDefault="00E86E11">
      <w:pPr>
        <w:widowControl/>
        <w:spacing w:line="360" w:lineRule="auto"/>
        <w:ind w:firstLineChars="200" w:firstLine="600"/>
        <w:jc w:val="center"/>
        <w:rPr>
          <w:rFonts w:ascii="楷体" w:eastAsia="楷体" w:hAnsi="楷体" w:cs="楷体"/>
        </w:rPr>
      </w:pPr>
      <w:r>
        <w:rPr>
          <w:rFonts w:ascii="楷体" w:eastAsia="楷体" w:hAnsi="楷体" w:cs="楷体" w:hint="eastAsia"/>
        </w:rPr>
        <w:t>图6  受益对象满意度</w:t>
      </w:r>
    </w:p>
    <w:p w:rsidR="004032E0" w:rsidRDefault="00E86E11">
      <w:pPr>
        <w:widowControl/>
        <w:spacing w:line="360" w:lineRule="auto"/>
        <w:jc w:val="center"/>
        <w:rPr>
          <w:rFonts w:ascii="仿宋_GB2312" w:hAnsi="仿宋_GB2312" w:cs="仿宋_GB2312"/>
        </w:rPr>
      </w:pPr>
      <w:r>
        <w:rPr>
          <w:noProof/>
        </w:rPr>
        <w:drawing>
          <wp:inline distT="0" distB="0" distL="114300" distR="114300">
            <wp:extent cx="3247390" cy="2523490"/>
            <wp:effectExtent l="4445" t="4445" r="12065" b="12065"/>
            <wp:docPr id="2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32E0" w:rsidRDefault="00E86E11">
      <w:pPr>
        <w:pStyle w:val="2"/>
      </w:pPr>
      <w:bookmarkStart w:id="119" w:name="_Toc16475"/>
      <w:bookmarkStart w:id="120" w:name="_Toc25289"/>
      <w:bookmarkStart w:id="121" w:name="_Toc22502"/>
      <w:r>
        <w:rPr>
          <w:rFonts w:hint="eastAsia"/>
        </w:rPr>
        <w:t>三、存在的问题及原因分析</w:t>
      </w:r>
      <w:bookmarkEnd w:id="119"/>
      <w:bookmarkEnd w:id="120"/>
      <w:bookmarkEnd w:id="121"/>
    </w:p>
    <w:p w:rsidR="004032E0" w:rsidRDefault="00E86E11" w:rsidP="00170380">
      <w:pPr>
        <w:pStyle w:val="3"/>
        <w:spacing w:before="81" w:after="81"/>
      </w:pPr>
      <w:bookmarkStart w:id="122" w:name="_Toc20059"/>
      <w:bookmarkStart w:id="123" w:name="_Toc9284"/>
      <w:r>
        <w:rPr>
          <w:rFonts w:hint="eastAsia"/>
        </w:rPr>
        <w:t>（一）绩效目标设置需进一步完善</w:t>
      </w:r>
      <w:bookmarkEnd w:id="122"/>
      <w:bookmarkEnd w:id="123"/>
    </w:p>
    <w:p w:rsidR="004032E0" w:rsidRDefault="00E86E11">
      <w:pPr>
        <w:spacing w:line="360" w:lineRule="auto"/>
        <w:ind w:firstLineChars="200" w:firstLine="600"/>
        <w:rPr>
          <w:rFonts w:ascii="仿宋_GB2312"/>
          <w:szCs w:val="30"/>
        </w:rPr>
      </w:pPr>
      <w:r>
        <w:rPr>
          <w:rFonts w:ascii="仿宋_GB2312" w:hint="eastAsia"/>
          <w:szCs w:val="30"/>
        </w:rPr>
        <w:t>1.</w:t>
      </w:r>
      <w:r>
        <w:rPr>
          <w:rFonts w:ascii="楷体" w:eastAsia="楷体" w:hAnsi="楷体" w:cs="楷体" w:hint="eastAsia"/>
          <w:szCs w:val="30"/>
        </w:rPr>
        <w:t>绩效目标设定的不够合理</w:t>
      </w:r>
      <w:r>
        <w:rPr>
          <w:rFonts w:ascii="仿宋_GB2312" w:hint="eastAsia"/>
          <w:szCs w:val="30"/>
        </w:rPr>
        <w:t>。目标设定值与实际投入额偏离较大，目标编制的合理性不够、预见性不足。例如：年初目标设置投入5,600万元用于乡村振兴建设项目，实际投入额7,250万元，偏差率29.46%，偏差率较大。</w:t>
      </w:r>
    </w:p>
    <w:p w:rsidR="004032E0" w:rsidRDefault="00E86E11">
      <w:pPr>
        <w:spacing w:line="360" w:lineRule="auto"/>
        <w:ind w:firstLineChars="200" w:firstLine="600"/>
        <w:rPr>
          <w:rFonts w:ascii="仿宋_GB2312"/>
          <w:szCs w:val="30"/>
        </w:rPr>
      </w:pPr>
      <w:r>
        <w:rPr>
          <w:rFonts w:ascii="楷体" w:eastAsia="楷体" w:hAnsi="楷体" w:cs="楷体" w:hint="eastAsia"/>
          <w:szCs w:val="30"/>
        </w:rPr>
        <w:t>2.产出绩效目标设置不够细化</w:t>
      </w:r>
      <w:r>
        <w:rPr>
          <w:rFonts w:ascii="仿宋_GB2312" w:hAnsi="仿宋_GB2312" w:cs="仿宋_GB2312" w:hint="eastAsia"/>
          <w:szCs w:val="30"/>
        </w:rPr>
        <w:t>。不能从多角度反映专项资金运用的绩效。例如：年初“乡村建设项目数量450个”，未具体细分人居环境整治项目数量、基础设施建设项目数量、公共服务配套项目数量等具体指标。</w:t>
      </w:r>
    </w:p>
    <w:p w:rsidR="004032E0" w:rsidRDefault="00E86E11" w:rsidP="00170380">
      <w:pPr>
        <w:pStyle w:val="3"/>
        <w:spacing w:before="81" w:after="81"/>
      </w:pPr>
      <w:bookmarkStart w:id="124" w:name="_Toc14915"/>
      <w:bookmarkStart w:id="125" w:name="_Toc6062"/>
      <w:r>
        <w:rPr>
          <w:rFonts w:hint="eastAsia"/>
        </w:rPr>
        <w:lastRenderedPageBreak/>
        <w:t>（二）资金使用不符合专项资金管理规定，资金监管有待加强</w:t>
      </w:r>
      <w:bookmarkEnd w:id="124"/>
      <w:bookmarkEnd w:id="125"/>
    </w:p>
    <w:p w:rsidR="004032E0" w:rsidRDefault="00E86E11">
      <w:pPr>
        <w:spacing w:line="360" w:lineRule="auto"/>
        <w:ind w:firstLineChars="200" w:firstLine="600"/>
      </w:pPr>
      <w:r>
        <w:rPr>
          <w:rFonts w:ascii="仿宋_GB2312" w:hAnsi="仿宋" w:cs="仿宋" w:hint="eastAsia"/>
          <w:szCs w:val="30"/>
        </w:rPr>
        <w:t>根据《泉州市市级乡村振兴专项资金管理暂行规定》（泉财农〔2019〕172号）规定：“专项资金不得用于下列各项支出：行政事业单位基本支出；购买交通工具及通讯设备；各种奖金、津贴和福利补助；修建楼堂馆所或改善办公条件。”，经查阅相关原始凭证，个别村居用于支付保洁员工资、购买办公设备等，不符合专项资金管理规定、未做到专款专用</w:t>
      </w:r>
      <w:r>
        <w:rPr>
          <w:rFonts w:hint="eastAsia"/>
        </w:rPr>
        <w:t>，反映出资金使用的监管工作有待进一步加强。</w:t>
      </w:r>
    </w:p>
    <w:p w:rsidR="004032E0" w:rsidRDefault="00E86E11" w:rsidP="00170380">
      <w:pPr>
        <w:pStyle w:val="3"/>
        <w:spacing w:before="81" w:after="81"/>
      </w:pPr>
      <w:bookmarkStart w:id="126" w:name="_Toc4817"/>
      <w:bookmarkStart w:id="127" w:name="_Toc4388"/>
      <w:r>
        <w:rPr>
          <w:rFonts w:hint="eastAsia"/>
        </w:rPr>
        <w:t>（三）</w:t>
      </w:r>
      <w:bookmarkEnd w:id="126"/>
      <w:r>
        <w:rPr>
          <w:rFonts w:hint="eastAsia"/>
        </w:rPr>
        <w:t>宣传形式及宣传效果有进一步提升空间</w:t>
      </w:r>
      <w:bookmarkEnd w:id="127"/>
    </w:p>
    <w:p w:rsidR="004032E0" w:rsidRDefault="00E86E11">
      <w:pPr>
        <w:widowControl/>
        <w:spacing w:line="360" w:lineRule="auto"/>
        <w:ind w:firstLineChars="200" w:firstLine="600"/>
        <w:rPr>
          <w:rFonts w:ascii="仿宋_GB2312" w:hAnsi="仿宋_GB2312" w:cs="仿宋_GB2312"/>
          <w:szCs w:val="30"/>
        </w:rPr>
      </w:pPr>
      <w:r>
        <w:rPr>
          <w:rFonts w:ascii="仿宋" w:eastAsia="仿宋" w:hAnsi="仿宋" w:hint="eastAsia"/>
          <w:szCs w:val="30"/>
        </w:rPr>
        <w:t>乡村振兴战略目前主要以网络媒体、新闻报纸、户外广告等宣传形式为主，虽宣传覆盖面较广，但部分村民识字量不大，无法掌握网络信息技术的使用，尚存在部分村民对乡村振兴战略不太了解的现象，宣传形式及宣传效果有进一步提升的空间。</w:t>
      </w:r>
    </w:p>
    <w:p w:rsidR="004032E0" w:rsidRDefault="00E86E11" w:rsidP="00170380">
      <w:pPr>
        <w:pStyle w:val="3"/>
        <w:spacing w:before="81" w:after="81"/>
      </w:pPr>
      <w:bookmarkStart w:id="128" w:name="_Toc27255"/>
      <w:bookmarkStart w:id="129" w:name="_Toc25442"/>
      <w:r>
        <w:rPr>
          <w:rFonts w:hint="eastAsia"/>
        </w:rPr>
        <w:t>（四）村民参与度不够高，呈现不可持续性和不稳定性特征</w:t>
      </w:r>
      <w:bookmarkEnd w:id="128"/>
      <w:bookmarkEnd w:id="129"/>
    </w:p>
    <w:p w:rsidR="004032E0" w:rsidRDefault="00E86E11">
      <w:pPr>
        <w:spacing w:line="360" w:lineRule="auto"/>
        <w:ind w:firstLineChars="200" w:firstLine="600"/>
      </w:pPr>
      <w:r>
        <w:rPr>
          <w:rFonts w:hint="eastAsia"/>
        </w:rPr>
        <w:t>各级党委政府高度重视乡村振兴工作，出台了不少政策，但当前的乡村振兴工作仍以政府推动为主，</w:t>
      </w:r>
      <w:r>
        <w:rPr>
          <w:rFonts w:hint="eastAsia"/>
          <w:szCs w:val="22"/>
        </w:rPr>
        <w:t>村民主动参与度不够高、主动性不足，村民的主体作用还没有完全发挥，这不但使农村环境和治理成本居高不下，同时也使农村人居环境治理呈现不可持续性和不稳定性特征。例如：新建设的主干道景观提升等工程损毁但未及时修整、部分村垃圾乱堆乱放等在全面清理后出现反弹现象。</w:t>
      </w:r>
    </w:p>
    <w:p w:rsidR="004032E0" w:rsidRDefault="00E86E11" w:rsidP="00170380">
      <w:pPr>
        <w:pStyle w:val="3"/>
        <w:spacing w:before="81" w:after="81"/>
        <w:rPr>
          <w:szCs w:val="22"/>
        </w:rPr>
      </w:pPr>
      <w:bookmarkStart w:id="130" w:name="_Toc27850"/>
      <w:bookmarkStart w:id="131" w:name="_Toc13298"/>
      <w:r>
        <w:rPr>
          <w:rFonts w:hint="eastAsia"/>
          <w:szCs w:val="22"/>
        </w:rPr>
        <w:lastRenderedPageBreak/>
        <w:t>（五）项目资金投入力度较薄弱，资金投入渠道有待拓宽</w:t>
      </w:r>
      <w:bookmarkEnd w:id="130"/>
      <w:bookmarkEnd w:id="131"/>
    </w:p>
    <w:p w:rsidR="004032E0" w:rsidRDefault="00E86E11">
      <w:pPr>
        <w:widowControl/>
        <w:spacing w:line="360" w:lineRule="auto"/>
        <w:ind w:firstLineChars="200" w:firstLine="600"/>
        <w:rPr>
          <w:rFonts w:ascii="仿宋_GB2312" w:hAnsi="仿宋_GB2312" w:cs="仿宋_GB2312"/>
          <w:szCs w:val="30"/>
        </w:rPr>
      </w:pPr>
      <w:r>
        <w:rPr>
          <w:rFonts w:hint="eastAsia"/>
          <w:szCs w:val="22"/>
        </w:rPr>
        <w:t>2019</w:t>
      </w:r>
      <w:r>
        <w:rPr>
          <w:rFonts w:hint="eastAsia"/>
          <w:szCs w:val="22"/>
        </w:rPr>
        <w:t>年度，本项目投入到每个试点村的资金仅为</w:t>
      </w:r>
      <w:r>
        <w:rPr>
          <w:rFonts w:hint="eastAsia"/>
          <w:szCs w:val="22"/>
        </w:rPr>
        <w:t>50</w:t>
      </w:r>
      <w:r>
        <w:rPr>
          <w:rFonts w:hint="eastAsia"/>
          <w:szCs w:val="22"/>
        </w:rPr>
        <w:t>万元，且</w:t>
      </w:r>
      <w:r>
        <w:rPr>
          <w:rFonts w:ascii="仿宋_GB2312" w:hAnsi="仿宋" w:cs="仿宋" w:hint="eastAsia"/>
          <w:szCs w:val="30"/>
        </w:rPr>
        <w:t>县（市、区）</w:t>
      </w:r>
      <w:r>
        <w:rPr>
          <w:rFonts w:hint="eastAsia"/>
          <w:szCs w:val="22"/>
        </w:rPr>
        <w:t>级无配套资金，部分村无力自行投入，</w:t>
      </w:r>
      <w:r>
        <w:rPr>
          <w:rFonts w:hint="eastAsia"/>
          <w:szCs w:val="22"/>
        </w:rPr>
        <w:t>50</w:t>
      </w:r>
      <w:r>
        <w:rPr>
          <w:rFonts w:hint="eastAsia"/>
          <w:szCs w:val="22"/>
        </w:rPr>
        <w:t>万元投入与满足</w:t>
      </w:r>
      <w:r>
        <w:rPr>
          <w:rFonts w:ascii="仿宋_GB2312" w:hAnsi="仿宋_GB2312" w:cs="仿宋_GB2312" w:hint="eastAsia"/>
          <w:szCs w:val="30"/>
        </w:rPr>
        <w:t>公共基础服务设施配置提升的需求存在一定的差距，资金投入力度较为薄弱，资金投入渠道有待拓宽。</w:t>
      </w:r>
    </w:p>
    <w:p w:rsidR="004032E0" w:rsidRDefault="00E86E11">
      <w:pPr>
        <w:pStyle w:val="2"/>
      </w:pPr>
      <w:bookmarkStart w:id="132" w:name="_Toc23729"/>
      <w:bookmarkStart w:id="133" w:name="_Toc23788"/>
      <w:bookmarkStart w:id="134" w:name="_Toc18582"/>
      <w:r>
        <w:rPr>
          <w:rFonts w:hint="eastAsia"/>
        </w:rPr>
        <w:t>四、评价结论及相关建议</w:t>
      </w:r>
      <w:bookmarkEnd w:id="132"/>
      <w:bookmarkEnd w:id="133"/>
      <w:bookmarkEnd w:id="134"/>
    </w:p>
    <w:p w:rsidR="004032E0" w:rsidRDefault="00E86E11" w:rsidP="00170380">
      <w:pPr>
        <w:pStyle w:val="3"/>
        <w:spacing w:before="81" w:after="81"/>
      </w:pPr>
      <w:bookmarkStart w:id="135" w:name="_Toc8989"/>
      <w:bookmarkStart w:id="136" w:name="_Toc27184"/>
      <w:bookmarkStart w:id="137" w:name="_Toc30249"/>
      <w:bookmarkStart w:id="138" w:name="_Toc12360"/>
      <w:r>
        <w:rPr>
          <w:rFonts w:hint="eastAsia"/>
        </w:rPr>
        <w:t>（一）评价结论（附相关评分表）</w:t>
      </w:r>
      <w:bookmarkEnd w:id="135"/>
      <w:bookmarkEnd w:id="136"/>
      <w:bookmarkEnd w:id="137"/>
      <w:bookmarkEnd w:id="138"/>
    </w:p>
    <w:p w:rsidR="004032E0" w:rsidRDefault="00E86E11">
      <w:pPr>
        <w:pStyle w:val="a0"/>
        <w:spacing w:line="360" w:lineRule="auto"/>
        <w:ind w:leftChars="0" w:left="0" w:rightChars="0" w:right="0" w:firstLineChars="200" w:firstLine="600"/>
        <w:rPr>
          <w:rFonts w:ascii="仿宋_GB2312" w:hAnsi="仿宋_GB2312" w:cs="仿宋_GB2312"/>
          <w:szCs w:val="30"/>
        </w:rPr>
      </w:pPr>
      <w:r>
        <w:rPr>
          <w:rFonts w:ascii="仿宋_GB2312" w:hAnsi="仿宋_GB2312" w:cs="仿宋_GB2312" w:hint="eastAsia"/>
          <w:szCs w:val="30"/>
        </w:rPr>
        <w:t>本项目绩效评价得分为85.92分，综合评价等级为“良”。评价结论为：本项目在贯彻上级精神、锁定发展目标方面定位精准、方向明确、措施到位，且基本达到预期的效果，通过乡村振兴专项资金的补助，农村人居环境持续改善，乡村经济稳步增长，乡村振兴战略初现成效，为2020年全市实现全面建成小康社会奠定了基础。但是存在村民参与度不够高、宣传效果不够明显、资金配套较为薄弱等现象，同时需要克服目标编制不精确、资金监管不到位的问题。本项目指标得分表详见表1。</w:t>
      </w:r>
      <w:bookmarkStart w:id="139" w:name="_Toc19055"/>
    </w:p>
    <w:p w:rsidR="004032E0" w:rsidRDefault="00E86E11">
      <w:pPr>
        <w:pStyle w:val="a0"/>
        <w:spacing w:line="360" w:lineRule="auto"/>
        <w:ind w:leftChars="0" w:left="0" w:rightChars="0" w:right="0" w:firstLineChars="200" w:firstLine="600"/>
        <w:jc w:val="center"/>
        <w:rPr>
          <w:rFonts w:ascii="楷体" w:eastAsia="楷体" w:hAnsi="楷体" w:cs="楷体"/>
        </w:rPr>
      </w:pPr>
      <w:r>
        <w:rPr>
          <w:rFonts w:ascii="楷体" w:eastAsia="楷体" w:hAnsi="楷体" w:cs="楷体" w:hint="eastAsia"/>
        </w:rPr>
        <w:t>表1  项目综合绩效评价情况得分</w:t>
      </w:r>
      <w:bookmarkEnd w:id="139"/>
    </w:p>
    <w:tbl>
      <w:tblPr>
        <w:tblStyle w:val="a7"/>
        <w:tblpPr w:leftFromText="180" w:rightFromText="180" w:vertAnchor="text" w:tblpXSpec="center" w:tblpY="1"/>
        <w:tblOverlap w:val="never"/>
        <w:tblW w:w="9058" w:type="dxa"/>
        <w:tblLayout w:type="fixed"/>
        <w:tblLook w:val="04A0"/>
      </w:tblPr>
      <w:tblGrid>
        <w:gridCol w:w="2437"/>
        <w:gridCol w:w="1738"/>
        <w:gridCol w:w="2554"/>
        <w:gridCol w:w="2329"/>
      </w:tblGrid>
      <w:tr w:rsidR="004032E0">
        <w:trPr>
          <w:trHeight w:val="793"/>
        </w:trPr>
        <w:tc>
          <w:tcPr>
            <w:tcW w:w="2437" w:type="dxa"/>
            <w:tcBorders>
              <w:top w:val="single" w:sz="8" w:space="0" w:color="4F81BD"/>
              <w:left w:val="single" w:sz="8" w:space="0" w:color="4F81BD"/>
              <w:bottom w:val="single" w:sz="8" w:space="0" w:color="4F81BD"/>
              <w:right w:val="dotted" w:sz="4" w:space="0" w:color="auto"/>
            </w:tcBorders>
            <w:shd w:val="clear" w:color="auto" w:fill="4F81BD"/>
            <w:vAlign w:val="center"/>
          </w:tcPr>
          <w:p w:rsidR="004032E0" w:rsidRDefault="00E86E11">
            <w:pPr>
              <w:widowControl/>
              <w:spacing w:line="360" w:lineRule="auto"/>
              <w:jc w:val="center"/>
              <w:textAlignment w:val="center"/>
              <w:rPr>
                <w:rFonts w:ascii="仿宋_GB2312" w:hAnsi="仿宋_GB2312" w:cs="仿宋_GB2312"/>
                <w:color w:val="FFFFFF"/>
                <w:sz w:val="24"/>
              </w:rPr>
            </w:pPr>
            <w:r>
              <w:rPr>
                <w:rFonts w:ascii="仿宋_GB2312" w:hAnsi="宋体" w:cs="仿宋_GB2312" w:hint="eastAsia"/>
                <w:color w:val="FFFFFF"/>
                <w:kern w:val="0"/>
                <w:sz w:val="24"/>
              </w:rPr>
              <w:t>评价维度</w:t>
            </w:r>
          </w:p>
        </w:tc>
        <w:tc>
          <w:tcPr>
            <w:tcW w:w="1738" w:type="dxa"/>
            <w:tcBorders>
              <w:top w:val="single" w:sz="8" w:space="0" w:color="4F81BD"/>
              <w:left w:val="dotted" w:sz="4" w:space="0" w:color="auto"/>
              <w:bottom w:val="single" w:sz="8" w:space="0" w:color="4F81BD"/>
              <w:right w:val="dotted" w:sz="4" w:space="0" w:color="auto"/>
            </w:tcBorders>
            <w:shd w:val="clear" w:color="auto" w:fill="4F81BD"/>
            <w:vAlign w:val="center"/>
          </w:tcPr>
          <w:p w:rsidR="004032E0" w:rsidRDefault="00E86E11">
            <w:pPr>
              <w:widowControl/>
              <w:spacing w:line="360" w:lineRule="auto"/>
              <w:jc w:val="center"/>
              <w:textAlignment w:val="center"/>
              <w:rPr>
                <w:rFonts w:ascii="仿宋_GB2312" w:hAnsi="仿宋_GB2312" w:cs="仿宋_GB2312"/>
                <w:color w:val="FFFFFF"/>
                <w:sz w:val="24"/>
              </w:rPr>
            </w:pPr>
            <w:r>
              <w:rPr>
                <w:rFonts w:ascii="仿宋_GB2312" w:hAnsi="宋体" w:cs="仿宋_GB2312" w:hint="eastAsia"/>
                <w:color w:val="FFFFFF"/>
                <w:kern w:val="0"/>
                <w:sz w:val="24"/>
              </w:rPr>
              <w:t>分值</w:t>
            </w:r>
          </w:p>
        </w:tc>
        <w:tc>
          <w:tcPr>
            <w:tcW w:w="2554" w:type="dxa"/>
            <w:tcBorders>
              <w:top w:val="single" w:sz="8" w:space="0" w:color="4F81BD"/>
              <w:left w:val="dotted" w:sz="4" w:space="0" w:color="auto"/>
              <w:bottom w:val="single" w:sz="8" w:space="0" w:color="4F81BD"/>
              <w:right w:val="dotted" w:sz="4" w:space="0" w:color="auto"/>
            </w:tcBorders>
            <w:shd w:val="clear" w:color="auto" w:fill="4F81BD"/>
            <w:vAlign w:val="center"/>
          </w:tcPr>
          <w:p w:rsidR="004032E0" w:rsidRDefault="00E86E11">
            <w:pPr>
              <w:widowControl/>
              <w:spacing w:line="360" w:lineRule="auto"/>
              <w:jc w:val="center"/>
              <w:textAlignment w:val="center"/>
              <w:rPr>
                <w:rFonts w:ascii="仿宋_GB2312" w:hAnsi="仿宋_GB2312" w:cs="仿宋_GB2312"/>
                <w:color w:val="FFFFFF"/>
                <w:sz w:val="24"/>
              </w:rPr>
            </w:pPr>
            <w:r>
              <w:rPr>
                <w:rFonts w:ascii="仿宋_GB2312" w:hAnsi="宋体" w:cs="仿宋_GB2312" w:hint="eastAsia"/>
                <w:color w:val="FFFFFF"/>
                <w:kern w:val="0"/>
                <w:sz w:val="24"/>
              </w:rPr>
              <w:t>评价得分</w:t>
            </w:r>
          </w:p>
        </w:tc>
        <w:tc>
          <w:tcPr>
            <w:tcW w:w="2329" w:type="dxa"/>
            <w:tcBorders>
              <w:top w:val="single" w:sz="8" w:space="0" w:color="4F81BD"/>
              <w:left w:val="dotted" w:sz="4" w:space="0" w:color="auto"/>
              <w:bottom w:val="single" w:sz="8" w:space="0" w:color="4F81BD"/>
              <w:right w:val="dotted" w:sz="8" w:space="0" w:color="auto"/>
            </w:tcBorders>
            <w:shd w:val="clear" w:color="auto" w:fill="4F81BD"/>
            <w:vAlign w:val="center"/>
          </w:tcPr>
          <w:p w:rsidR="004032E0" w:rsidRDefault="00E86E11">
            <w:pPr>
              <w:widowControl/>
              <w:spacing w:line="360" w:lineRule="auto"/>
              <w:jc w:val="center"/>
              <w:textAlignment w:val="center"/>
              <w:rPr>
                <w:rFonts w:ascii="仿宋_GB2312" w:hAnsi="仿宋_GB2312" w:cs="仿宋_GB2312"/>
                <w:color w:val="FFFFFF"/>
                <w:sz w:val="24"/>
              </w:rPr>
            </w:pPr>
            <w:r>
              <w:rPr>
                <w:rFonts w:ascii="仿宋_GB2312" w:hAnsi="宋体" w:cs="仿宋_GB2312" w:hint="eastAsia"/>
                <w:color w:val="FFFFFF"/>
                <w:kern w:val="0"/>
                <w:sz w:val="24"/>
              </w:rPr>
              <w:t>评价分值占比（%）</w:t>
            </w:r>
          </w:p>
        </w:tc>
      </w:tr>
      <w:tr w:rsidR="004032E0">
        <w:trPr>
          <w:trHeight w:val="494"/>
        </w:trPr>
        <w:tc>
          <w:tcPr>
            <w:tcW w:w="2437" w:type="dxa"/>
            <w:tcBorders>
              <w:top w:val="single" w:sz="8" w:space="0" w:color="4F81BD"/>
              <w:left w:val="single" w:sz="8" w:space="0" w:color="4F81BD"/>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决策</w:t>
            </w:r>
          </w:p>
        </w:tc>
        <w:tc>
          <w:tcPr>
            <w:tcW w:w="1738"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20</w:t>
            </w:r>
          </w:p>
        </w:tc>
        <w:tc>
          <w:tcPr>
            <w:tcW w:w="2554"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18</w:t>
            </w:r>
          </w:p>
        </w:tc>
        <w:tc>
          <w:tcPr>
            <w:tcW w:w="2329" w:type="dxa"/>
            <w:tcBorders>
              <w:top w:val="single" w:sz="8" w:space="0" w:color="4F81BD"/>
              <w:left w:val="dotted" w:sz="4" w:space="0" w:color="auto"/>
              <w:bottom w:val="single" w:sz="8" w:space="0" w:color="4F81BD"/>
              <w:right w:val="dotted" w:sz="8" w:space="0" w:color="auto"/>
            </w:tcBorders>
            <w:shd w:val="clear" w:color="auto" w:fill="FFFFFF"/>
            <w:vAlign w:val="center"/>
          </w:tcPr>
          <w:p w:rsidR="004032E0" w:rsidRDefault="00E86E11">
            <w:pPr>
              <w:widowControl/>
              <w:jc w:val="center"/>
              <w:textAlignment w:val="center"/>
              <w:rPr>
                <w:rFonts w:ascii="仿宋_GB2312" w:hAnsi="仿宋_GB2312" w:cs="仿宋_GB2312"/>
                <w:color w:val="000000"/>
                <w:sz w:val="24"/>
              </w:rPr>
            </w:pPr>
            <w:r>
              <w:rPr>
                <w:rFonts w:ascii="仿宋_GB2312" w:hAnsi="宋体" w:cs="仿宋_GB2312" w:hint="eastAsia"/>
                <w:color w:val="000000"/>
                <w:kern w:val="0"/>
                <w:sz w:val="24"/>
              </w:rPr>
              <w:t>90.00%</w:t>
            </w:r>
          </w:p>
        </w:tc>
      </w:tr>
      <w:tr w:rsidR="004032E0">
        <w:trPr>
          <w:trHeight w:val="579"/>
        </w:trPr>
        <w:tc>
          <w:tcPr>
            <w:tcW w:w="2437" w:type="dxa"/>
            <w:tcBorders>
              <w:top w:val="single" w:sz="8" w:space="0" w:color="4F81BD"/>
              <w:left w:val="single" w:sz="8" w:space="0" w:color="4F81BD"/>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过程</w:t>
            </w:r>
          </w:p>
        </w:tc>
        <w:tc>
          <w:tcPr>
            <w:tcW w:w="1738"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22</w:t>
            </w:r>
          </w:p>
        </w:tc>
        <w:tc>
          <w:tcPr>
            <w:tcW w:w="2554"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16.96</w:t>
            </w:r>
          </w:p>
        </w:tc>
        <w:tc>
          <w:tcPr>
            <w:tcW w:w="2329" w:type="dxa"/>
            <w:tcBorders>
              <w:top w:val="single" w:sz="8" w:space="0" w:color="4F81BD"/>
              <w:left w:val="dotted" w:sz="4" w:space="0" w:color="auto"/>
              <w:bottom w:val="single" w:sz="8" w:space="0" w:color="4F81BD"/>
              <w:right w:val="dotted" w:sz="8" w:space="0" w:color="auto"/>
            </w:tcBorders>
            <w:shd w:val="clear" w:color="auto" w:fill="FFFFFF"/>
            <w:vAlign w:val="center"/>
          </w:tcPr>
          <w:p w:rsidR="004032E0" w:rsidRDefault="00E86E11">
            <w:pPr>
              <w:widowControl/>
              <w:jc w:val="center"/>
              <w:textAlignment w:val="center"/>
              <w:rPr>
                <w:rFonts w:ascii="仿宋_GB2312" w:hAnsi="仿宋_GB2312" w:cs="仿宋_GB2312"/>
                <w:color w:val="000000"/>
                <w:sz w:val="24"/>
              </w:rPr>
            </w:pPr>
            <w:r>
              <w:rPr>
                <w:rFonts w:ascii="仿宋_GB2312" w:hAnsi="宋体" w:cs="仿宋_GB2312" w:hint="eastAsia"/>
                <w:color w:val="000000"/>
                <w:kern w:val="0"/>
                <w:sz w:val="24"/>
              </w:rPr>
              <w:t>77.09%</w:t>
            </w:r>
          </w:p>
        </w:tc>
      </w:tr>
      <w:tr w:rsidR="004032E0">
        <w:trPr>
          <w:trHeight w:val="450"/>
        </w:trPr>
        <w:tc>
          <w:tcPr>
            <w:tcW w:w="2437" w:type="dxa"/>
            <w:tcBorders>
              <w:top w:val="single" w:sz="8" w:space="0" w:color="4F81BD"/>
              <w:left w:val="single" w:sz="8" w:space="0" w:color="4F81BD"/>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lastRenderedPageBreak/>
              <w:t>产出</w:t>
            </w:r>
          </w:p>
        </w:tc>
        <w:tc>
          <w:tcPr>
            <w:tcW w:w="1738"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30</w:t>
            </w:r>
          </w:p>
        </w:tc>
        <w:tc>
          <w:tcPr>
            <w:tcW w:w="2554"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27.6</w:t>
            </w:r>
          </w:p>
        </w:tc>
        <w:tc>
          <w:tcPr>
            <w:tcW w:w="2329" w:type="dxa"/>
            <w:tcBorders>
              <w:top w:val="single" w:sz="8" w:space="0" w:color="4F81BD"/>
              <w:left w:val="dotted" w:sz="4" w:space="0" w:color="auto"/>
              <w:bottom w:val="single" w:sz="8" w:space="0" w:color="4F81BD"/>
              <w:right w:val="dotted" w:sz="8" w:space="0" w:color="auto"/>
            </w:tcBorders>
            <w:shd w:val="clear" w:color="auto" w:fill="FFFFFF"/>
            <w:vAlign w:val="center"/>
          </w:tcPr>
          <w:p w:rsidR="004032E0" w:rsidRDefault="00E86E11">
            <w:pPr>
              <w:widowControl/>
              <w:jc w:val="center"/>
              <w:textAlignment w:val="center"/>
              <w:rPr>
                <w:rFonts w:ascii="仿宋_GB2312" w:hAnsi="仿宋_GB2312" w:cs="仿宋_GB2312"/>
                <w:color w:val="000000"/>
                <w:sz w:val="24"/>
              </w:rPr>
            </w:pPr>
            <w:r>
              <w:rPr>
                <w:rFonts w:ascii="仿宋_GB2312" w:hAnsi="宋体" w:cs="仿宋_GB2312" w:hint="eastAsia"/>
                <w:color w:val="000000"/>
                <w:kern w:val="0"/>
                <w:sz w:val="24"/>
              </w:rPr>
              <w:t>92.00%</w:t>
            </w:r>
          </w:p>
        </w:tc>
      </w:tr>
      <w:tr w:rsidR="004032E0">
        <w:trPr>
          <w:trHeight w:val="390"/>
        </w:trPr>
        <w:tc>
          <w:tcPr>
            <w:tcW w:w="2437" w:type="dxa"/>
            <w:tcBorders>
              <w:top w:val="single" w:sz="8" w:space="0" w:color="4F81BD"/>
              <w:left w:val="single" w:sz="8" w:space="0" w:color="4F81BD"/>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效果</w:t>
            </w:r>
          </w:p>
        </w:tc>
        <w:tc>
          <w:tcPr>
            <w:tcW w:w="1738"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28</w:t>
            </w:r>
          </w:p>
        </w:tc>
        <w:tc>
          <w:tcPr>
            <w:tcW w:w="2554"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23.36</w:t>
            </w:r>
          </w:p>
        </w:tc>
        <w:tc>
          <w:tcPr>
            <w:tcW w:w="2329" w:type="dxa"/>
            <w:tcBorders>
              <w:top w:val="single" w:sz="8" w:space="0" w:color="4F81BD"/>
              <w:left w:val="dotted" w:sz="4" w:space="0" w:color="auto"/>
              <w:bottom w:val="single" w:sz="8" w:space="0" w:color="4F81BD"/>
              <w:right w:val="dotted" w:sz="8" w:space="0" w:color="auto"/>
            </w:tcBorders>
            <w:shd w:val="clear" w:color="auto" w:fill="FFFFFF"/>
            <w:vAlign w:val="center"/>
          </w:tcPr>
          <w:p w:rsidR="004032E0" w:rsidRDefault="00E86E11">
            <w:pPr>
              <w:widowControl/>
              <w:jc w:val="center"/>
              <w:textAlignment w:val="center"/>
              <w:rPr>
                <w:rFonts w:ascii="仿宋_GB2312" w:hAnsi="仿宋_GB2312" w:cs="仿宋_GB2312"/>
                <w:color w:val="000000"/>
                <w:sz w:val="24"/>
              </w:rPr>
            </w:pPr>
            <w:r>
              <w:rPr>
                <w:rFonts w:ascii="仿宋_GB2312" w:hAnsi="宋体" w:cs="仿宋_GB2312" w:hint="eastAsia"/>
                <w:color w:val="000000"/>
                <w:kern w:val="0"/>
                <w:sz w:val="24"/>
              </w:rPr>
              <w:t>83.43%</w:t>
            </w:r>
          </w:p>
        </w:tc>
      </w:tr>
      <w:tr w:rsidR="004032E0">
        <w:trPr>
          <w:trHeight w:val="470"/>
        </w:trPr>
        <w:tc>
          <w:tcPr>
            <w:tcW w:w="2437" w:type="dxa"/>
            <w:tcBorders>
              <w:top w:val="single" w:sz="8" w:space="0" w:color="4F81BD"/>
              <w:left w:val="single" w:sz="8" w:space="0" w:color="4F81BD"/>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合计</w:t>
            </w:r>
          </w:p>
        </w:tc>
        <w:tc>
          <w:tcPr>
            <w:tcW w:w="1738"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100</w:t>
            </w:r>
          </w:p>
        </w:tc>
        <w:tc>
          <w:tcPr>
            <w:tcW w:w="2554" w:type="dxa"/>
            <w:tcBorders>
              <w:top w:val="single" w:sz="8" w:space="0" w:color="4F81BD"/>
              <w:left w:val="dotted" w:sz="4" w:space="0" w:color="auto"/>
              <w:bottom w:val="single" w:sz="8" w:space="0" w:color="4F81BD"/>
              <w:right w:val="dotted" w:sz="4" w:space="0" w:color="auto"/>
            </w:tcBorders>
            <w:shd w:val="clear" w:color="auto" w:fill="FFFFFF"/>
            <w:vAlign w:val="center"/>
          </w:tcPr>
          <w:p w:rsidR="004032E0" w:rsidRDefault="00E86E11">
            <w:pPr>
              <w:widowControl/>
              <w:spacing w:line="360" w:lineRule="auto"/>
              <w:jc w:val="center"/>
              <w:textAlignment w:val="center"/>
              <w:rPr>
                <w:rFonts w:ascii="仿宋_GB2312" w:hAnsi="仿宋_GB2312" w:cs="仿宋_GB2312"/>
                <w:color w:val="000000"/>
                <w:sz w:val="24"/>
              </w:rPr>
            </w:pPr>
            <w:r>
              <w:rPr>
                <w:rFonts w:ascii="仿宋_GB2312" w:hAnsi="宋体" w:cs="仿宋_GB2312" w:hint="eastAsia"/>
                <w:color w:val="000000"/>
                <w:kern w:val="0"/>
                <w:sz w:val="24"/>
              </w:rPr>
              <w:t>85.92</w:t>
            </w:r>
          </w:p>
        </w:tc>
        <w:tc>
          <w:tcPr>
            <w:tcW w:w="2329" w:type="dxa"/>
            <w:tcBorders>
              <w:top w:val="single" w:sz="8" w:space="0" w:color="4F81BD"/>
              <w:left w:val="dotted" w:sz="4" w:space="0" w:color="auto"/>
              <w:bottom w:val="single" w:sz="8" w:space="0" w:color="4F81BD"/>
              <w:right w:val="dotted" w:sz="8" w:space="0" w:color="auto"/>
            </w:tcBorders>
            <w:shd w:val="clear" w:color="auto" w:fill="FFFFFF"/>
            <w:vAlign w:val="center"/>
          </w:tcPr>
          <w:p w:rsidR="004032E0" w:rsidRDefault="00E86E11">
            <w:pPr>
              <w:widowControl/>
              <w:jc w:val="center"/>
              <w:textAlignment w:val="center"/>
              <w:rPr>
                <w:rFonts w:ascii="仿宋_GB2312" w:hAnsi="仿宋_GB2312" w:cs="仿宋_GB2312"/>
                <w:color w:val="000000"/>
                <w:sz w:val="24"/>
              </w:rPr>
            </w:pPr>
            <w:r>
              <w:rPr>
                <w:rFonts w:ascii="仿宋_GB2312" w:hAnsi="宋体" w:cs="仿宋_GB2312" w:hint="eastAsia"/>
                <w:color w:val="000000"/>
                <w:kern w:val="0"/>
                <w:sz w:val="24"/>
              </w:rPr>
              <w:t>85.92%</w:t>
            </w:r>
          </w:p>
        </w:tc>
      </w:tr>
    </w:tbl>
    <w:p w:rsidR="004032E0" w:rsidRDefault="00E86E11">
      <w:pPr>
        <w:adjustRightInd w:val="0"/>
        <w:snapToGrid w:val="0"/>
        <w:spacing w:line="360" w:lineRule="auto"/>
        <w:ind w:firstLineChars="200" w:firstLine="560"/>
        <w:jc w:val="left"/>
      </w:pPr>
      <w:r>
        <w:rPr>
          <w:rFonts w:ascii="仿宋" w:eastAsia="仿宋" w:hAnsi="仿宋" w:cs="仿宋" w:hint="eastAsia"/>
          <w:sz w:val="28"/>
          <w:szCs w:val="28"/>
        </w:rPr>
        <w:t>注：各指标的详细得分及评分依据情况详见附件1。</w:t>
      </w:r>
    </w:p>
    <w:p w:rsidR="004032E0" w:rsidRDefault="00E86E11" w:rsidP="00170380">
      <w:pPr>
        <w:pStyle w:val="3"/>
        <w:spacing w:before="81" w:after="81"/>
      </w:pPr>
      <w:bookmarkStart w:id="140" w:name="_Toc32683"/>
      <w:bookmarkStart w:id="141" w:name="_Toc2014"/>
      <w:bookmarkStart w:id="142" w:name="_Toc29645"/>
      <w:r>
        <w:rPr>
          <w:rFonts w:hint="eastAsia"/>
        </w:rPr>
        <w:t>（二）相关建议</w:t>
      </w:r>
      <w:bookmarkEnd w:id="140"/>
      <w:bookmarkEnd w:id="141"/>
      <w:bookmarkEnd w:id="142"/>
    </w:p>
    <w:p w:rsidR="004032E0" w:rsidRDefault="00E86E11" w:rsidP="00170380">
      <w:pPr>
        <w:pStyle w:val="4"/>
        <w:spacing w:before="81" w:after="81"/>
      </w:pPr>
      <w:r>
        <w:rPr>
          <w:rFonts w:hint="eastAsia"/>
        </w:rPr>
        <w:t>1.</w:t>
      </w:r>
      <w:r>
        <w:rPr>
          <w:rFonts w:hint="eastAsia"/>
        </w:rPr>
        <w:t>制定更加细化、合理的绩效目标</w:t>
      </w:r>
    </w:p>
    <w:p w:rsidR="004032E0" w:rsidRDefault="00E86E11">
      <w:pPr>
        <w:spacing w:line="360" w:lineRule="auto"/>
        <w:ind w:firstLineChars="200" w:firstLine="600"/>
        <w:rPr>
          <w:rFonts w:ascii="仿宋_GB2312" w:hAnsi="仿宋" w:cs="仿宋"/>
          <w:szCs w:val="30"/>
        </w:rPr>
      </w:pPr>
      <w:r>
        <w:rPr>
          <w:rFonts w:ascii="仿宋_GB2312" w:hAnsi="仿宋" w:cs="仿宋" w:hint="eastAsia"/>
          <w:szCs w:val="30"/>
        </w:rPr>
        <w:t>（1）建议加强事前绩效评价，在预算编制前对项目预算进行更加详尽的规划与分解，以便项目预算与实际支出尽量达到完美匹配。</w:t>
      </w:r>
    </w:p>
    <w:p w:rsidR="004032E0" w:rsidRDefault="00E86E11">
      <w:pPr>
        <w:spacing w:line="360" w:lineRule="auto"/>
        <w:ind w:firstLineChars="200" w:firstLine="600"/>
        <w:rPr>
          <w:rFonts w:ascii="仿宋_GB2312" w:hAnsi="仿宋" w:cs="仿宋"/>
          <w:szCs w:val="30"/>
        </w:rPr>
      </w:pPr>
      <w:r>
        <w:rPr>
          <w:rFonts w:ascii="仿宋_GB2312" w:hAnsi="仿宋" w:cs="仿宋" w:hint="eastAsia"/>
          <w:szCs w:val="30"/>
        </w:rPr>
        <w:t>（2）建议结合县（市、区）上报的《乡村振兴建设项目资金绩效目标表》</w:t>
      </w:r>
      <w:r>
        <w:rPr>
          <w:rFonts w:ascii="仿宋_GB2312" w:hAnsi="仿宋_GB2312" w:cs="仿宋_GB2312" w:hint="eastAsia"/>
          <w:szCs w:val="30"/>
        </w:rPr>
        <w:t>，</w:t>
      </w:r>
      <w:r>
        <w:rPr>
          <w:rFonts w:ascii="仿宋_GB2312" w:hAnsi="仿宋" w:cs="仿宋" w:hint="eastAsia"/>
          <w:szCs w:val="30"/>
        </w:rPr>
        <w:t>细化产出目标，</w:t>
      </w:r>
      <w:r>
        <w:rPr>
          <w:rFonts w:ascii="仿宋_GB2312" w:hAnsi="仿宋_GB2312" w:cs="仿宋_GB2312" w:hint="eastAsia"/>
          <w:szCs w:val="30"/>
        </w:rPr>
        <w:t>从多角度反映专项资金运用的绩效</w:t>
      </w:r>
      <w:r>
        <w:rPr>
          <w:rFonts w:ascii="仿宋_GB2312" w:hAnsi="仿宋" w:cs="仿宋" w:hint="eastAsia"/>
          <w:szCs w:val="30"/>
        </w:rPr>
        <w:t>。例如：可</w:t>
      </w:r>
      <w:r>
        <w:rPr>
          <w:rFonts w:ascii="仿宋_GB2312" w:hAnsi="仿宋_GB2312" w:cs="仿宋_GB2312" w:hint="eastAsia"/>
          <w:szCs w:val="30"/>
        </w:rPr>
        <w:t>细化为人居环境整治项目数量、基础设施建设项目数量、公共服务配套项目数量等具体指标。</w:t>
      </w:r>
    </w:p>
    <w:p w:rsidR="004032E0" w:rsidRDefault="00E86E11" w:rsidP="00170380">
      <w:pPr>
        <w:pStyle w:val="4"/>
        <w:spacing w:before="81" w:after="81"/>
        <w:jc w:val="both"/>
      </w:pPr>
      <w:r>
        <w:rPr>
          <w:rFonts w:hint="eastAsia"/>
        </w:rPr>
        <w:t>2.</w:t>
      </w:r>
      <w:r>
        <w:rPr>
          <w:rFonts w:hint="eastAsia"/>
        </w:rPr>
        <w:t>加强专项资金的监管，做到专款专用</w:t>
      </w:r>
    </w:p>
    <w:p w:rsidR="004032E0" w:rsidRDefault="00E86E11">
      <w:pPr>
        <w:adjustRightInd w:val="0"/>
        <w:snapToGrid w:val="0"/>
        <w:spacing w:line="360" w:lineRule="auto"/>
        <w:ind w:firstLineChars="200" w:firstLine="600"/>
        <w:rPr>
          <w:rFonts w:ascii="仿宋_GB2312" w:hAnsi="仿宋" w:cs="仿宋"/>
          <w:szCs w:val="30"/>
        </w:rPr>
      </w:pPr>
      <w:r>
        <w:rPr>
          <w:rFonts w:ascii="仿宋_GB2312" w:hAnsi="仿宋" w:cs="仿宋" w:hint="eastAsia"/>
          <w:szCs w:val="30"/>
        </w:rPr>
        <w:t>建议市农业农村局加大专项资金的抽查力度，加强指导县（市、区）级做好资金管理工作，确保做到专款专用，确保专项资金发挥实效。</w:t>
      </w:r>
    </w:p>
    <w:p w:rsidR="004032E0" w:rsidRDefault="00E86E11" w:rsidP="00170380">
      <w:pPr>
        <w:pStyle w:val="4"/>
        <w:spacing w:before="81" w:after="81"/>
      </w:pPr>
      <w:r>
        <w:rPr>
          <w:rFonts w:hint="eastAsia"/>
        </w:rPr>
        <w:t>3.</w:t>
      </w:r>
      <w:r>
        <w:rPr>
          <w:rFonts w:hint="eastAsia"/>
        </w:rPr>
        <w:t>进一步拓宽宣传途径，提升宣传效果</w:t>
      </w:r>
    </w:p>
    <w:p w:rsidR="004032E0" w:rsidRDefault="00E86E11">
      <w:pPr>
        <w:pStyle w:val="a0"/>
        <w:spacing w:line="360" w:lineRule="auto"/>
        <w:ind w:leftChars="0" w:left="0" w:rightChars="0" w:right="0" w:firstLineChars="200" w:firstLine="600"/>
        <w:rPr>
          <w:rFonts w:ascii="仿宋" w:eastAsia="仿宋" w:hAnsi="仿宋"/>
          <w:szCs w:val="30"/>
        </w:rPr>
      </w:pPr>
      <w:r>
        <w:rPr>
          <w:rFonts w:ascii="仿宋" w:eastAsia="仿宋" w:hAnsi="仿宋" w:hint="eastAsia"/>
          <w:szCs w:val="30"/>
        </w:rPr>
        <w:t>建议乡村振兴战略宣传形式更加多样化，进一步加强乡村振兴覆盖率。可采用广播宣传、入户宣传、文艺演出、发放宣传品等方式，提高针对农村中老年人的宣传效果。</w:t>
      </w:r>
    </w:p>
    <w:p w:rsidR="004032E0" w:rsidRDefault="00E86E11" w:rsidP="00170380">
      <w:pPr>
        <w:pStyle w:val="4"/>
        <w:spacing w:before="81" w:after="81"/>
      </w:pPr>
      <w:r>
        <w:rPr>
          <w:rFonts w:hint="eastAsia"/>
        </w:rPr>
        <w:lastRenderedPageBreak/>
        <w:t>4.</w:t>
      </w:r>
      <w:r>
        <w:rPr>
          <w:rFonts w:hint="eastAsia"/>
        </w:rPr>
        <w:t>提升村民参与度，建立农村人居环境整治长效管护机制</w:t>
      </w:r>
    </w:p>
    <w:p w:rsidR="004032E0" w:rsidRDefault="00E86E11">
      <w:pPr>
        <w:pStyle w:val="a0"/>
        <w:spacing w:line="360" w:lineRule="auto"/>
        <w:ind w:leftChars="0" w:left="0" w:rightChars="0" w:right="0" w:firstLineChars="200" w:firstLine="600"/>
        <w:rPr>
          <w:rFonts w:ascii="仿宋_GB2312" w:hAnsi="仿宋_GB2312" w:cs="仿宋_GB2312"/>
          <w:szCs w:val="30"/>
        </w:rPr>
      </w:pPr>
      <w:r>
        <w:rPr>
          <w:rFonts w:ascii="仿宋_GB2312" w:hAnsi="仿宋_GB2312" w:cs="仿宋_GB2312" w:hint="eastAsia"/>
          <w:szCs w:val="30"/>
        </w:rPr>
        <w:t>提升村民参与乡村振兴战略的主动性和积极性，发挥村民的主体作用，建立农村人居环境整治长效管护机制。例如：将乡村振兴环境整治维护纳入“村规民约”中，实行“门前三包”，让村民自觉履行维护人居环境的义务。</w:t>
      </w:r>
    </w:p>
    <w:p w:rsidR="004032E0" w:rsidRDefault="00E86E11" w:rsidP="00170380">
      <w:pPr>
        <w:pStyle w:val="4"/>
        <w:spacing w:before="81" w:after="81"/>
      </w:pPr>
      <w:r>
        <w:rPr>
          <w:rFonts w:hint="eastAsia"/>
        </w:rPr>
        <w:t>5.</w:t>
      </w:r>
      <w:r>
        <w:rPr>
          <w:rFonts w:hint="eastAsia"/>
        </w:rPr>
        <w:t>进一步加强资金保障，补齐民生短板</w:t>
      </w:r>
    </w:p>
    <w:p w:rsidR="004032E0" w:rsidRDefault="00E86E11">
      <w:pPr>
        <w:pStyle w:val="a0"/>
        <w:spacing w:line="360" w:lineRule="auto"/>
        <w:ind w:leftChars="0" w:left="0" w:rightChars="0" w:right="0" w:firstLineChars="200" w:firstLine="600"/>
        <w:rPr>
          <w:rFonts w:ascii="仿宋_GB2312" w:hAnsi="仿宋_GB2312" w:cs="仿宋_GB2312"/>
          <w:color w:val="000000"/>
          <w:kern w:val="0"/>
          <w:sz w:val="28"/>
          <w:szCs w:val="28"/>
        </w:rPr>
      </w:pPr>
      <w:r>
        <w:rPr>
          <w:rFonts w:ascii="仿宋_GB2312" w:hAnsi="仿宋_GB2312" w:cs="仿宋_GB2312" w:hint="eastAsia"/>
          <w:szCs w:val="30"/>
        </w:rPr>
        <w:t>建议县（市、区）加大对乡村振兴项目资金的支持，集中投向产业发展、基础设施、人居环境等重点领域和薄弱环节，并加快建设乡村振兴多元化投入机制，充分发挥财政的引导和杠杆作用，撬动社会资本和金融资本参与农村基础设施建设，补齐民生公共服务短板，进一步提升广大村民的获得感和幸福感。</w:t>
      </w:r>
    </w:p>
    <w:p w:rsidR="004032E0" w:rsidRDefault="00E86E11">
      <w:pPr>
        <w:pStyle w:val="2"/>
      </w:pPr>
      <w:bookmarkStart w:id="143" w:name="_Toc18267"/>
      <w:bookmarkStart w:id="144" w:name="_Toc909"/>
      <w:bookmarkStart w:id="145" w:name="_Toc13263"/>
      <w:r>
        <w:rPr>
          <w:rFonts w:hint="eastAsia"/>
        </w:rPr>
        <w:t>五、相关附件</w:t>
      </w:r>
      <w:bookmarkEnd w:id="143"/>
      <w:bookmarkEnd w:id="144"/>
      <w:bookmarkEnd w:id="145"/>
    </w:p>
    <w:p w:rsidR="004032E0" w:rsidRDefault="00E86E11">
      <w:pPr>
        <w:spacing w:line="360" w:lineRule="auto"/>
        <w:ind w:firstLineChars="200" w:firstLine="600"/>
        <w:rPr>
          <w:rFonts w:ascii="仿宋_GB2312" w:hAnsi="仿宋_GB2312" w:cs="仿宋_GB2312"/>
        </w:rPr>
      </w:pPr>
      <w:r>
        <w:rPr>
          <w:rFonts w:ascii="仿宋_GB2312" w:hAnsi="仿宋_GB2312" w:cs="仿宋_GB2312" w:hint="eastAsia"/>
        </w:rPr>
        <w:t>附件1  乡村振兴专项资金支出绩效评价指标体系</w:t>
      </w:r>
    </w:p>
    <w:p w:rsidR="004032E0" w:rsidRDefault="00E86E11">
      <w:pPr>
        <w:spacing w:line="360" w:lineRule="auto"/>
        <w:ind w:firstLineChars="200" w:firstLine="600"/>
        <w:rPr>
          <w:rFonts w:ascii="仿宋_GB2312" w:hAnsi="仿宋_GB2312" w:cs="仿宋_GB2312"/>
        </w:rPr>
        <w:sectPr w:rsidR="004032E0">
          <w:footerReference w:type="default" r:id="rId14"/>
          <w:pgSz w:w="11906" w:h="16838"/>
          <w:pgMar w:top="1928" w:right="1531" w:bottom="1701" w:left="1531" w:header="737" w:footer="851" w:gutter="0"/>
          <w:pgNumType w:start="1"/>
          <w:cols w:space="720"/>
          <w:docGrid w:type="lines" w:linePitch="408"/>
        </w:sectPr>
      </w:pPr>
      <w:r>
        <w:rPr>
          <w:rFonts w:ascii="仿宋_GB2312" w:hAnsi="仿宋_GB2312" w:cs="仿宋_GB2312" w:hint="eastAsia"/>
        </w:rPr>
        <w:t>附件2  问卷调查统计表</w:t>
      </w:r>
    </w:p>
    <w:p w:rsidR="004032E0" w:rsidRDefault="00E86E11" w:rsidP="00170380">
      <w:pPr>
        <w:pStyle w:val="3"/>
        <w:spacing w:before="63" w:after="63"/>
        <w:rPr>
          <w:rFonts w:ascii="黑体" w:eastAsia="黑体" w:hAnsi="黑体" w:cs="黑体"/>
          <w:sz w:val="30"/>
          <w:szCs w:val="30"/>
        </w:rPr>
      </w:pPr>
      <w:bookmarkStart w:id="146" w:name="_Toc15838"/>
      <w:bookmarkStart w:id="147" w:name="_Toc28847"/>
      <w:r>
        <w:rPr>
          <w:rFonts w:hint="eastAsia"/>
        </w:rPr>
        <w:lastRenderedPageBreak/>
        <w:t>附件</w:t>
      </w:r>
      <w:r>
        <w:rPr>
          <w:rFonts w:hint="eastAsia"/>
        </w:rPr>
        <w:t xml:space="preserve">1                        </w:t>
      </w:r>
      <w:r>
        <w:rPr>
          <w:rFonts w:hint="eastAsia"/>
        </w:rPr>
        <w:t>乡村振兴专项资金支出绩效评价指标体系</w:t>
      </w:r>
      <w:bookmarkEnd w:id="146"/>
      <w:bookmarkEnd w:id="147"/>
    </w:p>
    <w:p w:rsidR="004032E0" w:rsidRDefault="004032E0">
      <w:pPr>
        <w:spacing w:line="360" w:lineRule="auto"/>
        <w:jc w:val="left"/>
        <w:rPr>
          <w:rFonts w:ascii="黑体" w:eastAsia="黑体" w:hAnsi="黑体" w:cs="黑体"/>
          <w:szCs w:val="30"/>
        </w:rPr>
      </w:pPr>
    </w:p>
    <w:tbl>
      <w:tblPr>
        <w:tblW w:w="5000" w:type="pct"/>
        <w:tblLayout w:type="fixed"/>
        <w:tblCellMar>
          <w:left w:w="0" w:type="dxa"/>
          <w:right w:w="0" w:type="dxa"/>
        </w:tblCellMar>
        <w:tblLook w:val="04A0"/>
      </w:tblPr>
      <w:tblGrid>
        <w:gridCol w:w="882"/>
        <w:gridCol w:w="911"/>
        <w:gridCol w:w="1629"/>
        <w:gridCol w:w="4900"/>
        <w:gridCol w:w="849"/>
        <w:gridCol w:w="5419"/>
      </w:tblGrid>
      <w:tr w:rsidR="004032E0">
        <w:trPr>
          <w:trHeight w:val="840"/>
        </w:trPr>
        <w:tc>
          <w:tcPr>
            <w:tcW w:w="302" w:type="pct"/>
            <w:tcBorders>
              <w:top w:val="single" w:sz="8" w:space="0" w:color="4F81BD"/>
              <w:left w:val="single" w:sz="8" w:space="0" w:color="4F81BD"/>
              <w:bottom w:val="single" w:sz="8" w:space="0" w:color="4F81BD"/>
              <w:right w:val="dotted" w:sz="4" w:space="0" w:color="auto"/>
            </w:tcBorders>
            <w:shd w:val="clear" w:color="auto" w:fill="4F81BD"/>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一级指标（分值）</w:t>
            </w:r>
          </w:p>
        </w:tc>
        <w:tc>
          <w:tcPr>
            <w:tcW w:w="312" w:type="pct"/>
            <w:tcBorders>
              <w:top w:val="single" w:sz="8" w:space="0" w:color="4F81BD"/>
              <w:left w:val="dotted" w:sz="4" w:space="0" w:color="auto"/>
              <w:bottom w:val="single" w:sz="8" w:space="0" w:color="4F81BD"/>
              <w:right w:val="single" w:sz="8" w:space="0" w:color="4F81BD"/>
            </w:tcBorders>
            <w:shd w:val="clear" w:color="auto" w:fill="4F81BD"/>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二级指标（分值）</w:t>
            </w:r>
          </w:p>
        </w:tc>
        <w:tc>
          <w:tcPr>
            <w:tcW w:w="557" w:type="pct"/>
            <w:tcBorders>
              <w:top w:val="single" w:sz="8" w:space="0" w:color="4F81BD"/>
              <w:left w:val="single" w:sz="8" w:space="0" w:color="4F81BD"/>
              <w:bottom w:val="single" w:sz="8" w:space="0" w:color="4F81BD"/>
              <w:right w:val="dotted" w:sz="4" w:space="0" w:color="auto"/>
            </w:tcBorders>
            <w:shd w:val="clear" w:color="auto" w:fill="4F81BD"/>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三级指标（分值）</w:t>
            </w:r>
          </w:p>
        </w:tc>
        <w:tc>
          <w:tcPr>
            <w:tcW w:w="1679" w:type="pct"/>
            <w:tcBorders>
              <w:top w:val="single" w:sz="8" w:space="0" w:color="4F81BD"/>
              <w:left w:val="dotted" w:sz="4" w:space="0" w:color="auto"/>
              <w:bottom w:val="single" w:sz="8" w:space="0" w:color="4F81BD"/>
              <w:right w:val="dotted" w:sz="4" w:space="0" w:color="auto"/>
            </w:tcBorders>
            <w:shd w:val="clear" w:color="auto" w:fill="4F81BD"/>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评分标准</w:t>
            </w:r>
          </w:p>
        </w:tc>
        <w:tc>
          <w:tcPr>
            <w:tcW w:w="291" w:type="pct"/>
            <w:tcBorders>
              <w:top w:val="single" w:sz="8" w:space="0" w:color="4F81BD"/>
              <w:left w:val="dotted" w:sz="4" w:space="0" w:color="auto"/>
              <w:bottom w:val="single" w:sz="8" w:space="0" w:color="4F81BD"/>
              <w:right w:val="dotted" w:sz="4" w:space="0" w:color="auto"/>
            </w:tcBorders>
            <w:shd w:val="clear" w:color="auto" w:fill="4F81BD"/>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得分</w:t>
            </w:r>
          </w:p>
        </w:tc>
        <w:tc>
          <w:tcPr>
            <w:tcW w:w="1856" w:type="pct"/>
            <w:tcBorders>
              <w:top w:val="single" w:sz="8" w:space="0" w:color="4F81BD"/>
              <w:left w:val="dotted" w:sz="4" w:space="0" w:color="auto"/>
              <w:bottom w:val="single" w:sz="8" w:space="0" w:color="4F81BD"/>
              <w:right w:val="dotted" w:sz="4" w:space="0" w:color="auto"/>
            </w:tcBorders>
            <w:shd w:val="clear" w:color="auto" w:fill="4F81BD"/>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FFFFFF"/>
                <w:sz w:val="22"/>
                <w:szCs w:val="22"/>
              </w:rPr>
            </w:pPr>
            <w:r>
              <w:rPr>
                <w:rFonts w:ascii="宋体" w:eastAsia="宋体" w:hAnsi="宋体" w:cs="宋体" w:hint="eastAsia"/>
                <w:color w:val="FFFFFF"/>
                <w:kern w:val="0"/>
                <w:sz w:val="22"/>
                <w:szCs w:val="22"/>
              </w:rPr>
              <w:t>评分依据</w:t>
            </w:r>
          </w:p>
        </w:tc>
      </w:tr>
      <w:tr w:rsidR="004032E0">
        <w:trPr>
          <w:trHeight w:val="469"/>
        </w:trPr>
        <w:tc>
          <w:tcPr>
            <w:tcW w:w="302" w:type="pct"/>
            <w:vMerge w:val="restar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决策</w:t>
            </w:r>
            <w:r>
              <w:rPr>
                <w:rFonts w:ascii="宋体" w:eastAsia="宋体" w:hAnsi="宋体" w:cs="宋体" w:hint="eastAsia"/>
                <w:color w:val="000000"/>
                <w:kern w:val="0"/>
                <w:sz w:val="22"/>
                <w:szCs w:val="22"/>
              </w:rPr>
              <w:br/>
              <w:t>（20分）</w:t>
            </w: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项目立项（7分）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立项依据充分性</w:t>
            </w:r>
            <w:r>
              <w:rPr>
                <w:rFonts w:ascii="宋体" w:eastAsia="宋体" w:hAnsi="宋体" w:cs="宋体" w:hint="eastAsia"/>
                <w:color w:val="000000"/>
                <w:kern w:val="0"/>
                <w:sz w:val="22"/>
                <w:szCs w:val="22"/>
              </w:rPr>
              <w:br/>
              <w:t>（4分）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①项目立项是否符合国家法律法规、国民经济发展规划和相关政策；</w:t>
            </w:r>
            <w:r>
              <w:rPr>
                <w:rFonts w:ascii="宋体" w:eastAsia="宋体" w:hAnsi="宋体" w:cs="宋体" w:hint="eastAsia"/>
                <w:color w:val="000000"/>
                <w:kern w:val="0"/>
                <w:sz w:val="22"/>
                <w:szCs w:val="22"/>
              </w:rPr>
              <w:br/>
              <w:t>②项目立项是否符合行业发展规划和政策要求；</w:t>
            </w:r>
            <w:r>
              <w:rPr>
                <w:rFonts w:ascii="宋体" w:eastAsia="宋体" w:hAnsi="宋体" w:cs="宋体" w:hint="eastAsia"/>
                <w:color w:val="000000"/>
                <w:kern w:val="0"/>
                <w:sz w:val="22"/>
                <w:szCs w:val="22"/>
              </w:rPr>
              <w:br/>
              <w:t>③项目立项是否与部门职责范围相符，属于部门履职所需；</w:t>
            </w:r>
            <w:r>
              <w:rPr>
                <w:rFonts w:ascii="宋体" w:eastAsia="宋体" w:hAnsi="宋体" w:cs="宋体" w:hint="eastAsia"/>
                <w:color w:val="000000"/>
                <w:kern w:val="0"/>
                <w:sz w:val="22"/>
                <w:szCs w:val="22"/>
              </w:rPr>
              <w:br/>
              <w:t>④项目是否属于公共财政支持范围，是否符合中央地方事权支出责任划分原则；</w:t>
            </w:r>
            <w:r>
              <w:rPr>
                <w:rFonts w:ascii="宋体" w:eastAsia="宋体" w:hAnsi="宋体" w:cs="宋体" w:hint="eastAsia"/>
                <w:color w:val="000000"/>
                <w:kern w:val="0"/>
                <w:sz w:val="22"/>
                <w:szCs w:val="22"/>
              </w:rPr>
              <w:br/>
              <w:t>⑤项目是否与相关部门同类项目或部门内部相关项目交叉、重复。</w:t>
            </w:r>
            <w:r>
              <w:rPr>
                <w:rFonts w:ascii="宋体" w:eastAsia="宋体" w:hAnsi="宋体" w:cs="宋体" w:hint="eastAsia"/>
                <w:color w:val="000000"/>
                <w:kern w:val="0"/>
                <w:sz w:val="22"/>
                <w:szCs w:val="22"/>
              </w:rPr>
              <w:br/>
              <w:t>不具备一个得分要素，扣1分，扣完为止。</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856"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从与经济社会发展决策相符性看，本项目紧紧围绕习近平新时代中国特色社会主义思想以及《乡村振兴战略规划（2018-2022年）》规划要求，通过组织实施乡村振兴战略“千村试点，万村推进”活动，扶持打造一批有示范带动作用的乡村振兴试点村和示范村，推动全市农村开展全面振兴，且与市农业农村局“贯彻落实党在农村的基本政策”主要职责密切相关。因此，本项目立项依据充分。</w:t>
            </w:r>
          </w:p>
        </w:tc>
      </w:tr>
      <w:tr w:rsidR="004032E0">
        <w:trPr>
          <w:trHeight w:val="140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立项程序规范性</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①项目是否按照规定的程序申请设立；</w:t>
            </w:r>
            <w:r>
              <w:rPr>
                <w:rFonts w:ascii="宋体" w:eastAsia="宋体" w:hAnsi="宋体" w:cs="宋体" w:hint="eastAsia"/>
                <w:color w:val="000000"/>
                <w:kern w:val="0"/>
                <w:sz w:val="22"/>
                <w:szCs w:val="22"/>
              </w:rPr>
              <w:br/>
              <w:t>②审批文件、材料是否符合相关要求；</w:t>
            </w:r>
            <w:r>
              <w:rPr>
                <w:rFonts w:ascii="宋体" w:eastAsia="宋体" w:hAnsi="宋体" w:cs="宋体" w:hint="eastAsia"/>
                <w:color w:val="000000"/>
                <w:kern w:val="0"/>
                <w:sz w:val="22"/>
                <w:szCs w:val="22"/>
              </w:rPr>
              <w:br/>
              <w:t>③事前是否已经过必要的可行性研究、专家论证、风险评估、绩效评估、集体决策。</w:t>
            </w:r>
            <w:r>
              <w:rPr>
                <w:rFonts w:ascii="宋体" w:eastAsia="宋体" w:hAnsi="宋体" w:cs="宋体" w:hint="eastAsia"/>
                <w:color w:val="000000"/>
                <w:kern w:val="0"/>
                <w:sz w:val="22"/>
                <w:szCs w:val="22"/>
              </w:rPr>
              <w:br/>
              <w:t>具备一个得分要素，增加1分。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pStyle w:val="a0"/>
              <w:spacing w:line="360" w:lineRule="auto"/>
              <w:ind w:leftChars="0" w:left="0" w:rightChars="0" w:right="0" w:firstLineChars="200" w:firstLine="440"/>
              <w:rPr>
                <w:rFonts w:ascii="宋体" w:eastAsia="宋体" w:hAnsi="宋体" w:cs="宋体"/>
                <w:color w:val="000000"/>
                <w:sz w:val="22"/>
                <w:szCs w:val="22"/>
              </w:rPr>
            </w:pPr>
            <w:r>
              <w:rPr>
                <w:rFonts w:ascii="宋体" w:eastAsia="宋体" w:hAnsi="宋体" w:cs="宋体" w:hint="eastAsia"/>
                <w:color w:val="000000"/>
                <w:sz w:val="22"/>
                <w:szCs w:val="22"/>
              </w:rPr>
              <w:t>经查阅相关档案资料显示，本项目严格按照《预算法》《福建省乡村振兴战略规划（2018-2022年）》《泉州市实施乡村振兴战略规划（2018-2022年）》（泉委[2019]23号）、《泉州市实施乡村振兴战略19个“三年行动方案”》《中共泉州市委 泉州市人民政府&lt;关于实施乡村振兴战略的实施意见》《泉州市市级乡村振兴专项资金管理暂行规定》（泉财农〔2019〕172号）、《泉州市农村人居环境整治日常考评办法（试行）》等相关文件要求，按照批准或（备案）的投资计划、建设内容、绩效目标组织实施，立项资料完整，符合相关要求。因此，本项目立项程序规范。</w:t>
            </w:r>
          </w:p>
        </w:tc>
      </w:tr>
      <w:tr w:rsidR="004032E0">
        <w:trPr>
          <w:trHeight w:val="625"/>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绩效目标（7分）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绩效目标合理性</w:t>
            </w:r>
            <w:r>
              <w:rPr>
                <w:rFonts w:ascii="宋体" w:eastAsia="宋体" w:hAnsi="宋体" w:cs="宋体" w:hint="eastAsia"/>
                <w:color w:val="000000"/>
                <w:kern w:val="0"/>
                <w:sz w:val="22"/>
                <w:szCs w:val="22"/>
              </w:rPr>
              <w:br/>
              <w:t>（4分）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①绩效目标的设定是否符合乡村振兴发展导向；</w:t>
            </w:r>
            <w:r>
              <w:rPr>
                <w:rFonts w:ascii="宋体" w:eastAsia="宋体" w:hAnsi="宋体" w:cs="宋体" w:hint="eastAsia"/>
                <w:color w:val="000000"/>
                <w:kern w:val="0"/>
                <w:sz w:val="22"/>
                <w:szCs w:val="22"/>
              </w:rPr>
              <w:br/>
              <w:t>②是否与预算确定的项目投资额相匹配；</w:t>
            </w:r>
            <w:r>
              <w:rPr>
                <w:rFonts w:ascii="宋体" w:eastAsia="宋体" w:hAnsi="宋体" w:cs="宋体" w:hint="eastAsia"/>
                <w:color w:val="000000"/>
                <w:kern w:val="0"/>
                <w:sz w:val="22"/>
                <w:szCs w:val="22"/>
              </w:rPr>
              <w:br/>
              <w:t>③总体目标和年度目标设置是否合理，是否具有可操作性和可达性。</w:t>
            </w:r>
            <w:r>
              <w:rPr>
                <w:rFonts w:ascii="宋体" w:eastAsia="宋体" w:hAnsi="宋体" w:cs="宋体" w:hint="eastAsia"/>
                <w:color w:val="000000"/>
                <w:kern w:val="0"/>
                <w:sz w:val="22"/>
                <w:szCs w:val="22"/>
              </w:rPr>
              <w:br/>
              <w:t>不具备一个得分要素，扣2分，扣完为止。</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856" w:type="pct"/>
            <w:tcBorders>
              <w:top w:val="single" w:sz="8" w:space="0" w:color="4F81BD"/>
              <w:left w:val="dotted" w:sz="4" w:space="0" w:color="auto"/>
              <w:bottom w:val="single" w:sz="8" w:space="0" w:color="4F81BD"/>
              <w:right w:val="dotted" w:sz="4" w:space="0" w:color="auto"/>
            </w:tcBorders>
            <w:shd w:val="clear" w:color="auto" w:fill="FFFFFF"/>
            <w:noWrap/>
            <w:tcMar>
              <w:top w:w="11" w:type="dxa"/>
              <w:left w:w="11" w:type="dxa"/>
              <w:right w:w="11"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年初目标设置投入5,600万元用于乡村振兴建设项目，实际投入金额7,250万元，偏差率29.46%，偏差率较大，目标设定金额与实际投入金额偏离较大，投入目标编制的合理性不够。</w:t>
            </w:r>
          </w:p>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绩效目标设置不够细化，不能从多角度反映专项资金运用的绩效。例如：年初“乡村建设项目数量450个”，未具</w:t>
            </w:r>
            <w:r>
              <w:rPr>
                <w:rFonts w:ascii="宋体" w:eastAsia="宋体" w:hAnsi="宋体" w:cs="宋体" w:hint="eastAsia"/>
                <w:color w:val="000000"/>
                <w:sz w:val="22"/>
                <w:szCs w:val="22"/>
              </w:rPr>
              <w:lastRenderedPageBreak/>
              <w:t>体细分人居环境整治项目数量、基础设施建设项目数量、公共服务配套项目数量等具体指标。</w:t>
            </w:r>
          </w:p>
        </w:tc>
      </w:tr>
      <w:tr w:rsidR="004032E0">
        <w:trPr>
          <w:trHeight w:val="112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绩效指标明确性</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①是否将项目绩效目标细化分解为具体的绩效指标；</w:t>
            </w:r>
            <w:r>
              <w:rPr>
                <w:rFonts w:ascii="宋体" w:eastAsia="宋体" w:hAnsi="宋体" w:cs="宋体" w:hint="eastAsia"/>
                <w:color w:val="000000"/>
                <w:kern w:val="0"/>
                <w:sz w:val="22"/>
                <w:szCs w:val="22"/>
              </w:rPr>
              <w:br/>
              <w:t>②是否通过清晰、可衡量的指标值予以提现；</w:t>
            </w:r>
            <w:r>
              <w:rPr>
                <w:rFonts w:ascii="宋体" w:eastAsia="宋体" w:hAnsi="宋体" w:cs="宋体" w:hint="eastAsia"/>
                <w:color w:val="000000"/>
                <w:kern w:val="0"/>
                <w:sz w:val="22"/>
                <w:szCs w:val="22"/>
              </w:rPr>
              <w:br/>
              <w:t>③是否与项目目标任务书或计划数相对应。</w:t>
            </w:r>
            <w:r>
              <w:rPr>
                <w:rFonts w:ascii="宋体" w:eastAsia="宋体" w:hAnsi="宋体" w:cs="宋体" w:hint="eastAsia"/>
                <w:color w:val="000000"/>
                <w:kern w:val="0"/>
                <w:sz w:val="22"/>
                <w:szCs w:val="22"/>
              </w:rPr>
              <w:br/>
              <w:t>具备一个得分要素，增加1分。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年初绩效目标能够将项目绩效目标细化为具体的绩效指标，指标明确，可操作性较强。</w:t>
            </w:r>
          </w:p>
        </w:tc>
      </w:tr>
      <w:tr w:rsidR="004032E0">
        <w:trPr>
          <w:trHeight w:val="168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资金投入（6分）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预算编制科学性</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①预算编制是否经过科学认证；</w:t>
            </w:r>
            <w:r>
              <w:rPr>
                <w:rFonts w:ascii="宋体" w:eastAsia="宋体" w:hAnsi="宋体" w:cs="宋体" w:hint="eastAsia"/>
                <w:color w:val="000000"/>
                <w:kern w:val="0"/>
                <w:sz w:val="22"/>
                <w:szCs w:val="22"/>
              </w:rPr>
              <w:br/>
              <w:t>②预算内容与项目是否匹配；</w:t>
            </w:r>
            <w:r>
              <w:rPr>
                <w:rFonts w:ascii="宋体" w:eastAsia="宋体" w:hAnsi="宋体" w:cs="宋体" w:hint="eastAsia"/>
                <w:color w:val="000000"/>
                <w:kern w:val="0"/>
                <w:sz w:val="22"/>
                <w:szCs w:val="22"/>
              </w:rPr>
              <w:br/>
              <w:t>③预算额度测算依据是否充分，是否按照标准编制；</w:t>
            </w:r>
            <w:r>
              <w:rPr>
                <w:rFonts w:ascii="宋体" w:eastAsia="宋体" w:hAnsi="宋体" w:cs="宋体" w:hint="eastAsia"/>
                <w:color w:val="000000"/>
                <w:kern w:val="0"/>
                <w:sz w:val="22"/>
                <w:szCs w:val="22"/>
              </w:rPr>
              <w:br/>
              <w:t>④预算确定的项目投资额或资金量是否与工作任务相匹配。</w:t>
            </w:r>
            <w:r>
              <w:rPr>
                <w:rFonts w:ascii="宋体" w:eastAsia="宋体" w:hAnsi="宋体" w:cs="宋体" w:hint="eastAsia"/>
                <w:color w:val="000000"/>
                <w:kern w:val="0"/>
                <w:sz w:val="22"/>
                <w:szCs w:val="22"/>
              </w:rPr>
              <w:br/>
              <w:t>具备一个得分要素，得1分。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预算编制科学，与预算内容相匹配，与工作任务相匹配。</w:t>
            </w:r>
          </w:p>
        </w:tc>
      </w:tr>
      <w:tr w:rsidR="004032E0">
        <w:trPr>
          <w:trHeight w:val="112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资金分配合理性</w:t>
            </w:r>
          </w:p>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①预算编制依据是否充分；</w:t>
            </w:r>
            <w:r>
              <w:rPr>
                <w:rFonts w:ascii="宋体" w:eastAsia="宋体" w:hAnsi="宋体" w:cs="宋体" w:hint="eastAsia"/>
                <w:color w:val="000000"/>
                <w:kern w:val="0"/>
                <w:sz w:val="22"/>
                <w:szCs w:val="22"/>
              </w:rPr>
              <w:br/>
              <w:t>②资金分配额度是否合理，与项目单位或地方实际是否相适应。</w:t>
            </w:r>
            <w:r>
              <w:rPr>
                <w:rFonts w:ascii="宋体" w:eastAsia="宋体" w:hAnsi="宋体" w:cs="宋体" w:hint="eastAsia"/>
                <w:color w:val="000000"/>
                <w:kern w:val="0"/>
                <w:sz w:val="22"/>
                <w:szCs w:val="22"/>
              </w:rPr>
              <w:br/>
              <w:t>具备一个得分要素，增加1.5分。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预算编制依据充分，且与项目单位相适应。</w:t>
            </w:r>
          </w:p>
        </w:tc>
      </w:tr>
      <w:tr w:rsidR="004032E0">
        <w:trPr>
          <w:trHeight w:val="90"/>
        </w:trPr>
        <w:tc>
          <w:tcPr>
            <w:tcW w:w="302" w:type="pct"/>
            <w:vMerge w:val="restar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过程</w:t>
            </w:r>
            <w:r>
              <w:rPr>
                <w:rFonts w:ascii="宋体" w:eastAsia="宋体" w:hAnsi="宋体" w:cs="宋体" w:hint="eastAsia"/>
                <w:color w:val="000000"/>
                <w:kern w:val="0"/>
                <w:sz w:val="22"/>
                <w:szCs w:val="22"/>
              </w:rPr>
              <w:br/>
              <w:t>（22分)</w:t>
            </w: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资金管理（13分）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资金使用合规性</w:t>
            </w:r>
            <w:r>
              <w:rPr>
                <w:rFonts w:ascii="宋体" w:eastAsia="宋体" w:hAnsi="宋体" w:cs="宋体" w:hint="eastAsia"/>
                <w:color w:val="000000"/>
                <w:kern w:val="0"/>
                <w:sz w:val="22"/>
                <w:szCs w:val="22"/>
              </w:rPr>
              <w:br/>
              <w:t>（4分）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①是否符合国家财经法规和财务管理制度以及有关专项管理办法的规定；</w:t>
            </w:r>
            <w:r>
              <w:rPr>
                <w:rFonts w:ascii="宋体" w:eastAsia="宋体" w:hAnsi="宋体" w:cs="宋体" w:hint="eastAsia"/>
                <w:color w:val="000000"/>
                <w:kern w:val="0"/>
                <w:sz w:val="22"/>
                <w:szCs w:val="22"/>
              </w:rPr>
              <w:br/>
              <w:t>②资金的拨付是否有完整的审批程序和手续；</w:t>
            </w:r>
            <w:r>
              <w:rPr>
                <w:rFonts w:ascii="宋体" w:eastAsia="宋体" w:hAnsi="宋体" w:cs="宋体" w:hint="eastAsia"/>
                <w:color w:val="000000"/>
                <w:kern w:val="0"/>
                <w:sz w:val="22"/>
                <w:szCs w:val="22"/>
              </w:rPr>
              <w:br/>
              <w:t>③是否存在截留、占用、挪用、虚列支出等情况；</w:t>
            </w:r>
            <w:r>
              <w:rPr>
                <w:rFonts w:ascii="宋体" w:eastAsia="宋体" w:hAnsi="宋体" w:cs="宋体" w:hint="eastAsia"/>
                <w:color w:val="000000"/>
                <w:kern w:val="0"/>
                <w:sz w:val="22"/>
                <w:szCs w:val="22"/>
              </w:rPr>
              <w:br/>
              <w:t>④是否符合项目预算批复或合同规定的用途。</w:t>
            </w:r>
            <w:r>
              <w:rPr>
                <w:rFonts w:ascii="宋体" w:eastAsia="宋体" w:hAnsi="宋体" w:cs="宋体" w:hint="eastAsia"/>
                <w:color w:val="000000"/>
                <w:kern w:val="0"/>
                <w:sz w:val="22"/>
                <w:szCs w:val="22"/>
              </w:rPr>
              <w:br/>
              <w:t>具备一个得分要素，增加1分。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pStyle w:val="a0"/>
              <w:spacing w:line="360" w:lineRule="auto"/>
              <w:ind w:leftChars="0" w:left="0" w:rightChars="0" w:right="0" w:firstLineChars="200" w:firstLine="440"/>
              <w:rPr>
                <w:rFonts w:ascii="宋体" w:eastAsia="宋体" w:hAnsi="宋体" w:cs="宋体"/>
                <w:color w:val="000000"/>
                <w:sz w:val="22"/>
                <w:szCs w:val="22"/>
              </w:rPr>
            </w:pPr>
            <w:r>
              <w:rPr>
                <w:rFonts w:ascii="宋体" w:eastAsia="宋体" w:hAnsi="宋体" w:cs="宋体" w:hint="eastAsia"/>
                <w:color w:val="000000"/>
                <w:kern w:val="0"/>
                <w:sz w:val="22"/>
                <w:szCs w:val="22"/>
              </w:rPr>
              <w:t>经查阅本项目会计凭证及相关资料，个别村居用于支付保洁员工资、购买办公设备等。根据《泉州市市级乡村振兴专项资金管理暂行规定》（泉财农〔2019〕172号）规定：“专项资金不得用于下列各项支出：行政事业单位基本支出；购买交通工具及通讯设备；各种奖金、津贴和福利补助；修建楼堂馆所或改善办公条件。”，故以上支出不符合专项资金管理暂行规定。</w:t>
            </w:r>
          </w:p>
        </w:tc>
      </w:tr>
      <w:tr w:rsidR="004032E0">
        <w:trPr>
          <w:trHeight w:val="224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资金监控有效性</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①是否制定或具有相应的监控机制；</w:t>
            </w:r>
            <w:r>
              <w:rPr>
                <w:rFonts w:ascii="宋体" w:eastAsia="宋体" w:hAnsi="宋体" w:cs="宋体" w:hint="eastAsia"/>
                <w:color w:val="000000"/>
                <w:kern w:val="0"/>
                <w:sz w:val="22"/>
                <w:szCs w:val="22"/>
              </w:rPr>
              <w:br/>
              <w:t>②是否采取了相应的财务检查等必要监控措施手段，有效监控资金的支出范围。</w:t>
            </w:r>
            <w:r>
              <w:rPr>
                <w:rFonts w:ascii="宋体" w:eastAsia="宋体" w:hAnsi="宋体" w:cs="宋体" w:hint="eastAsia"/>
                <w:color w:val="000000"/>
                <w:kern w:val="0"/>
                <w:sz w:val="22"/>
                <w:szCs w:val="22"/>
              </w:rPr>
              <w:br/>
              <w:t>具备一个得分要素，增加1.5分。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根据《泉州市市级乡村振兴专项资金管理暂行规定》（泉财农〔2019〕172号）规定：“专项资金不得用于下列各项支出：行政事业单位基本支出；购买交通工具及通讯设备；各种奖金、津贴和福利补助；修建楼堂馆所或改善办公条件。”，经查阅相关原始凭证，个别村居用于支付保洁员工资、购买办公设备等，不符合专项资金管理规定、未做到专款专用，反映出资金使用的监管工作有待进一步加强。</w:t>
            </w:r>
          </w:p>
        </w:tc>
      </w:tr>
      <w:tr w:rsidR="004032E0">
        <w:trPr>
          <w:trHeight w:val="168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预算到位率</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①预算到位率=（实际到位资金/预算资金）×100%；</w:t>
            </w:r>
            <w:r>
              <w:rPr>
                <w:rFonts w:ascii="宋体" w:eastAsia="宋体" w:hAnsi="宋体" w:cs="宋体" w:hint="eastAsia"/>
                <w:color w:val="000000"/>
                <w:kern w:val="0"/>
                <w:sz w:val="22"/>
                <w:szCs w:val="22"/>
              </w:rPr>
              <w:br/>
              <w:t>②实际到位资金：一定时期（本年度或项目期）内落实到具体项目的资金；</w:t>
            </w:r>
            <w:r>
              <w:rPr>
                <w:rFonts w:ascii="宋体" w:eastAsia="宋体" w:hAnsi="宋体" w:cs="宋体" w:hint="eastAsia"/>
                <w:color w:val="000000"/>
                <w:kern w:val="0"/>
                <w:sz w:val="22"/>
                <w:szCs w:val="22"/>
              </w:rPr>
              <w:br/>
              <w:t>③预算资金：一定时期（本年度或项目期）内预算安排到具体项目的资金。</w:t>
            </w:r>
            <w:r>
              <w:rPr>
                <w:rFonts w:ascii="宋体" w:eastAsia="宋体" w:hAnsi="宋体" w:cs="宋体" w:hint="eastAsia"/>
                <w:color w:val="000000"/>
                <w:kern w:val="0"/>
                <w:sz w:val="22"/>
                <w:szCs w:val="22"/>
              </w:rPr>
              <w:br/>
              <w:t>得分等于指标分值×预算到位率。</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到位资金13400万元，资金到位率100%。</w:t>
            </w:r>
          </w:p>
        </w:tc>
      </w:tr>
      <w:tr w:rsidR="004032E0">
        <w:trPr>
          <w:trHeight w:val="48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预算执行率</w:t>
            </w:r>
            <w:r>
              <w:rPr>
                <w:rFonts w:ascii="宋体" w:eastAsia="宋体" w:hAnsi="宋体" w:cs="宋体" w:hint="eastAsia"/>
                <w:color w:val="000000"/>
                <w:kern w:val="0"/>
                <w:sz w:val="22"/>
                <w:szCs w:val="22"/>
              </w:rPr>
              <w:b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①预算执行率=（实际支出资金/实际到位资金）×100%；</w:t>
            </w:r>
            <w:r>
              <w:rPr>
                <w:rFonts w:ascii="宋体" w:eastAsia="宋体" w:hAnsi="宋体" w:cs="宋体" w:hint="eastAsia"/>
                <w:color w:val="000000"/>
                <w:kern w:val="0"/>
                <w:sz w:val="22"/>
                <w:szCs w:val="22"/>
              </w:rPr>
              <w:br/>
              <w:t>②实际支出资金：一定时期（本年度或项目期）内项目实际拨付的资金。</w:t>
            </w:r>
            <w:r>
              <w:rPr>
                <w:rFonts w:ascii="宋体" w:eastAsia="宋体" w:hAnsi="宋体" w:cs="宋体" w:hint="eastAsia"/>
                <w:color w:val="000000"/>
                <w:kern w:val="0"/>
                <w:sz w:val="22"/>
                <w:szCs w:val="22"/>
              </w:rPr>
              <w:br/>
              <w:t>得分等于指标分值×预算执行率。</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2.96</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预算金额13400万元，支出金额13216.4万元，预算执行率98.63%，预算执行情况较好。</w:t>
            </w:r>
          </w:p>
        </w:tc>
      </w:tr>
      <w:tr w:rsidR="004032E0">
        <w:trPr>
          <w:trHeight w:val="140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组织实施（9分）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管理制度健全性</w:t>
            </w:r>
            <w:r>
              <w:rPr>
                <w:rFonts w:ascii="宋体" w:eastAsia="宋体" w:hAnsi="宋体" w:cs="宋体" w:hint="eastAsia"/>
                <w:color w:val="000000"/>
                <w:kern w:val="0"/>
                <w:sz w:val="22"/>
                <w:szCs w:val="22"/>
              </w:rPr>
              <w:br/>
              <w:t>（4分）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①是否已制定或具有相应的财务和业务管理制度；</w:t>
            </w:r>
            <w:r>
              <w:rPr>
                <w:rFonts w:ascii="宋体" w:eastAsia="宋体" w:hAnsi="宋体" w:cs="宋体" w:hint="eastAsia"/>
                <w:color w:val="000000"/>
                <w:kern w:val="0"/>
                <w:sz w:val="22"/>
                <w:szCs w:val="22"/>
              </w:rPr>
              <w:br/>
              <w:t>②财务和业务管理制度是否合法、合规、完整。</w:t>
            </w:r>
            <w:r>
              <w:rPr>
                <w:rFonts w:ascii="宋体" w:eastAsia="宋体" w:hAnsi="宋体" w:cs="宋体" w:hint="eastAsia"/>
                <w:color w:val="000000"/>
                <w:kern w:val="0"/>
                <w:sz w:val="22"/>
                <w:szCs w:val="22"/>
              </w:rPr>
              <w:br/>
              <w:t>A.管理制度健全 4分；</w:t>
            </w:r>
            <w:r>
              <w:rPr>
                <w:rFonts w:ascii="宋体" w:eastAsia="宋体" w:hAnsi="宋体" w:cs="宋体" w:hint="eastAsia"/>
                <w:color w:val="000000"/>
                <w:kern w:val="0"/>
                <w:sz w:val="22"/>
                <w:szCs w:val="22"/>
              </w:rPr>
              <w:br/>
              <w:t>B.基本健全 2分；</w:t>
            </w:r>
            <w:r>
              <w:rPr>
                <w:rFonts w:ascii="宋体" w:eastAsia="宋体" w:hAnsi="宋体" w:cs="宋体" w:hint="eastAsia"/>
                <w:color w:val="000000"/>
                <w:kern w:val="0"/>
                <w:sz w:val="22"/>
                <w:szCs w:val="22"/>
              </w:rPr>
              <w:br/>
              <w:t>C.不健全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sz w:val="22"/>
                <w:szCs w:val="22"/>
              </w:rPr>
              <w:t>经查阅市农业农村局的相关制度，市农业农村局为保证本项目的顺利实施，制定了《泉州市市级乡村振兴专项资金管理暂行规定》（泉财农〔2019〕172号）、《泉州市农村人居环境整治日常考评办法（试行）》等有关制度，管理制度较为完善。</w:t>
            </w:r>
          </w:p>
        </w:tc>
      </w:tr>
      <w:tr w:rsidR="004032E0">
        <w:trPr>
          <w:trHeight w:val="252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制度执行有效性</w:t>
            </w:r>
            <w:r>
              <w:rPr>
                <w:rFonts w:ascii="宋体" w:eastAsia="宋体" w:hAnsi="宋体" w:cs="宋体" w:hint="eastAsia"/>
                <w:color w:val="000000"/>
                <w:kern w:val="0"/>
                <w:sz w:val="22"/>
                <w:szCs w:val="22"/>
              </w:rPr>
              <w:br/>
              <w:t>（5分）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①是否遵守相关法律法规和相关规定；</w:t>
            </w:r>
            <w:r>
              <w:rPr>
                <w:rFonts w:ascii="宋体" w:eastAsia="宋体" w:hAnsi="宋体" w:cs="宋体" w:hint="eastAsia"/>
                <w:color w:val="000000"/>
                <w:kern w:val="0"/>
                <w:sz w:val="22"/>
                <w:szCs w:val="22"/>
              </w:rPr>
              <w:br/>
              <w:t>②相关人员是否熟悉并遵循相应的管理制度；</w:t>
            </w:r>
            <w:r>
              <w:rPr>
                <w:rFonts w:ascii="宋体" w:eastAsia="宋体" w:hAnsi="宋体" w:cs="宋体" w:hint="eastAsia"/>
                <w:color w:val="000000"/>
                <w:kern w:val="0"/>
                <w:sz w:val="22"/>
                <w:szCs w:val="22"/>
              </w:rPr>
              <w:br/>
              <w:t>③项目调整及支出调整手续是否完备；</w:t>
            </w:r>
            <w:r>
              <w:rPr>
                <w:rFonts w:ascii="宋体" w:eastAsia="宋体" w:hAnsi="宋体" w:cs="宋体" w:hint="eastAsia"/>
                <w:color w:val="000000"/>
                <w:kern w:val="0"/>
                <w:sz w:val="22"/>
                <w:szCs w:val="22"/>
              </w:rPr>
              <w:br/>
              <w:t>④引导资金的管理、申请、审批和拨付程序是否按相应的管理制度执行。</w:t>
            </w:r>
            <w:r>
              <w:rPr>
                <w:rFonts w:ascii="宋体" w:eastAsia="宋体" w:hAnsi="宋体" w:cs="宋体" w:hint="eastAsia"/>
                <w:color w:val="000000"/>
                <w:kern w:val="0"/>
                <w:sz w:val="22"/>
                <w:szCs w:val="22"/>
              </w:rPr>
              <w:br/>
              <w:t>A.有效执行 5分；</w:t>
            </w:r>
            <w:r>
              <w:rPr>
                <w:rFonts w:ascii="宋体" w:eastAsia="宋体" w:hAnsi="宋体" w:cs="宋体" w:hint="eastAsia"/>
                <w:color w:val="000000"/>
                <w:kern w:val="0"/>
                <w:sz w:val="22"/>
                <w:szCs w:val="22"/>
              </w:rPr>
              <w:br/>
              <w:t>B.基本执行 3.5分；</w:t>
            </w:r>
            <w:r>
              <w:rPr>
                <w:rFonts w:ascii="宋体" w:eastAsia="宋体" w:hAnsi="宋体" w:cs="宋体" w:hint="eastAsia"/>
                <w:color w:val="000000"/>
                <w:kern w:val="0"/>
                <w:sz w:val="22"/>
                <w:szCs w:val="22"/>
              </w:rPr>
              <w:br/>
              <w:t>C.一般 2分；</w:t>
            </w:r>
            <w:r>
              <w:rPr>
                <w:rFonts w:ascii="宋体" w:eastAsia="宋体" w:hAnsi="宋体" w:cs="宋体" w:hint="eastAsia"/>
                <w:color w:val="000000"/>
                <w:kern w:val="0"/>
                <w:sz w:val="22"/>
                <w:szCs w:val="22"/>
              </w:rPr>
              <w:br/>
              <w:t>D.未执行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color w:val="000000"/>
                <w:sz w:val="22"/>
                <w:szCs w:val="22"/>
              </w:rPr>
              <w:t>个别村居资金的使用未按《泉州市市级乡村振兴专项资金管理暂行规定》执行。</w:t>
            </w:r>
          </w:p>
        </w:tc>
      </w:tr>
      <w:tr w:rsidR="004032E0">
        <w:trPr>
          <w:trHeight w:val="1680"/>
        </w:trPr>
        <w:tc>
          <w:tcPr>
            <w:tcW w:w="302" w:type="pct"/>
            <w:vMerge w:val="restar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产出</w:t>
            </w:r>
            <w:r>
              <w:rPr>
                <w:rFonts w:ascii="宋体" w:eastAsia="宋体" w:hAnsi="宋体" w:cs="宋体" w:hint="eastAsia"/>
                <w:color w:val="000000"/>
                <w:kern w:val="0"/>
                <w:sz w:val="22"/>
                <w:szCs w:val="22"/>
              </w:rPr>
              <w:br/>
              <w:t>(30分）</w:t>
            </w:r>
          </w:p>
        </w:tc>
        <w:tc>
          <w:tcPr>
            <w:tcW w:w="312" w:type="pct"/>
            <w:vMerge w:val="restar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产出数量</w:t>
            </w:r>
            <w:r>
              <w:rPr>
                <w:rFonts w:ascii="宋体" w:eastAsia="宋体" w:hAnsi="宋体" w:cs="宋体" w:hint="eastAsia"/>
                <w:color w:val="000000"/>
                <w:kern w:val="0"/>
                <w:sz w:val="22"/>
                <w:szCs w:val="22"/>
              </w:rPr>
              <w:br/>
              <w:t>（22分）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乡村振兴试点村完成率（5分）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达到或超过目标的得100%，未达到目标值的，（完成数量/目标数量）*100%。</w:t>
            </w:r>
            <w:r>
              <w:rPr>
                <w:rFonts w:ascii="宋体" w:eastAsia="宋体" w:hAnsi="宋体" w:cs="宋体" w:hint="eastAsia"/>
                <w:color w:val="000000"/>
                <w:kern w:val="0"/>
                <w:sz w:val="22"/>
                <w:szCs w:val="22"/>
              </w:rPr>
              <w:br/>
              <w:t>A.100%-90%（含） 5分；</w:t>
            </w:r>
            <w:r>
              <w:rPr>
                <w:rFonts w:ascii="宋体" w:eastAsia="宋体" w:hAnsi="宋体" w:cs="宋体" w:hint="eastAsia"/>
                <w:color w:val="000000"/>
                <w:kern w:val="0"/>
                <w:sz w:val="22"/>
                <w:szCs w:val="22"/>
              </w:rPr>
              <w:br/>
              <w:t>B.90%（不含）-80%(含） 3.5分；</w:t>
            </w:r>
            <w:r>
              <w:rPr>
                <w:rFonts w:ascii="宋体" w:eastAsia="宋体" w:hAnsi="宋体" w:cs="宋体" w:hint="eastAsia"/>
                <w:color w:val="000000"/>
                <w:kern w:val="0"/>
                <w:sz w:val="22"/>
                <w:szCs w:val="22"/>
              </w:rPr>
              <w:br/>
              <w:t>C.80%（不含）-65%(含） 1.5分；</w:t>
            </w:r>
            <w:r>
              <w:rPr>
                <w:rFonts w:ascii="宋体" w:eastAsia="宋体" w:hAnsi="宋体" w:cs="宋体" w:hint="eastAsia"/>
                <w:color w:val="000000"/>
                <w:kern w:val="0"/>
                <w:sz w:val="22"/>
                <w:szCs w:val="22"/>
              </w:rPr>
              <w:br/>
              <w:t>C.65%以下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年初目标设定完成145个试点村，实际完成145个，完成目标值的100%。</w:t>
            </w:r>
          </w:p>
        </w:tc>
      </w:tr>
      <w:tr w:rsidR="004032E0">
        <w:trPr>
          <w:trHeight w:val="9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农村环境卫生考评率（5分）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达到或超过目标的得100%，未达到目标值的，（完成数量/目标数量）*100%。</w:t>
            </w:r>
            <w:r>
              <w:rPr>
                <w:rFonts w:ascii="宋体" w:eastAsia="宋体" w:hAnsi="宋体" w:cs="宋体" w:hint="eastAsia"/>
                <w:color w:val="000000"/>
                <w:kern w:val="0"/>
                <w:sz w:val="22"/>
                <w:szCs w:val="22"/>
              </w:rPr>
              <w:br/>
            </w:r>
            <w:r>
              <w:rPr>
                <w:rFonts w:ascii="宋体" w:eastAsia="宋体" w:hAnsi="宋体" w:cs="宋体" w:hint="eastAsia"/>
                <w:color w:val="000000"/>
                <w:kern w:val="0"/>
                <w:sz w:val="22"/>
                <w:szCs w:val="22"/>
              </w:rPr>
              <w:lastRenderedPageBreak/>
              <w:t>A.100%-90%（含） 5分；</w:t>
            </w:r>
            <w:r>
              <w:rPr>
                <w:rFonts w:ascii="宋体" w:eastAsia="宋体" w:hAnsi="宋体" w:cs="宋体" w:hint="eastAsia"/>
                <w:color w:val="000000"/>
                <w:kern w:val="0"/>
                <w:sz w:val="22"/>
                <w:szCs w:val="22"/>
              </w:rPr>
              <w:br/>
              <w:t>B.90%（不含）-80%(含） 3.5分；</w:t>
            </w:r>
            <w:r>
              <w:rPr>
                <w:rFonts w:ascii="宋体" w:eastAsia="宋体" w:hAnsi="宋体" w:cs="宋体" w:hint="eastAsia"/>
                <w:color w:val="000000"/>
                <w:kern w:val="0"/>
                <w:sz w:val="22"/>
                <w:szCs w:val="22"/>
              </w:rPr>
              <w:br/>
              <w:t>C.80%（不含）-65%(含） 1.5分；</w:t>
            </w:r>
            <w:r>
              <w:rPr>
                <w:rFonts w:ascii="宋体" w:eastAsia="宋体" w:hAnsi="宋体" w:cs="宋体" w:hint="eastAsia"/>
                <w:color w:val="000000"/>
                <w:kern w:val="0"/>
                <w:sz w:val="22"/>
                <w:szCs w:val="22"/>
              </w:rPr>
              <w:br/>
              <w:t>C.65%以下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根据《泉州市市级乡村振兴专项资金管理暂行规定》（泉财农〔2019〕172号）要求：“每月随机抽评300个以上</w:t>
            </w:r>
            <w:r>
              <w:rPr>
                <w:rFonts w:ascii="宋体" w:eastAsia="宋体" w:hAnsi="宋体" w:cs="宋体" w:hint="eastAsia"/>
                <w:color w:val="000000"/>
                <w:kern w:val="0"/>
                <w:sz w:val="22"/>
                <w:szCs w:val="22"/>
              </w:rPr>
              <w:lastRenderedPageBreak/>
              <w:t>的村和100段以上的道路进行考评”，实际每月平均考评348个以上的村及104段道路。</w:t>
            </w:r>
          </w:p>
        </w:tc>
      </w:tr>
      <w:tr w:rsidR="004032E0">
        <w:trPr>
          <w:trHeight w:val="84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房前屋后整治覆盖率（3分）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达到目标值得2分，每少10%扣1分，扣完为止。</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年初目标:80%以上村庄完成房前屋后整治，实际完成100%。</w:t>
            </w:r>
          </w:p>
        </w:tc>
      </w:tr>
      <w:tr w:rsidR="004032E0">
        <w:trPr>
          <w:trHeight w:val="224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乡村振兴战略群众知晓率（5分）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numPr>
                <w:ilvl w:val="0"/>
                <w:numId w:val="2"/>
              </w:numPr>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非常熟悉 5分；</w:t>
            </w:r>
            <w:r>
              <w:rPr>
                <w:rFonts w:ascii="宋体" w:eastAsia="宋体" w:hAnsi="宋体" w:cs="宋体" w:hint="eastAsia"/>
                <w:color w:val="000000"/>
                <w:kern w:val="0"/>
                <w:sz w:val="22"/>
                <w:szCs w:val="22"/>
              </w:rPr>
              <w:br/>
              <w:t>B.比较熟悉 4分；</w:t>
            </w:r>
            <w:r>
              <w:rPr>
                <w:rFonts w:ascii="宋体" w:eastAsia="宋体" w:hAnsi="宋体" w:cs="宋体" w:hint="eastAsia"/>
                <w:color w:val="000000"/>
                <w:kern w:val="0"/>
                <w:sz w:val="22"/>
                <w:szCs w:val="22"/>
              </w:rPr>
              <w:br/>
              <w:t>C.大概了解 2分；</w:t>
            </w:r>
            <w:r>
              <w:rPr>
                <w:rFonts w:ascii="宋体" w:eastAsia="宋体" w:hAnsi="宋体" w:cs="宋体" w:hint="eastAsia"/>
                <w:color w:val="000000"/>
                <w:kern w:val="0"/>
                <w:sz w:val="22"/>
                <w:szCs w:val="22"/>
              </w:rPr>
              <w:br/>
              <w:t>D.不是很了解 1分；</w:t>
            </w:r>
            <w:r>
              <w:rPr>
                <w:rFonts w:ascii="宋体" w:eastAsia="宋体" w:hAnsi="宋体" w:cs="宋体" w:hint="eastAsia"/>
                <w:color w:val="000000"/>
                <w:kern w:val="0"/>
                <w:sz w:val="22"/>
                <w:szCs w:val="22"/>
              </w:rPr>
              <w:br/>
              <w:t>E.未听说过 0分。</w:t>
            </w:r>
          </w:p>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调研情况占比乘以对应分值。</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通过对24位村民的问卷调查：非常熟悉6票，占比25%；比较熟悉3票，占比13%；有大概的了解6票，占比25%，不是很了解8票，占比33%；从未听说过1票，占比4%。整体宣传效果有进一步提升空间。</w:t>
            </w:r>
          </w:p>
        </w:tc>
      </w:tr>
      <w:tr w:rsidR="004032E0">
        <w:trPr>
          <w:trHeight w:val="496"/>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vMerge/>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乡村振兴建设项目开工率（4分）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达到或超过目标的得100%，未达到目标值的，（完成数量/目标数量）*100%。</w:t>
            </w:r>
            <w:r>
              <w:rPr>
                <w:rFonts w:ascii="宋体" w:eastAsia="宋体" w:hAnsi="宋体" w:cs="宋体" w:hint="eastAsia"/>
                <w:color w:val="000000"/>
                <w:kern w:val="0"/>
                <w:sz w:val="22"/>
                <w:szCs w:val="22"/>
              </w:rPr>
              <w:br/>
              <w:t>A.100%-90%（含） 4分；</w:t>
            </w:r>
            <w:r>
              <w:rPr>
                <w:rFonts w:ascii="宋体" w:eastAsia="宋体" w:hAnsi="宋体" w:cs="宋体" w:hint="eastAsia"/>
                <w:color w:val="000000"/>
                <w:kern w:val="0"/>
                <w:sz w:val="22"/>
                <w:szCs w:val="22"/>
              </w:rPr>
              <w:br/>
              <w:t>B.90%（不含）-80%(含） 2.5分；</w:t>
            </w:r>
            <w:r>
              <w:rPr>
                <w:rFonts w:ascii="宋体" w:eastAsia="宋体" w:hAnsi="宋体" w:cs="宋体" w:hint="eastAsia"/>
                <w:color w:val="000000"/>
                <w:kern w:val="0"/>
                <w:sz w:val="22"/>
                <w:szCs w:val="22"/>
              </w:rPr>
              <w:br/>
              <w:t>C.80%（不含）-65%(含） 1分；</w:t>
            </w:r>
            <w:r>
              <w:rPr>
                <w:rFonts w:ascii="宋体" w:eastAsia="宋体" w:hAnsi="宋体" w:cs="宋体" w:hint="eastAsia"/>
                <w:color w:val="000000"/>
                <w:kern w:val="0"/>
                <w:sz w:val="22"/>
                <w:szCs w:val="22"/>
              </w:rPr>
              <w:br/>
            </w:r>
            <w:r>
              <w:rPr>
                <w:rFonts w:ascii="宋体" w:eastAsia="宋体" w:hAnsi="宋体" w:cs="宋体" w:hint="eastAsia"/>
                <w:color w:val="000000"/>
                <w:kern w:val="0"/>
                <w:sz w:val="22"/>
                <w:szCs w:val="22"/>
              </w:rPr>
              <w:lastRenderedPageBreak/>
              <w:t>C.65%以下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4</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年初目标建设乡村振兴项目450个，实际已全部完成，完成目标值的100%。</w:t>
            </w:r>
          </w:p>
        </w:tc>
      </w:tr>
      <w:tr w:rsidR="004032E0">
        <w:trPr>
          <w:trHeight w:val="1299"/>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产出质量（5分）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示范典型村完成率（5分）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达到或超过目标的得100%，未达到目标值的，（完成数量/目标数量）*100%。</w:t>
            </w:r>
            <w:r>
              <w:rPr>
                <w:rFonts w:ascii="宋体" w:eastAsia="宋体" w:hAnsi="宋体" w:cs="宋体" w:hint="eastAsia"/>
                <w:color w:val="000000"/>
                <w:kern w:val="0"/>
                <w:sz w:val="22"/>
                <w:szCs w:val="22"/>
              </w:rPr>
              <w:br/>
              <w:t>A.100%-90%（含） 5分；</w:t>
            </w:r>
            <w:r>
              <w:rPr>
                <w:rFonts w:ascii="宋体" w:eastAsia="宋体" w:hAnsi="宋体" w:cs="宋体" w:hint="eastAsia"/>
                <w:color w:val="000000"/>
                <w:kern w:val="0"/>
                <w:sz w:val="22"/>
                <w:szCs w:val="22"/>
              </w:rPr>
              <w:br/>
              <w:t>B.90%（不含）-80%(含） 3.5分；</w:t>
            </w:r>
            <w:r>
              <w:rPr>
                <w:rFonts w:ascii="宋体" w:eastAsia="宋体" w:hAnsi="宋体" w:cs="宋体" w:hint="eastAsia"/>
                <w:color w:val="000000"/>
                <w:kern w:val="0"/>
                <w:sz w:val="22"/>
                <w:szCs w:val="22"/>
              </w:rPr>
              <w:br/>
              <w:t>C.80%（不含）-65%(含） 2分；</w:t>
            </w:r>
            <w:r>
              <w:rPr>
                <w:rFonts w:ascii="宋体" w:eastAsia="宋体" w:hAnsi="宋体" w:cs="宋体" w:hint="eastAsia"/>
                <w:color w:val="000000"/>
                <w:kern w:val="0"/>
                <w:sz w:val="22"/>
                <w:szCs w:val="22"/>
              </w:rPr>
              <w:br/>
              <w:t>C.65%以下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spacing w:line="360" w:lineRule="auto"/>
              <w:rPr>
                <w:rFonts w:ascii="宋体" w:eastAsia="宋体" w:hAnsi="宋体" w:cs="宋体"/>
                <w:color w:val="000000"/>
                <w:sz w:val="22"/>
                <w:szCs w:val="22"/>
              </w:rPr>
            </w:pPr>
            <w:r>
              <w:rPr>
                <w:rFonts w:ascii="宋体" w:eastAsia="宋体" w:hAnsi="宋体" w:cs="宋体" w:hint="eastAsia"/>
                <w:sz w:val="22"/>
                <w:szCs w:val="22"/>
              </w:rPr>
              <w:t>根据泉州晚报报道以及查阅《泉州市乡村振兴典型范例及乡村画册》，2019年度泉州市培育12个典型示范村，打造“微景观大格局 助力乡村振兴”“全域推进 全面提升 全境美丽”“一个集体经济薄弱村的‘百万生意经’”“抢抓机遇 善作善成 建设‘大美 尚善 活力 安康’田底村”“建设生态宜居乡村 打造乡村振兴样板”“丰美燎原”“活态传承文化 发展特色旅游”共7个典型范例，产出质量指标突出。</w:t>
            </w:r>
          </w:p>
        </w:tc>
      </w:tr>
      <w:tr w:rsidR="004032E0">
        <w:trPr>
          <w:trHeight w:val="88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产出时效（3分）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资金下达及时率</w:t>
            </w:r>
          </w:p>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规定时间内完成，则计满分；规定时间内未完成，在资金保障年度内，每超过1个月，扣1分，扣完为止。</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本项目资金按计划如期下达，资金下达及时率100%。</w:t>
            </w:r>
          </w:p>
        </w:tc>
      </w:tr>
      <w:tr w:rsidR="004032E0">
        <w:trPr>
          <w:trHeight w:val="840"/>
        </w:trPr>
        <w:tc>
          <w:tcPr>
            <w:tcW w:w="302" w:type="pct"/>
            <w:vMerge w:val="restar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效益</w:t>
            </w:r>
            <w:r>
              <w:rPr>
                <w:rFonts w:ascii="宋体" w:eastAsia="宋体" w:hAnsi="宋体" w:cs="宋体" w:hint="eastAsia"/>
                <w:color w:val="000000"/>
                <w:kern w:val="0"/>
                <w:sz w:val="22"/>
                <w:szCs w:val="22"/>
              </w:rPr>
              <w:br/>
              <w:t>（28分）</w:t>
            </w: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社会效益（5分）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乡村振兴社会氛围</w:t>
            </w:r>
            <w:r>
              <w:rPr>
                <w:rFonts w:ascii="宋体" w:eastAsia="宋体" w:hAnsi="宋体" w:cs="宋体" w:hint="eastAsia"/>
                <w:color w:val="000000"/>
                <w:kern w:val="0"/>
                <w:sz w:val="22"/>
                <w:szCs w:val="22"/>
              </w:rPr>
              <w:br/>
              <w:t>（5分）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numPr>
                <w:ilvl w:val="0"/>
                <w:numId w:val="3"/>
              </w:numPr>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良好 5分；</w:t>
            </w:r>
            <w:r>
              <w:rPr>
                <w:rFonts w:ascii="宋体" w:eastAsia="宋体" w:hAnsi="宋体" w:cs="宋体" w:hint="eastAsia"/>
                <w:color w:val="000000"/>
                <w:kern w:val="0"/>
                <w:sz w:val="22"/>
                <w:szCs w:val="22"/>
              </w:rPr>
              <w:br/>
              <w:t>B.一般 2.5分；</w:t>
            </w:r>
            <w:r>
              <w:rPr>
                <w:rFonts w:ascii="宋体" w:eastAsia="宋体" w:hAnsi="宋体" w:cs="宋体" w:hint="eastAsia"/>
                <w:color w:val="000000"/>
                <w:kern w:val="0"/>
                <w:sz w:val="22"/>
                <w:szCs w:val="22"/>
              </w:rPr>
              <w:br/>
              <w:t>C.效果不明显 0分。</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2019年度吸引市级媒体宣传报道64篇，营造了乡村振兴的良好氛围。</w:t>
            </w:r>
          </w:p>
        </w:tc>
      </w:tr>
      <w:tr w:rsidR="004032E0">
        <w:trPr>
          <w:trHeight w:val="479"/>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环境生态</w:t>
            </w:r>
            <w:r>
              <w:rPr>
                <w:rFonts w:ascii="宋体" w:eastAsia="宋体" w:hAnsi="宋体" w:cs="宋体" w:hint="eastAsia"/>
                <w:color w:val="000000"/>
                <w:kern w:val="0"/>
                <w:sz w:val="22"/>
                <w:szCs w:val="22"/>
              </w:rPr>
              <w:lastRenderedPageBreak/>
              <w:t>效益</w:t>
            </w:r>
          </w:p>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（5分）</w:t>
            </w:r>
          </w:p>
        </w:tc>
        <w:tc>
          <w:tcPr>
            <w:tcW w:w="557" w:type="pct"/>
            <w:tcBorders>
              <w:top w:val="single" w:sz="8" w:space="0" w:color="4F81BD"/>
              <w:left w:val="single" w:sz="8" w:space="0" w:color="4F81BD"/>
              <w:bottom w:val="single" w:sz="8" w:space="0" w:color="4F81BD"/>
              <w:right w:val="dotted" w:sz="0"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农村人居环境宜</w:t>
            </w:r>
            <w:r>
              <w:rPr>
                <w:rFonts w:ascii="宋体" w:eastAsia="宋体" w:hAnsi="宋体" w:cs="宋体" w:hint="eastAsia"/>
                <w:color w:val="000000"/>
                <w:kern w:val="0"/>
                <w:sz w:val="22"/>
                <w:szCs w:val="22"/>
              </w:rPr>
              <w:lastRenderedPageBreak/>
              <w:t>居度（5分）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numPr>
                <w:ilvl w:val="0"/>
                <w:numId w:val="4"/>
              </w:numPr>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非常满意 5分；</w:t>
            </w:r>
            <w:r>
              <w:rPr>
                <w:rFonts w:ascii="宋体" w:eastAsia="宋体" w:hAnsi="宋体" w:cs="宋体" w:hint="eastAsia"/>
                <w:color w:val="000000"/>
                <w:kern w:val="0"/>
                <w:sz w:val="22"/>
                <w:szCs w:val="22"/>
              </w:rPr>
              <w:br/>
            </w:r>
            <w:r>
              <w:rPr>
                <w:rFonts w:ascii="宋体" w:eastAsia="宋体" w:hAnsi="宋体" w:cs="宋体" w:hint="eastAsia"/>
                <w:color w:val="000000"/>
                <w:kern w:val="0"/>
                <w:sz w:val="22"/>
                <w:szCs w:val="22"/>
              </w:rPr>
              <w:lastRenderedPageBreak/>
              <w:t>B.比较满意 3.5分；</w:t>
            </w:r>
            <w:r>
              <w:rPr>
                <w:rFonts w:ascii="宋体" w:eastAsia="宋体" w:hAnsi="宋体" w:cs="宋体" w:hint="eastAsia"/>
                <w:color w:val="000000"/>
                <w:kern w:val="0"/>
                <w:sz w:val="22"/>
                <w:szCs w:val="22"/>
              </w:rPr>
              <w:br/>
              <w:t>C.一般 2分；</w:t>
            </w:r>
            <w:r>
              <w:rPr>
                <w:rFonts w:ascii="宋体" w:eastAsia="宋体" w:hAnsi="宋体" w:cs="宋体" w:hint="eastAsia"/>
                <w:color w:val="000000"/>
                <w:kern w:val="0"/>
                <w:sz w:val="22"/>
                <w:szCs w:val="22"/>
              </w:rPr>
              <w:br/>
              <w:t>C.不满意 0分。</w:t>
            </w:r>
          </w:p>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调研情况占比乘以对应分值。</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3.26</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通过对24位村民的问卷调查：满意4人，占比17%；比</w:t>
            </w:r>
            <w:r>
              <w:rPr>
                <w:rFonts w:ascii="宋体" w:eastAsia="宋体" w:hAnsi="宋体" w:cs="宋体" w:hint="eastAsia"/>
                <w:color w:val="000000"/>
                <w:kern w:val="0"/>
                <w:sz w:val="22"/>
                <w:szCs w:val="22"/>
              </w:rPr>
              <w:lastRenderedPageBreak/>
              <w:t>较满意12人，占比50%；一般8人，占比33%。</w:t>
            </w:r>
          </w:p>
        </w:tc>
      </w:tr>
      <w:tr w:rsidR="004032E0">
        <w:trPr>
          <w:trHeight w:val="840"/>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经济效益（5分）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乡村经济改善情况（5分）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对推动乡村经济发展的影响。</w:t>
            </w:r>
            <w:r>
              <w:rPr>
                <w:rFonts w:ascii="宋体" w:eastAsia="宋体" w:hAnsi="宋体" w:cs="宋体" w:hint="eastAsia"/>
                <w:color w:val="000000"/>
                <w:kern w:val="0"/>
                <w:sz w:val="22"/>
                <w:szCs w:val="22"/>
              </w:rPr>
              <w:br/>
              <w:t>A.有改善 5分；</w:t>
            </w:r>
            <w:r>
              <w:rPr>
                <w:rFonts w:ascii="宋体" w:eastAsia="宋体" w:hAnsi="宋体" w:cs="宋体" w:hint="eastAsia"/>
                <w:color w:val="000000"/>
                <w:kern w:val="0"/>
                <w:sz w:val="22"/>
                <w:szCs w:val="22"/>
              </w:rPr>
              <w:br/>
              <w:t>B.未改善 0分。</w:t>
            </w:r>
          </w:p>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调研情况占比乘以对应分值。</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通过对泉州市2018年-2019年村集体经济收入情况对比分析，2019年村集体经济收入呈上升趋势。乡村振兴的实施，有效推动了乡村经济的发展，经济效益指标突出。</w:t>
            </w:r>
          </w:p>
        </w:tc>
      </w:tr>
      <w:tr w:rsidR="004032E0">
        <w:trPr>
          <w:trHeight w:val="274"/>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可持续影响效</w:t>
            </w:r>
          </w:p>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村居整体改善情况（5分）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反映对推动农村全面进步的影响。</w:t>
            </w:r>
            <w:r>
              <w:rPr>
                <w:rFonts w:ascii="宋体" w:eastAsia="宋体" w:hAnsi="宋体" w:cs="宋体" w:hint="eastAsia"/>
                <w:color w:val="000000"/>
                <w:kern w:val="0"/>
                <w:sz w:val="22"/>
                <w:szCs w:val="22"/>
              </w:rPr>
              <w:br/>
              <w:t>A.有改善 5分；</w:t>
            </w:r>
            <w:r>
              <w:rPr>
                <w:rFonts w:ascii="宋体" w:eastAsia="宋体" w:hAnsi="宋体" w:cs="宋体" w:hint="eastAsia"/>
                <w:color w:val="000000"/>
                <w:kern w:val="0"/>
                <w:sz w:val="22"/>
                <w:szCs w:val="22"/>
              </w:rPr>
              <w:br/>
              <w:t>B.未改善 0分。</w:t>
            </w:r>
          </w:p>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调研情况占比乘以对应分值。</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根据2018年和2019年村集体经济收入情况对比分析以及对24位村民的问卷调查，本项目的实施在乡村生活水平、基础设施、人居环境、乡村经济、居民素质方面有了一定的变化和改善，有效的推动了农村全面进步，本项目的可持续影响显著。</w:t>
            </w:r>
          </w:p>
        </w:tc>
      </w:tr>
      <w:tr w:rsidR="004032E0">
        <w:trPr>
          <w:trHeight w:val="482"/>
        </w:trPr>
        <w:tc>
          <w:tcPr>
            <w:tcW w:w="302" w:type="pct"/>
            <w:vMerge/>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4032E0">
            <w:pPr>
              <w:spacing w:line="360" w:lineRule="auto"/>
              <w:jc w:val="center"/>
              <w:rPr>
                <w:rFonts w:ascii="宋体" w:eastAsia="宋体" w:hAnsi="宋体" w:cs="宋体"/>
                <w:color w:val="000000"/>
                <w:sz w:val="22"/>
                <w:szCs w:val="22"/>
              </w:rPr>
            </w:pPr>
          </w:p>
        </w:tc>
        <w:tc>
          <w:tcPr>
            <w:tcW w:w="312" w:type="pct"/>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spacing w:line="360" w:lineRule="auto"/>
              <w:jc w:val="center"/>
              <w:rPr>
                <w:rFonts w:ascii="宋体" w:eastAsia="宋体" w:hAnsi="宋体" w:cs="宋体"/>
                <w:color w:val="000000"/>
                <w:sz w:val="22"/>
                <w:szCs w:val="22"/>
              </w:rPr>
            </w:pPr>
            <w:r>
              <w:rPr>
                <w:rFonts w:ascii="宋体" w:eastAsia="宋体" w:hAnsi="宋体" w:cs="宋体" w:hint="eastAsia"/>
                <w:color w:val="000000"/>
                <w:kern w:val="0"/>
                <w:sz w:val="22"/>
                <w:szCs w:val="22"/>
              </w:rPr>
              <w:t>服务对象满意度（8分）</w:t>
            </w:r>
          </w:p>
        </w:tc>
        <w:tc>
          <w:tcPr>
            <w:tcW w:w="557" w:type="pct"/>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试点村村民整体满意度（8分）</w:t>
            </w:r>
          </w:p>
        </w:tc>
        <w:tc>
          <w:tcPr>
            <w:tcW w:w="1679"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numPr>
                <w:ilvl w:val="0"/>
                <w:numId w:val="5"/>
              </w:numPr>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非常满意 8分；</w:t>
            </w:r>
            <w:r>
              <w:rPr>
                <w:rFonts w:ascii="宋体" w:eastAsia="宋体" w:hAnsi="宋体" w:cs="宋体" w:hint="eastAsia"/>
                <w:color w:val="000000"/>
                <w:kern w:val="0"/>
                <w:sz w:val="22"/>
                <w:szCs w:val="22"/>
              </w:rPr>
              <w:br/>
              <w:t>B.比较满意 6分；</w:t>
            </w:r>
            <w:r>
              <w:rPr>
                <w:rFonts w:ascii="宋体" w:eastAsia="宋体" w:hAnsi="宋体" w:cs="宋体" w:hint="eastAsia"/>
                <w:color w:val="000000"/>
                <w:kern w:val="0"/>
                <w:sz w:val="22"/>
                <w:szCs w:val="22"/>
              </w:rPr>
              <w:br/>
              <w:t>C.一般 4分；</w:t>
            </w:r>
            <w:r>
              <w:rPr>
                <w:rFonts w:ascii="宋体" w:eastAsia="宋体" w:hAnsi="宋体" w:cs="宋体" w:hint="eastAsia"/>
                <w:color w:val="000000"/>
                <w:kern w:val="0"/>
                <w:sz w:val="22"/>
                <w:szCs w:val="22"/>
              </w:rPr>
              <w:br/>
              <w:t>C.不满意 0分。</w:t>
            </w:r>
          </w:p>
          <w:p w:rsidR="004032E0" w:rsidRDefault="00E86E11">
            <w:pPr>
              <w:widowControl/>
              <w:spacing w:line="360" w:lineRule="auto"/>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调研情况占比乘以对应分值。</w:t>
            </w:r>
          </w:p>
        </w:tc>
        <w:tc>
          <w:tcPr>
            <w:tcW w:w="291" w:type="pct"/>
            <w:tcBorders>
              <w:top w:val="single" w:sz="8" w:space="0" w:color="4F81BD"/>
              <w:left w:val="dotted" w:sz="4" w:space="0" w:color="auto"/>
              <w:bottom w:val="single" w:sz="8" w:space="0" w:color="4F81BD"/>
              <w:right w:val="dotted" w:sz="4" w:space="0" w:color="auto"/>
            </w:tcBorders>
            <w:shd w:val="clear" w:color="auto" w:fill="FFFFFF"/>
            <w:noWrap/>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5.1</w:t>
            </w:r>
          </w:p>
        </w:tc>
        <w:tc>
          <w:tcPr>
            <w:tcW w:w="1856" w:type="pct"/>
            <w:tcBorders>
              <w:top w:val="single" w:sz="8" w:space="0" w:color="4F81BD"/>
              <w:left w:val="dotted" w:sz="4" w:space="0" w:color="auto"/>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通过对24位村民的问卷调查：满意4人，占比17%；比较满意7人，占比29%；一般12人，占比50%，不满意1人，占比4%。实施整体效果满意度有待进一步加强。</w:t>
            </w:r>
          </w:p>
        </w:tc>
      </w:tr>
      <w:tr w:rsidR="004032E0">
        <w:trPr>
          <w:trHeight w:val="600"/>
        </w:trPr>
        <w:tc>
          <w:tcPr>
            <w:tcW w:w="1172" w:type="pct"/>
            <w:gridSpan w:val="3"/>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lastRenderedPageBreak/>
              <w:t>总分（100分）</w:t>
            </w:r>
          </w:p>
        </w:tc>
        <w:tc>
          <w:tcPr>
            <w:tcW w:w="3827" w:type="pct"/>
            <w:gridSpan w:val="3"/>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85.92</w:t>
            </w:r>
          </w:p>
        </w:tc>
      </w:tr>
      <w:tr w:rsidR="004032E0">
        <w:trPr>
          <w:trHeight w:val="560"/>
        </w:trPr>
        <w:tc>
          <w:tcPr>
            <w:tcW w:w="1172" w:type="pct"/>
            <w:gridSpan w:val="3"/>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项目评价等级</w:t>
            </w:r>
          </w:p>
        </w:tc>
        <w:tc>
          <w:tcPr>
            <w:tcW w:w="3827" w:type="pct"/>
            <w:gridSpan w:val="3"/>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□优秀         ☑良         □中         □差</w:t>
            </w:r>
          </w:p>
        </w:tc>
      </w:tr>
      <w:tr w:rsidR="004032E0">
        <w:trPr>
          <w:trHeight w:val="420"/>
        </w:trPr>
        <w:tc>
          <w:tcPr>
            <w:tcW w:w="1172" w:type="pct"/>
            <w:gridSpan w:val="3"/>
            <w:tcBorders>
              <w:top w:val="single" w:sz="8" w:space="0" w:color="4F81BD"/>
              <w:left w:val="single" w:sz="8" w:space="0" w:color="4F81BD"/>
              <w:bottom w:val="single" w:sz="8" w:space="0" w:color="4F81BD"/>
              <w:right w:val="dotted" w:sz="4" w:space="0" w:color="auto"/>
            </w:tcBorders>
            <w:shd w:val="clear" w:color="auto" w:fill="FFFFFF"/>
            <w:tcMar>
              <w:top w:w="10" w:type="dxa"/>
              <w:left w:w="10" w:type="dxa"/>
              <w:right w:w="10" w:type="dxa"/>
            </w:tcMar>
            <w:vAlign w:val="center"/>
          </w:tcPr>
          <w:p w:rsidR="004032E0" w:rsidRDefault="00E86E11">
            <w:pPr>
              <w:widowControl/>
              <w:spacing w:line="360" w:lineRule="auto"/>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备注</w:t>
            </w:r>
          </w:p>
        </w:tc>
        <w:tc>
          <w:tcPr>
            <w:tcW w:w="3827" w:type="pct"/>
            <w:gridSpan w:val="3"/>
            <w:tcBorders>
              <w:top w:val="single" w:sz="8" w:space="0" w:color="4F81BD"/>
              <w:left w:val="dotted" w:sz="4" w:space="0" w:color="auto"/>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spacing w:line="360" w:lineRule="auto"/>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分数S：S≥90 优秀；90＞S≥80 良；80＞S≥60 中；S＜60差。</w:t>
            </w:r>
          </w:p>
        </w:tc>
      </w:tr>
    </w:tbl>
    <w:p w:rsidR="004032E0" w:rsidRDefault="004032E0">
      <w:pPr>
        <w:spacing w:line="360" w:lineRule="auto"/>
        <w:jc w:val="left"/>
        <w:rPr>
          <w:rFonts w:ascii="黑体" w:eastAsia="黑体" w:hAnsi="黑体" w:cs="黑体"/>
          <w:szCs w:val="30"/>
        </w:rPr>
        <w:sectPr w:rsidR="004032E0">
          <w:footerReference w:type="default" r:id="rId15"/>
          <w:footnotePr>
            <w:numFmt w:val="decimalEnclosedCircleChinese"/>
          </w:footnotePr>
          <w:pgSz w:w="16838" w:h="11906" w:orient="landscape"/>
          <w:pgMar w:top="1797" w:right="1134" w:bottom="1797" w:left="1134" w:header="851" w:footer="992" w:gutter="0"/>
          <w:cols w:space="720"/>
          <w:docGrid w:type="lines" w:linePitch="319"/>
        </w:sectPr>
      </w:pPr>
    </w:p>
    <w:p w:rsidR="004032E0" w:rsidRDefault="00E86E11" w:rsidP="00170380">
      <w:pPr>
        <w:pStyle w:val="3"/>
        <w:spacing w:before="81" w:after="81"/>
        <w:rPr>
          <w:rFonts w:ascii="黑体" w:eastAsia="黑体" w:hAnsi="黑体" w:cs="黑体"/>
          <w:sz w:val="30"/>
          <w:szCs w:val="30"/>
        </w:rPr>
      </w:pPr>
      <w:bookmarkStart w:id="148" w:name="_Toc7114"/>
      <w:bookmarkStart w:id="149" w:name="_Toc17732"/>
      <w:r>
        <w:rPr>
          <w:rFonts w:hint="eastAsia"/>
        </w:rPr>
        <w:lastRenderedPageBreak/>
        <w:t>附件</w:t>
      </w:r>
      <w:r>
        <w:rPr>
          <w:rFonts w:hint="eastAsia"/>
        </w:rPr>
        <w:t xml:space="preserve">2                </w:t>
      </w:r>
      <w:r>
        <w:rPr>
          <w:rFonts w:hint="eastAsia"/>
        </w:rPr>
        <w:t>问卷调查统计表</w:t>
      </w:r>
      <w:bookmarkEnd w:id="148"/>
      <w:bookmarkEnd w:id="149"/>
    </w:p>
    <w:p w:rsidR="004032E0" w:rsidRDefault="00E86E11">
      <w:pPr>
        <w:spacing w:line="360" w:lineRule="auto"/>
        <w:rPr>
          <w:sz w:val="28"/>
          <w:szCs w:val="28"/>
        </w:rPr>
      </w:pPr>
      <w:r>
        <w:rPr>
          <w:rFonts w:hint="eastAsia"/>
          <w:sz w:val="28"/>
          <w:szCs w:val="28"/>
        </w:rPr>
        <w:t>项目名称：</w:t>
      </w:r>
      <w:r>
        <w:rPr>
          <w:rFonts w:hint="eastAsia"/>
          <w:sz w:val="28"/>
          <w:szCs w:val="28"/>
          <w:u w:val="single"/>
        </w:rPr>
        <w:t>《乡村振兴专项资金》绩效评价项目</w:t>
      </w:r>
    </w:p>
    <w:p w:rsidR="004032E0" w:rsidRDefault="00E86E11">
      <w:pPr>
        <w:spacing w:line="360" w:lineRule="auto"/>
        <w:rPr>
          <w:sz w:val="28"/>
          <w:szCs w:val="28"/>
          <w:u w:val="single"/>
        </w:rPr>
      </w:pPr>
      <w:r>
        <w:rPr>
          <w:rFonts w:hint="eastAsia"/>
          <w:sz w:val="28"/>
          <w:szCs w:val="28"/>
        </w:rPr>
        <w:t>调查问卷对象：</w:t>
      </w:r>
      <w:r>
        <w:rPr>
          <w:rFonts w:hint="eastAsia"/>
          <w:sz w:val="28"/>
          <w:szCs w:val="28"/>
          <w:u w:val="single"/>
        </w:rPr>
        <w:t>乡村振兴试点村村民</w:t>
      </w:r>
    </w:p>
    <w:p w:rsidR="004032E0" w:rsidRDefault="00E86E11">
      <w:pPr>
        <w:spacing w:line="360" w:lineRule="auto"/>
        <w:rPr>
          <w:sz w:val="28"/>
          <w:szCs w:val="28"/>
          <w:u w:val="single"/>
        </w:rPr>
      </w:pPr>
      <w:r>
        <w:rPr>
          <w:sz w:val="28"/>
          <w:szCs w:val="28"/>
        </w:rPr>
        <w:t>发放问卷</w:t>
      </w:r>
      <w:r>
        <w:rPr>
          <w:rFonts w:hint="eastAsia"/>
          <w:sz w:val="28"/>
          <w:szCs w:val="28"/>
        </w:rPr>
        <w:t>：</w:t>
      </w:r>
      <w:r>
        <w:rPr>
          <w:rFonts w:hint="eastAsia"/>
          <w:sz w:val="28"/>
          <w:szCs w:val="28"/>
          <w:u w:val="single"/>
        </w:rPr>
        <w:t>24</w:t>
      </w:r>
      <w:r>
        <w:rPr>
          <w:sz w:val="28"/>
          <w:szCs w:val="28"/>
        </w:rPr>
        <w:t>份</w:t>
      </w:r>
      <w:r>
        <w:rPr>
          <w:sz w:val="28"/>
          <w:szCs w:val="28"/>
        </w:rPr>
        <w:t xml:space="preserve">  </w:t>
      </w:r>
      <w:r>
        <w:rPr>
          <w:sz w:val="28"/>
          <w:szCs w:val="28"/>
        </w:rPr>
        <w:t>回收问卷</w:t>
      </w:r>
      <w:r>
        <w:rPr>
          <w:rFonts w:hint="eastAsia"/>
          <w:sz w:val="28"/>
          <w:szCs w:val="28"/>
        </w:rPr>
        <w:t>：</w:t>
      </w:r>
      <w:r>
        <w:rPr>
          <w:rFonts w:hint="eastAsia"/>
          <w:sz w:val="28"/>
          <w:szCs w:val="28"/>
          <w:u w:val="single"/>
        </w:rPr>
        <w:t>24</w:t>
      </w:r>
      <w:r>
        <w:rPr>
          <w:sz w:val="28"/>
          <w:szCs w:val="28"/>
        </w:rPr>
        <w:t>份</w:t>
      </w:r>
      <w:r>
        <w:rPr>
          <w:sz w:val="28"/>
          <w:szCs w:val="28"/>
        </w:rPr>
        <w:t xml:space="preserve">  </w:t>
      </w:r>
      <w:r>
        <w:rPr>
          <w:sz w:val="28"/>
          <w:szCs w:val="28"/>
        </w:rPr>
        <w:t>问卷回收率</w:t>
      </w:r>
      <w:r>
        <w:rPr>
          <w:rFonts w:hint="eastAsia"/>
          <w:sz w:val="28"/>
          <w:szCs w:val="28"/>
        </w:rPr>
        <w:t>：</w:t>
      </w:r>
      <w:r>
        <w:rPr>
          <w:sz w:val="28"/>
          <w:szCs w:val="28"/>
          <w:u w:val="single"/>
        </w:rPr>
        <w:t>100%</w:t>
      </w:r>
    </w:p>
    <w:tbl>
      <w:tblPr>
        <w:tblW w:w="4999" w:type="pct"/>
        <w:tblCellMar>
          <w:left w:w="0" w:type="dxa"/>
          <w:right w:w="0" w:type="dxa"/>
        </w:tblCellMar>
        <w:tblLook w:val="04A0"/>
      </w:tblPr>
      <w:tblGrid>
        <w:gridCol w:w="3017"/>
        <w:gridCol w:w="3832"/>
        <w:gridCol w:w="925"/>
        <w:gridCol w:w="1088"/>
      </w:tblGrid>
      <w:tr w:rsidR="004032E0">
        <w:trPr>
          <w:trHeight w:val="365"/>
        </w:trPr>
        <w:tc>
          <w:tcPr>
            <w:tcW w:w="3864" w:type="pct"/>
            <w:gridSpan w:val="2"/>
            <w:tcBorders>
              <w:top w:val="single" w:sz="8" w:space="0" w:color="4F81BD"/>
              <w:left w:val="single" w:sz="8" w:space="0" w:color="4F81BD"/>
              <w:bottom w:val="nil"/>
              <w:right w:val="single" w:sz="8" w:space="0" w:color="4F81BD"/>
            </w:tcBorders>
            <w:shd w:val="clear" w:color="auto" w:fill="2E75B5"/>
            <w:tcMar>
              <w:top w:w="10" w:type="dxa"/>
              <w:left w:w="10" w:type="dxa"/>
              <w:right w:w="10" w:type="dxa"/>
            </w:tcMar>
            <w:vAlign w:val="center"/>
          </w:tcPr>
          <w:p w:rsidR="004032E0" w:rsidRDefault="00E86E11">
            <w:pPr>
              <w:widowControl/>
              <w:jc w:val="center"/>
              <w:textAlignment w:val="center"/>
              <w:rPr>
                <w:rFonts w:ascii="仿宋_GB2312" w:hAnsi="宋体" w:cs="仿宋_GB2312"/>
                <w:b/>
                <w:color w:val="FFFFFF"/>
                <w:sz w:val="28"/>
                <w:szCs w:val="28"/>
              </w:rPr>
            </w:pPr>
            <w:r>
              <w:rPr>
                <w:rFonts w:ascii="仿宋_GB2312" w:hAnsi="宋体" w:cs="仿宋_GB2312" w:hint="eastAsia"/>
                <w:b/>
                <w:noProof/>
                <w:color w:val="FFFFFF"/>
                <w:kern w:val="0"/>
                <w:sz w:val="28"/>
                <w:szCs w:val="28"/>
                <w:bdr w:val="single" w:sz="8" w:space="0" w:color="4F81BD"/>
                <w:shd w:val="clear" w:color="auto" w:fill="2E75B5"/>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4178300" cy="755650"/>
                  <wp:effectExtent l="0" t="0" r="0" b="6350"/>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16"/>
                          <a:stretch>
                            <a:fillRect/>
                          </a:stretch>
                        </pic:blipFill>
                        <pic:spPr>
                          <a:xfrm>
                            <a:off x="0" y="0"/>
                            <a:ext cx="4178300" cy="755650"/>
                          </a:xfrm>
                          <a:prstGeom prst="rect">
                            <a:avLst/>
                          </a:prstGeom>
                          <a:noFill/>
                          <a:ln>
                            <a:noFill/>
                          </a:ln>
                        </pic:spPr>
                      </pic:pic>
                    </a:graphicData>
                  </a:graphic>
                </wp:anchor>
              </w:drawing>
            </w:r>
            <w:r>
              <w:rPr>
                <w:rFonts w:ascii="仿宋_GB2312" w:hAnsi="宋体" w:cs="仿宋_GB2312" w:hint="eastAsia"/>
                <w:b/>
                <w:color w:val="FFFFFF"/>
                <w:kern w:val="0"/>
                <w:sz w:val="28"/>
                <w:szCs w:val="28"/>
              </w:rPr>
              <w:t xml:space="preserve">                                统  计</w:t>
            </w:r>
          </w:p>
        </w:tc>
        <w:tc>
          <w:tcPr>
            <w:tcW w:w="522" w:type="pct"/>
            <w:vMerge w:val="restart"/>
            <w:tcBorders>
              <w:top w:val="single" w:sz="8" w:space="0" w:color="4F81BD"/>
              <w:left w:val="nil"/>
              <w:bottom w:val="single" w:sz="8" w:space="0" w:color="4F81BD"/>
              <w:right w:val="dotted" w:sz="4" w:space="0" w:color="000000"/>
            </w:tcBorders>
            <w:shd w:val="clear" w:color="auto" w:fill="2E75B5"/>
            <w:tcMar>
              <w:top w:w="10" w:type="dxa"/>
              <w:left w:w="10" w:type="dxa"/>
              <w:right w:w="10" w:type="dxa"/>
            </w:tcMar>
            <w:vAlign w:val="center"/>
          </w:tcPr>
          <w:p w:rsidR="004032E0" w:rsidRDefault="00E86E11">
            <w:pPr>
              <w:widowControl/>
              <w:jc w:val="center"/>
              <w:textAlignment w:val="center"/>
              <w:rPr>
                <w:rFonts w:ascii="仿宋_GB2312" w:hAnsi="宋体" w:cs="仿宋_GB2312"/>
                <w:b/>
                <w:color w:val="FFFFFF"/>
                <w:sz w:val="28"/>
                <w:szCs w:val="28"/>
              </w:rPr>
            </w:pPr>
            <w:r>
              <w:rPr>
                <w:rFonts w:ascii="仿宋_GB2312" w:hAnsi="宋体" w:cs="仿宋_GB2312" w:hint="eastAsia"/>
                <w:b/>
                <w:color w:val="FFFFFF"/>
                <w:kern w:val="0"/>
                <w:sz w:val="28"/>
                <w:szCs w:val="28"/>
              </w:rPr>
              <w:t>票 数</w:t>
            </w:r>
          </w:p>
        </w:tc>
        <w:tc>
          <w:tcPr>
            <w:tcW w:w="612" w:type="pct"/>
            <w:tcBorders>
              <w:top w:val="single" w:sz="8" w:space="0" w:color="4F81BD"/>
              <w:left w:val="nil"/>
              <w:bottom w:val="single" w:sz="8" w:space="0" w:color="4F81BD"/>
              <w:right w:val="dotted" w:sz="4" w:space="0" w:color="000000"/>
            </w:tcBorders>
            <w:shd w:val="clear" w:color="auto" w:fill="2E75B5"/>
            <w:tcMar>
              <w:top w:w="10" w:type="dxa"/>
              <w:left w:w="10" w:type="dxa"/>
              <w:right w:w="10" w:type="dxa"/>
            </w:tcMar>
            <w:vAlign w:val="center"/>
          </w:tcPr>
          <w:p w:rsidR="004032E0" w:rsidRDefault="00E86E11">
            <w:pPr>
              <w:widowControl/>
              <w:jc w:val="center"/>
              <w:textAlignment w:val="center"/>
              <w:rPr>
                <w:rFonts w:ascii="仿宋_GB2312" w:hAnsi="宋体" w:cs="仿宋_GB2312"/>
                <w:b/>
                <w:color w:val="FFFFFF"/>
                <w:sz w:val="28"/>
                <w:szCs w:val="28"/>
              </w:rPr>
            </w:pPr>
            <w:r>
              <w:rPr>
                <w:rFonts w:ascii="仿宋_GB2312" w:hAnsi="宋体" w:cs="仿宋_GB2312" w:hint="eastAsia"/>
                <w:b/>
                <w:color w:val="FFFFFF"/>
                <w:kern w:val="0"/>
                <w:sz w:val="28"/>
                <w:szCs w:val="28"/>
              </w:rPr>
              <w:t>占比</w:t>
            </w:r>
          </w:p>
        </w:tc>
      </w:tr>
      <w:tr w:rsidR="004032E0">
        <w:trPr>
          <w:trHeight w:val="365"/>
        </w:trPr>
        <w:tc>
          <w:tcPr>
            <w:tcW w:w="3864" w:type="pct"/>
            <w:gridSpan w:val="2"/>
            <w:tcBorders>
              <w:top w:val="nil"/>
              <w:left w:val="single" w:sz="8" w:space="0" w:color="4F81BD"/>
              <w:bottom w:val="single" w:sz="8" w:space="0" w:color="4F81BD"/>
              <w:right w:val="single" w:sz="8" w:space="0" w:color="4F81BD"/>
            </w:tcBorders>
            <w:shd w:val="clear" w:color="auto" w:fill="2E75B5"/>
            <w:tcMar>
              <w:top w:w="10" w:type="dxa"/>
              <w:left w:w="10" w:type="dxa"/>
              <w:right w:w="10" w:type="dxa"/>
            </w:tcMar>
            <w:vAlign w:val="center"/>
          </w:tcPr>
          <w:p w:rsidR="004032E0" w:rsidRDefault="00E86E11" w:rsidP="00170380">
            <w:pPr>
              <w:widowControl/>
              <w:ind w:firstLineChars="400" w:firstLine="1124"/>
              <w:jc w:val="left"/>
              <w:textAlignment w:val="center"/>
              <w:rPr>
                <w:rFonts w:ascii="仿宋_GB2312" w:hAnsi="宋体" w:cs="仿宋_GB2312"/>
                <w:b/>
                <w:color w:val="FFFFFF"/>
                <w:sz w:val="28"/>
                <w:szCs w:val="28"/>
              </w:rPr>
            </w:pPr>
            <w:r>
              <w:rPr>
                <w:rFonts w:ascii="仿宋_GB2312" w:hAnsi="宋体" w:cs="仿宋_GB2312" w:hint="eastAsia"/>
                <w:b/>
                <w:color w:val="FFFFFF"/>
                <w:kern w:val="0"/>
                <w:sz w:val="28"/>
                <w:szCs w:val="28"/>
              </w:rPr>
              <w:t>问  题</w:t>
            </w:r>
          </w:p>
        </w:tc>
        <w:tc>
          <w:tcPr>
            <w:tcW w:w="522" w:type="pct"/>
            <w:vMerge/>
            <w:tcBorders>
              <w:top w:val="single" w:sz="8" w:space="0" w:color="4F81BD"/>
              <w:left w:val="nil"/>
              <w:bottom w:val="single" w:sz="8" w:space="0" w:color="4F81BD"/>
              <w:right w:val="dotted" w:sz="4" w:space="0" w:color="000000"/>
            </w:tcBorders>
            <w:shd w:val="clear" w:color="auto" w:fill="2E75B5"/>
            <w:tcMar>
              <w:top w:w="10" w:type="dxa"/>
              <w:left w:w="10" w:type="dxa"/>
              <w:right w:w="10" w:type="dxa"/>
            </w:tcMar>
            <w:vAlign w:val="center"/>
          </w:tcPr>
          <w:p w:rsidR="004032E0" w:rsidRDefault="004032E0">
            <w:pPr>
              <w:jc w:val="center"/>
              <w:rPr>
                <w:rFonts w:ascii="仿宋_GB2312" w:hAnsi="宋体" w:cs="仿宋_GB2312"/>
                <w:b/>
                <w:color w:val="FFFFFF"/>
                <w:sz w:val="28"/>
                <w:szCs w:val="28"/>
              </w:rPr>
            </w:pPr>
          </w:p>
        </w:tc>
        <w:tc>
          <w:tcPr>
            <w:tcW w:w="612" w:type="pct"/>
            <w:tcBorders>
              <w:top w:val="nil"/>
              <w:left w:val="nil"/>
              <w:bottom w:val="single" w:sz="8" w:space="0" w:color="4F81BD"/>
              <w:right w:val="dotted" w:sz="4" w:space="0" w:color="000000"/>
            </w:tcBorders>
            <w:shd w:val="clear" w:color="auto" w:fill="2E75B5"/>
            <w:tcMar>
              <w:top w:w="10" w:type="dxa"/>
              <w:left w:w="10" w:type="dxa"/>
              <w:right w:w="10" w:type="dxa"/>
            </w:tcMar>
            <w:vAlign w:val="center"/>
          </w:tcPr>
          <w:p w:rsidR="004032E0" w:rsidRDefault="00E86E11">
            <w:pPr>
              <w:widowControl/>
              <w:jc w:val="center"/>
              <w:textAlignment w:val="center"/>
              <w:rPr>
                <w:rFonts w:ascii="仿宋_GB2312" w:hAnsi="宋体" w:cs="仿宋_GB2312"/>
                <w:b/>
                <w:color w:val="FFFFFF"/>
                <w:sz w:val="28"/>
                <w:szCs w:val="28"/>
              </w:rPr>
            </w:pPr>
            <w:r>
              <w:rPr>
                <w:rFonts w:ascii="仿宋_GB2312" w:hAnsi="宋体" w:cs="仿宋_GB2312" w:hint="eastAsia"/>
                <w:b/>
                <w:color w:val="FFFFFF"/>
                <w:kern w:val="0"/>
                <w:sz w:val="28"/>
                <w:szCs w:val="28"/>
              </w:rPr>
              <w:t>（%）</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1、您的年龄是？</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A.20-35岁</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single" w:sz="8" w:space="0" w:color="4F81BD"/>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B.36-50岁</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C.50-60岁</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7</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D.60岁以上</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2、您的文化程度是？</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A.未上过学</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B.小学</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C.初中</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D.高中</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E.大专及以上</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3、你是否听说过“乡村振兴战略”？</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A.听说过，非常熟悉</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6</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25%</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cente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B.听说过，比较熟悉</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cente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C.听说过，有大概的了解</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6</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25%</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cente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D.听说过，但不是很了解</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cente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E.从未听说过</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4、在乡村振兴战略提出后，您对哪一个要求比较感兴趣？</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A.产业兴旺</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7</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29%</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B.生态宜居</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42%</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C.乡风文明</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46%</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D.治理有效</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21%</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E.生活富裕</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42%</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b/>
                <w:color w:val="000000"/>
                <w:sz w:val="24"/>
              </w:rPr>
            </w:pPr>
            <w:r>
              <w:rPr>
                <w:rFonts w:ascii="仿宋_GB2312" w:hAnsi="宋体" w:cs="仿宋_GB2312" w:hint="eastAsia"/>
                <w:b/>
                <w:color w:val="000000"/>
                <w:kern w:val="0"/>
                <w:sz w:val="24"/>
              </w:rPr>
              <w:t>5、您认为当地政府对农业、农村的重视程度？</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A.特别高</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B.较高</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C.一般</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54%</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D.不高</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20%</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6、您认为政府对乡村振兴投入力度如何？</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A.非常大</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B.较大</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C.一般</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46%</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D.较小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20%</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7、您认为，村干部和党员在乡村振兴中是否发挥了带头作用？</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A.发挥了积极带头的作用</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7</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29%</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B.发挥了一些作用</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12</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C.没有发挥作用</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21%</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b/>
                <w:color w:val="000000"/>
                <w:sz w:val="24"/>
              </w:rPr>
            </w:pPr>
            <w:r>
              <w:rPr>
                <w:rFonts w:ascii="仿宋_GB2312" w:hAnsi="宋体" w:cs="仿宋_GB2312" w:hint="eastAsia"/>
                <w:b/>
                <w:color w:val="000000"/>
                <w:kern w:val="0"/>
                <w:sz w:val="24"/>
              </w:rPr>
              <w:t>8、您对所在地的居住环境、空气质量等的满意程度是？</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B.比较满意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12</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C.一般</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D.不满意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9、您认为您家乡变化最大体现在？</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A.乡村产业结构</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B.乡村经济</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8</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33%</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C.乡村生活水平</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46%</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D.人居环境</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42%</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E.居民素质</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21%</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F.基础设施</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13</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54%</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G.没有变化</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H.其他（请说明：   ）</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0%</w:t>
            </w:r>
          </w:p>
        </w:tc>
      </w:tr>
      <w:tr w:rsidR="004032E0">
        <w:trPr>
          <w:trHeight w:val="315"/>
        </w:trPr>
        <w:tc>
          <w:tcPr>
            <w:tcW w:w="1702" w:type="pct"/>
            <w:vMerge w:val="restart"/>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10、您对实施乡村振兴整体效果满意程度是？</w:t>
            </w: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color w:val="000000"/>
                <w:sz w:val="24"/>
              </w:rPr>
            </w:pPr>
            <w:r>
              <w:rPr>
                <w:rFonts w:ascii="仿宋_GB2312" w:hAnsi="宋体" w:cs="仿宋_GB2312" w:hint="eastAsia"/>
                <w:color w:val="000000"/>
                <w:kern w:val="0"/>
                <w:sz w:val="24"/>
              </w:rPr>
              <w:t>A.非常满意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17%</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B.比较满意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7</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29%</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C.一般</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12</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50%</w:t>
            </w:r>
          </w:p>
        </w:tc>
      </w:tr>
      <w:tr w:rsidR="004032E0">
        <w:trPr>
          <w:trHeight w:val="315"/>
        </w:trPr>
        <w:tc>
          <w:tcPr>
            <w:tcW w:w="1702" w:type="pct"/>
            <w:vMerge/>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4032E0">
            <w:pPr>
              <w:jc w:val="left"/>
              <w:rPr>
                <w:rFonts w:ascii="仿宋_GB2312" w:hAnsi="宋体" w:cs="仿宋_GB2312"/>
                <w:b/>
                <w:color w:val="000000"/>
                <w:sz w:val="24"/>
              </w:rPr>
            </w:pPr>
          </w:p>
        </w:tc>
        <w:tc>
          <w:tcPr>
            <w:tcW w:w="216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textAlignment w:val="center"/>
              <w:rPr>
                <w:rFonts w:ascii="仿宋_GB2312" w:hAnsi="宋体" w:cs="仿宋_GB2312"/>
                <w:color w:val="000000"/>
                <w:sz w:val="24"/>
              </w:rPr>
            </w:pPr>
            <w:r>
              <w:rPr>
                <w:rFonts w:ascii="仿宋_GB2312" w:hAnsi="宋体" w:cs="仿宋_GB2312" w:hint="eastAsia"/>
                <w:color w:val="000000"/>
                <w:kern w:val="0"/>
                <w:sz w:val="24"/>
              </w:rPr>
              <w:t>D.不满意</w:t>
            </w:r>
          </w:p>
        </w:tc>
        <w:tc>
          <w:tcPr>
            <w:tcW w:w="52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1</w:t>
            </w:r>
          </w:p>
        </w:tc>
        <w:tc>
          <w:tcPr>
            <w:tcW w:w="612" w:type="pct"/>
            <w:tcBorders>
              <w:top w:val="nil"/>
              <w:left w:val="nil"/>
              <w:bottom w:val="single" w:sz="8" w:space="0" w:color="4F81BD"/>
              <w:right w:val="dotted" w:sz="4" w:space="0" w:color="000000"/>
            </w:tcBorders>
            <w:shd w:val="clear" w:color="auto" w:fill="FFFFFF"/>
            <w:tcMar>
              <w:top w:w="10" w:type="dxa"/>
              <w:left w:w="10" w:type="dxa"/>
              <w:right w:w="10" w:type="dxa"/>
            </w:tcMar>
            <w:vAlign w:val="center"/>
          </w:tcPr>
          <w:p w:rsidR="004032E0" w:rsidRDefault="00E86E11">
            <w:pPr>
              <w:widowControl/>
              <w:jc w:val="center"/>
              <w:textAlignment w:val="center"/>
              <w:rPr>
                <w:rFonts w:ascii="仿宋_GB2312" w:hAnsi="宋体" w:cs="仿宋_GB2312"/>
                <w:color w:val="000000"/>
                <w:sz w:val="24"/>
              </w:rPr>
            </w:pPr>
            <w:r>
              <w:rPr>
                <w:rFonts w:ascii="仿宋_GB2312" w:hAnsi="宋体" w:cs="仿宋_GB2312" w:hint="eastAsia"/>
                <w:color w:val="000000"/>
                <w:kern w:val="0"/>
                <w:sz w:val="24"/>
              </w:rPr>
              <w:t>4%</w:t>
            </w:r>
          </w:p>
        </w:tc>
      </w:tr>
      <w:tr w:rsidR="004032E0">
        <w:trPr>
          <w:trHeight w:val="860"/>
        </w:trPr>
        <w:tc>
          <w:tcPr>
            <w:tcW w:w="5000" w:type="pct"/>
            <w:gridSpan w:val="4"/>
            <w:tcBorders>
              <w:top w:val="nil"/>
              <w:left w:val="single" w:sz="8" w:space="0" w:color="4F81BD"/>
              <w:bottom w:val="single" w:sz="8" w:space="0" w:color="4F81BD"/>
              <w:right w:val="single" w:sz="8" w:space="0" w:color="4F81BD"/>
            </w:tcBorders>
            <w:shd w:val="clear" w:color="auto" w:fill="FFFFFF"/>
            <w:tcMar>
              <w:top w:w="10" w:type="dxa"/>
              <w:left w:w="10" w:type="dxa"/>
              <w:right w:w="10" w:type="dxa"/>
            </w:tcMar>
            <w:vAlign w:val="center"/>
          </w:tcPr>
          <w:p w:rsidR="004032E0" w:rsidRDefault="00E86E11">
            <w:pPr>
              <w:widowControl/>
              <w:jc w:val="left"/>
              <w:textAlignment w:val="center"/>
              <w:rPr>
                <w:rFonts w:ascii="仿宋_GB2312" w:hAnsi="宋体" w:cs="仿宋_GB2312"/>
                <w:b/>
                <w:color w:val="000000"/>
                <w:sz w:val="24"/>
              </w:rPr>
            </w:pPr>
            <w:r>
              <w:rPr>
                <w:rFonts w:ascii="仿宋_GB2312" w:hAnsi="宋体" w:cs="仿宋_GB2312" w:hint="eastAsia"/>
                <w:b/>
                <w:color w:val="000000"/>
                <w:kern w:val="0"/>
                <w:sz w:val="24"/>
              </w:rPr>
              <w:t>11、您对乡村振兴的实质性建议或意见：</w:t>
            </w:r>
            <w:r>
              <w:rPr>
                <w:rFonts w:ascii="仿宋_GB2312" w:hAnsi="宋体" w:cs="仿宋_GB2312" w:hint="eastAsia"/>
                <w:color w:val="000000"/>
                <w:kern w:val="0"/>
                <w:sz w:val="24"/>
              </w:rPr>
              <w:t>农田水利实施不够完善、基础设施不够完善、教育水平不高、医疗配套不足、公路交通不便等。</w:t>
            </w:r>
          </w:p>
        </w:tc>
      </w:tr>
    </w:tbl>
    <w:p w:rsidR="004032E0" w:rsidRDefault="004032E0">
      <w:pPr>
        <w:spacing w:line="360" w:lineRule="auto"/>
        <w:rPr>
          <w:sz w:val="28"/>
          <w:szCs w:val="28"/>
        </w:rPr>
      </w:pPr>
    </w:p>
    <w:sectPr w:rsidR="004032E0" w:rsidSect="004032E0">
      <w:pgSz w:w="11906" w:h="16838"/>
      <w:pgMar w:top="1928" w:right="1531" w:bottom="1701" w:left="1531" w:header="737" w:footer="851" w:gutter="0"/>
      <w:cols w:space="720"/>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C5F" w:rsidRDefault="00981C5F" w:rsidP="004032E0">
      <w:r>
        <w:separator/>
      </w:r>
    </w:p>
  </w:endnote>
  <w:endnote w:type="continuationSeparator" w:id="1">
    <w:p w:rsidR="00981C5F" w:rsidRDefault="00981C5F" w:rsidP="00403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0" w:rsidRDefault="00A72ABD">
    <w:pPr>
      <w:pStyle w:val="a5"/>
    </w:pPr>
    <w:r>
      <w:pict>
        <v:shapetype id="_x0000_t202" coordsize="21600,21600" o:spt="202" path="m,l,21600r21600,l21600,xe">
          <v:stroke joinstyle="miter"/>
          <v:path gradientshapeok="t" o:connecttype="rect"/>
        </v:shapetype>
        <v:shape id="_x0000_s3074"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filled="f" stroked="f" strokeweight=".5pt">
          <v:textbox style="mso-fit-shape-to-text:t" inset="0,0,0,0">
            <w:txbxContent>
              <w:p w:rsidR="004032E0" w:rsidRDefault="00A72ABD">
                <w:pPr>
                  <w:pStyle w:val="a5"/>
                </w:pPr>
                <w:r>
                  <w:rPr>
                    <w:rFonts w:hint="eastAsia"/>
                  </w:rPr>
                  <w:fldChar w:fldCharType="begin"/>
                </w:r>
                <w:r w:rsidR="00E86E11">
                  <w:rPr>
                    <w:rFonts w:hint="eastAsia"/>
                  </w:rPr>
                  <w:instrText xml:space="preserve"> PAGE  \* MERGEFORMAT </w:instrText>
                </w:r>
                <w:r>
                  <w:rPr>
                    <w:rFonts w:hint="eastAsia"/>
                  </w:rPr>
                  <w:fldChar w:fldCharType="separate"/>
                </w:r>
                <w:r w:rsidR="004F0EA3">
                  <w:rPr>
                    <w:noProof/>
                  </w:rPr>
                  <w:t>14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2E0" w:rsidRDefault="00A72ABD">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4032E0" w:rsidRDefault="00A72ABD">
                <w:pPr>
                  <w:pStyle w:val="a5"/>
                </w:pPr>
                <w:r>
                  <w:rPr>
                    <w:rFonts w:hint="eastAsia"/>
                  </w:rPr>
                  <w:fldChar w:fldCharType="begin"/>
                </w:r>
                <w:r w:rsidR="00E86E11">
                  <w:rPr>
                    <w:rFonts w:hint="eastAsia"/>
                  </w:rPr>
                  <w:instrText xml:space="preserve"> PAGE  \* MERGEFORMAT </w:instrText>
                </w:r>
                <w:r>
                  <w:rPr>
                    <w:rFonts w:hint="eastAsia"/>
                  </w:rPr>
                  <w:fldChar w:fldCharType="separate"/>
                </w:r>
                <w:r w:rsidR="004F0EA3">
                  <w:rPr>
                    <w:noProof/>
                  </w:rPr>
                  <w:t>26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C5F" w:rsidRDefault="00981C5F" w:rsidP="004032E0">
      <w:r>
        <w:separator/>
      </w:r>
    </w:p>
  </w:footnote>
  <w:footnote w:type="continuationSeparator" w:id="1">
    <w:p w:rsidR="00981C5F" w:rsidRDefault="00981C5F" w:rsidP="00403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B7F430"/>
    <w:multiLevelType w:val="singleLevel"/>
    <w:tmpl w:val="81B7F430"/>
    <w:lvl w:ilvl="0">
      <w:start w:val="1"/>
      <w:numFmt w:val="upperLetter"/>
      <w:lvlText w:val="%1."/>
      <w:lvlJc w:val="left"/>
      <w:pPr>
        <w:tabs>
          <w:tab w:val="left" w:pos="312"/>
        </w:tabs>
      </w:pPr>
    </w:lvl>
  </w:abstractNum>
  <w:abstractNum w:abstractNumId="1">
    <w:nsid w:val="9E120FAE"/>
    <w:multiLevelType w:val="singleLevel"/>
    <w:tmpl w:val="9E120FAE"/>
    <w:lvl w:ilvl="0">
      <w:start w:val="1"/>
      <w:numFmt w:val="chineseCounting"/>
      <w:suff w:val="nothing"/>
      <w:lvlText w:val="%1、"/>
      <w:lvlJc w:val="left"/>
      <w:rPr>
        <w:rFonts w:hint="eastAsia"/>
      </w:rPr>
    </w:lvl>
  </w:abstractNum>
  <w:abstractNum w:abstractNumId="2">
    <w:nsid w:val="1709EA0E"/>
    <w:multiLevelType w:val="singleLevel"/>
    <w:tmpl w:val="1709EA0E"/>
    <w:lvl w:ilvl="0">
      <w:start w:val="1"/>
      <w:numFmt w:val="upperLetter"/>
      <w:lvlText w:val="%1."/>
      <w:lvlJc w:val="left"/>
      <w:pPr>
        <w:tabs>
          <w:tab w:val="left" w:pos="312"/>
        </w:tabs>
      </w:pPr>
    </w:lvl>
  </w:abstractNum>
  <w:abstractNum w:abstractNumId="3">
    <w:nsid w:val="310F6B66"/>
    <w:multiLevelType w:val="singleLevel"/>
    <w:tmpl w:val="310F6B66"/>
    <w:lvl w:ilvl="0">
      <w:start w:val="1"/>
      <w:numFmt w:val="upperLetter"/>
      <w:lvlText w:val="%1."/>
      <w:lvlJc w:val="left"/>
      <w:pPr>
        <w:tabs>
          <w:tab w:val="left" w:pos="312"/>
        </w:tabs>
      </w:pPr>
    </w:lvl>
  </w:abstractNum>
  <w:abstractNum w:abstractNumId="4">
    <w:nsid w:val="6CB1047E"/>
    <w:multiLevelType w:val="singleLevel"/>
    <w:tmpl w:val="6CB1047E"/>
    <w:lvl w:ilvl="0">
      <w:start w:val="1"/>
      <w:numFmt w:val="upperLetter"/>
      <w:lvlText w:val="%1."/>
      <w:lvlJc w:val="left"/>
      <w:pPr>
        <w:tabs>
          <w:tab w:val="left" w:pos="312"/>
        </w:tabs>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SystemFonts/>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032E0"/>
    <w:rsid w:val="00170380"/>
    <w:rsid w:val="004032E0"/>
    <w:rsid w:val="004F0EA3"/>
    <w:rsid w:val="007512DD"/>
    <w:rsid w:val="0084712C"/>
    <w:rsid w:val="00981C5F"/>
    <w:rsid w:val="00A72ABD"/>
    <w:rsid w:val="00D42FD2"/>
    <w:rsid w:val="00E86E11"/>
    <w:rsid w:val="011956E7"/>
    <w:rsid w:val="01880BC1"/>
    <w:rsid w:val="01BD0488"/>
    <w:rsid w:val="01D75D65"/>
    <w:rsid w:val="045B4296"/>
    <w:rsid w:val="045F6A89"/>
    <w:rsid w:val="05816A51"/>
    <w:rsid w:val="05EB0A74"/>
    <w:rsid w:val="061C7A01"/>
    <w:rsid w:val="06B26D69"/>
    <w:rsid w:val="07301FE9"/>
    <w:rsid w:val="073242B1"/>
    <w:rsid w:val="075976F3"/>
    <w:rsid w:val="07EE09EE"/>
    <w:rsid w:val="07FA41D8"/>
    <w:rsid w:val="08D903E4"/>
    <w:rsid w:val="096E3A0E"/>
    <w:rsid w:val="0BD10057"/>
    <w:rsid w:val="0C023991"/>
    <w:rsid w:val="0C2F0AB9"/>
    <w:rsid w:val="0C456FC9"/>
    <w:rsid w:val="0D4A021D"/>
    <w:rsid w:val="0D8C7136"/>
    <w:rsid w:val="0D956D65"/>
    <w:rsid w:val="0DAD6E65"/>
    <w:rsid w:val="0E4D036C"/>
    <w:rsid w:val="0E7D76C3"/>
    <w:rsid w:val="0EC33400"/>
    <w:rsid w:val="0F3851B8"/>
    <w:rsid w:val="0FC67F36"/>
    <w:rsid w:val="10247957"/>
    <w:rsid w:val="114F0153"/>
    <w:rsid w:val="11E86B74"/>
    <w:rsid w:val="11E92604"/>
    <w:rsid w:val="12C72DC6"/>
    <w:rsid w:val="12E023FA"/>
    <w:rsid w:val="135F75E9"/>
    <w:rsid w:val="139B1DD5"/>
    <w:rsid w:val="139C58F9"/>
    <w:rsid w:val="13C62D16"/>
    <w:rsid w:val="14A86099"/>
    <w:rsid w:val="1511726A"/>
    <w:rsid w:val="15860B9C"/>
    <w:rsid w:val="15D14F35"/>
    <w:rsid w:val="16AC6135"/>
    <w:rsid w:val="16E27421"/>
    <w:rsid w:val="173B4D35"/>
    <w:rsid w:val="17604409"/>
    <w:rsid w:val="17AC35D3"/>
    <w:rsid w:val="17CA7853"/>
    <w:rsid w:val="182B641E"/>
    <w:rsid w:val="183269D5"/>
    <w:rsid w:val="19022F3F"/>
    <w:rsid w:val="19DB3E35"/>
    <w:rsid w:val="19E47CF0"/>
    <w:rsid w:val="1A9148F2"/>
    <w:rsid w:val="1AE921AD"/>
    <w:rsid w:val="1AF4385E"/>
    <w:rsid w:val="1B1965AB"/>
    <w:rsid w:val="1C057A3E"/>
    <w:rsid w:val="1C11348E"/>
    <w:rsid w:val="1C171711"/>
    <w:rsid w:val="1C2067AE"/>
    <w:rsid w:val="1C87193D"/>
    <w:rsid w:val="1CF936E7"/>
    <w:rsid w:val="1D0066CB"/>
    <w:rsid w:val="1DD84E0E"/>
    <w:rsid w:val="1E041812"/>
    <w:rsid w:val="1E1C259A"/>
    <w:rsid w:val="1E312EA2"/>
    <w:rsid w:val="1E57761E"/>
    <w:rsid w:val="1F8F04AD"/>
    <w:rsid w:val="20302B21"/>
    <w:rsid w:val="206D2983"/>
    <w:rsid w:val="20764268"/>
    <w:rsid w:val="21360F21"/>
    <w:rsid w:val="222D5F3F"/>
    <w:rsid w:val="22665176"/>
    <w:rsid w:val="226F2EF8"/>
    <w:rsid w:val="23367646"/>
    <w:rsid w:val="23375BBD"/>
    <w:rsid w:val="24390936"/>
    <w:rsid w:val="24BB0184"/>
    <w:rsid w:val="25226B00"/>
    <w:rsid w:val="252E299B"/>
    <w:rsid w:val="25643726"/>
    <w:rsid w:val="260A3EB3"/>
    <w:rsid w:val="263B1FC1"/>
    <w:rsid w:val="26830560"/>
    <w:rsid w:val="27867E4B"/>
    <w:rsid w:val="285926BA"/>
    <w:rsid w:val="28D51D07"/>
    <w:rsid w:val="29090B79"/>
    <w:rsid w:val="293B18C0"/>
    <w:rsid w:val="299545A6"/>
    <w:rsid w:val="29AF2B86"/>
    <w:rsid w:val="29D0466D"/>
    <w:rsid w:val="2A2B2F97"/>
    <w:rsid w:val="2A3E449D"/>
    <w:rsid w:val="2B611A4E"/>
    <w:rsid w:val="2B8428CF"/>
    <w:rsid w:val="2BAB7D3F"/>
    <w:rsid w:val="2BD46647"/>
    <w:rsid w:val="2BE4320A"/>
    <w:rsid w:val="2C864DA0"/>
    <w:rsid w:val="2CC25F9C"/>
    <w:rsid w:val="2D1A6A2F"/>
    <w:rsid w:val="2D632C3D"/>
    <w:rsid w:val="2DA633A0"/>
    <w:rsid w:val="2DAA7FBC"/>
    <w:rsid w:val="2DD44418"/>
    <w:rsid w:val="2E1836C2"/>
    <w:rsid w:val="2ED97B8D"/>
    <w:rsid w:val="2F292FB8"/>
    <w:rsid w:val="303418AC"/>
    <w:rsid w:val="304E2283"/>
    <w:rsid w:val="31AB5CC5"/>
    <w:rsid w:val="31CB7170"/>
    <w:rsid w:val="33301E47"/>
    <w:rsid w:val="33505EC9"/>
    <w:rsid w:val="34046780"/>
    <w:rsid w:val="34194780"/>
    <w:rsid w:val="342A5DDA"/>
    <w:rsid w:val="345001BF"/>
    <w:rsid w:val="345827F6"/>
    <w:rsid w:val="356E053C"/>
    <w:rsid w:val="35743D6F"/>
    <w:rsid w:val="35BD1C4B"/>
    <w:rsid w:val="36D044BC"/>
    <w:rsid w:val="37A33BE9"/>
    <w:rsid w:val="38290447"/>
    <w:rsid w:val="38452593"/>
    <w:rsid w:val="38697CE4"/>
    <w:rsid w:val="38AF4ABA"/>
    <w:rsid w:val="38ED5031"/>
    <w:rsid w:val="38FA7775"/>
    <w:rsid w:val="39644CFB"/>
    <w:rsid w:val="39682F8F"/>
    <w:rsid w:val="3C3817FC"/>
    <w:rsid w:val="3C640BE7"/>
    <w:rsid w:val="3CB12C40"/>
    <w:rsid w:val="3CEF4590"/>
    <w:rsid w:val="3D920956"/>
    <w:rsid w:val="3D980DA4"/>
    <w:rsid w:val="3DDF6DAA"/>
    <w:rsid w:val="3DFC7C82"/>
    <w:rsid w:val="3E135061"/>
    <w:rsid w:val="3E286F80"/>
    <w:rsid w:val="3E3C2155"/>
    <w:rsid w:val="3E523F45"/>
    <w:rsid w:val="3ECD3F23"/>
    <w:rsid w:val="3F46237D"/>
    <w:rsid w:val="3FA145C5"/>
    <w:rsid w:val="3FD30B06"/>
    <w:rsid w:val="40152428"/>
    <w:rsid w:val="403A3001"/>
    <w:rsid w:val="4082268E"/>
    <w:rsid w:val="4085492F"/>
    <w:rsid w:val="40A82C35"/>
    <w:rsid w:val="40FC6AFC"/>
    <w:rsid w:val="4167499A"/>
    <w:rsid w:val="41C53BFD"/>
    <w:rsid w:val="41F3309B"/>
    <w:rsid w:val="42844CD8"/>
    <w:rsid w:val="428F0A71"/>
    <w:rsid w:val="42D14F39"/>
    <w:rsid w:val="42DF3AD5"/>
    <w:rsid w:val="433F2901"/>
    <w:rsid w:val="434645B5"/>
    <w:rsid w:val="441F7E1C"/>
    <w:rsid w:val="45474F46"/>
    <w:rsid w:val="454C4587"/>
    <w:rsid w:val="45570829"/>
    <w:rsid w:val="45F4251A"/>
    <w:rsid w:val="46116020"/>
    <w:rsid w:val="46D51268"/>
    <w:rsid w:val="46E9770D"/>
    <w:rsid w:val="47AD4B6A"/>
    <w:rsid w:val="47C46991"/>
    <w:rsid w:val="47F5789B"/>
    <w:rsid w:val="48365C7B"/>
    <w:rsid w:val="486E0516"/>
    <w:rsid w:val="495565F9"/>
    <w:rsid w:val="49936B52"/>
    <w:rsid w:val="4B27282D"/>
    <w:rsid w:val="4B613077"/>
    <w:rsid w:val="4BE66056"/>
    <w:rsid w:val="4C9B4D58"/>
    <w:rsid w:val="4CBA203C"/>
    <w:rsid w:val="4D394A6F"/>
    <w:rsid w:val="4D86586C"/>
    <w:rsid w:val="4DD133F0"/>
    <w:rsid w:val="4E3C24A4"/>
    <w:rsid w:val="4E445328"/>
    <w:rsid w:val="4EA434DD"/>
    <w:rsid w:val="4EE53615"/>
    <w:rsid w:val="4F1C3FEB"/>
    <w:rsid w:val="4F256093"/>
    <w:rsid w:val="4F264D9F"/>
    <w:rsid w:val="4F9047E8"/>
    <w:rsid w:val="501D24B4"/>
    <w:rsid w:val="50485B15"/>
    <w:rsid w:val="514D117E"/>
    <w:rsid w:val="518679F5"/>
    <w:rsid w:val="52193507"/>
    <w:rsid w:val="52A15C14"/>
    <w:rsid w:val="52DA1562"/>
    <w:rsid w:val="5307165C"/>
    <w:rsid w:val="531453D6"/>
    <w:rsid w:val="537F7459"/>
    <w:rsid w:val="544D3D29"/>
    <w:rsid w:val="54730E27"/>
    <w:rsid w:val="54A3478D"/>
    <w:rsid w:val="54CA6C54"/>
    <w:rsid w:val="556E0031"/>
    <w:rsid w:val="557F365D"/>
    <w:rsid w:val="55BA7590"/>
    <w:rsid w:val="55BD54C6"/>
    <w:rsid w:val="55E710EA"/>
    <w:rsid w:val="56287C01"/>
    <w:rsid w:val="568667D3"/>
    <w:rsid w:val="569F4C4C"/>
    <w:rsid w:val="576C37EC"/>
    <w:rsid w:val="578235FE"/>
    <w:rsid w:val="579463EF"/>
    <w:rsid w:val="57EA34ED"/>
    <w:rsid w:val="580822B3"/>
    <w:rsid w:val="581D7C04"/>
    <w:rsid w:val="591D544A"/>
    <w:rsid w:val="59C53171"/>
    <w:rsid w:val="59F771BB"/>
    <w:rsid w:val="5A1F5C74"/>
    <w:rsid w:val="5A61385D"/>
    <w:rsid w:val="5AD37CEE"/>
    <w:rsid w:val="5B4661A2"/>
    <w:rsid w:val="5BA327D1"/>
    <w:rsid w:val="5BE65155"/>
    <w:rsid w:val="5D880B51"/>
    <w:rsid w:val="5D991661"/>
    <w:rsid w:val="5DCB6A3B"/>
    <w:rsid w:val="5DFB0AC5"/>
    <w:rsid w:val="5E3F6AC5"/>
    <w:rsid w:val="5EA73321"/>
    <w:rsid w:val="5EB3759D"/>
    <w:rsid w:val="5EB9314D"/>
    <w:rsid w:val="5FAA5250"/>
    <w:rsid w:val="600C4874"/>
    <w:rsid w:val="6041782C"/>
    <w:rsid w:val="60785D17"/>
    <w:rsid w:val="61050C14"/>
    <w:rsid w:val="61060414"/>
    <w:rsid w:val="61471012"/>
    <w:rsid w:val="614D1F39"/>
    <w:rsid w:val="61F27B0C"/>
    <w:rsid w:val="631773A6"/>
    <w:rsid w:val="63357A50"/>
    <w:rsid w:val="63542037"/>
    <w:rsid w:val="638F53D8"/>
    <w:rsid w:val="6457618E"/>
    <w:rsid w:val="64D36440"/>
    <w:rsid w:val="65206458"/>
    <w:rsid w:val="65882EC6"/>
    <w:rsid w:val="65CC33DD"/>
    <w:rsid w:val="66070E13"/>
    <w:rsid w:val="664D7EDB"/>
    <w:rsid w:val="67921F66"/>
    <w:rsid w:val="67B23481"/>
    <w:rsid w:val="67C95CA1"/>
    <w:rsid w:val="684557C1"/>
    <w:rsid w:val="69183B14"/>
    <w:rsid w:val="691E42B9"/>
    <w:rsid w:val="694071E9"/>
    <w:rsid w:val="69411085"/>
    <w:rsid w:val="69C50085"/>
    <w:rsid w:val="69CE5644"/>
    <w:rsid w:val="6A580190"/>
    <w:rsid w:val="6A6967D9"/>
    <w:rsid w:val="6ABC5FD6"/>
    <w:rsid w:val="6B2B1954"/>
    <w:rsid w:val="6B5F6542"/>
    <w:rsid w:val="6B957D79"/>
    <w:rsid w:val="6C022E25"/>
    <w:rsid w:val="6C7E6CE7"/>
    <w:rsid w:val="6C9819CC"/>
    <w:rsid w:val="6DA67687"/>
    <w:rsid w:val="6DC14165"/>
    <w:rsid w:val="6DED28B6"/>
    <w:rsid w:val="6E080F7E"/>
    <w:rsid w:val="6E956CAC"/>
    <w:rsid w:val="6F1E7446"/>
    <w:rsid w:val="6F337755"/>
    <w:rsid w:val="6F9B43E6"/>
    <w:rsid w:val="70116272"/>
    <w:rsid w:val="70963B4B"/>
    <w:rsid w:val="7101213C"/>
    <w:rsid w:val="71791D28"/>
    <w:rsid w:val="718A1B9B"/>
    <w:rsid w:val="71A1043E"/>
    <w:rsid w:val="728D6ADF"/>
    <w:rsid w:val="72EF1FB5"/>
    <w:rsid w:val="732F5879"/>
    <w:rsid w:val="737A5D8B"/>
    <w:rsid w:val="74066622"/>
    <w:rsid w:val="74155569"/>
    <w:rsid w:val="74475BCF"/>
    <w:rsid w:val="761A32E5"/>
    <w:rsid w:val="76C96EF1"/>
    <w:rsid w:val="76CA2098"/>
    <w:rsid w:val="76F3257F"/>
    <w:rsid w:val="77310C49"/>
    <w:rsid w:val="774F43B0"/>
    <w:rsid w:val="77500F89"/>
    <w:rsid w:val="776A4FB9"/>
    <w:rsid w:val="77803277"/>
    <w:rsid w:val="77B82DD6"/>
    <w:rsid w:val="77F92A31"/>
    <w:rsid w:val="78DC3F32"/>
    <w:rsid w:val="791576AB"/>
    <w:rsid w:val="79570C47"/>
    <w:rsid w:val="79702741"/>
    <w:rsid w:val="797666B1"/>
    <w:rsid w:val="79961CBD"/>
    <w:rsid w:val="79A31383"/>
    <w:rsid w:val="7A0A1186"/>
    <w:rsid w:val="7A1C10B3"/>
    <w:rsid w:val="7A2958D7"/>
    <w:rsid w:val="7A2F3524"/>
    <w:rsid w:val="7A704DF6"/>
    <w:rsid w:val="7A8C34B4"/>
    <w:rsid w:val="7B0A53CA"/>
    <w:rsid w:val="7B496D91"/>
    <w:rsid w:val="7B8E58C4"/>
    <w:rsid w:val="7B9322FE"/>
    <w:rsid w:val="7C086E9F"/>
    <w:rsid w:val="7DB00BFC"/>
    <w:rsid w:val="7DD342C4"/>
    <w:rsid w:val="7E753E80"/>
    <w:rsid w:val="7EA16DE7"/>
    <w:rsid w:val="7EBE5C59"/>
    <w:rsid w:val="7F310AC9"/>
    <w:rsid w:val="7F4034F8"/>
    <w:rsid w:val="7F9D28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2E0"/>
    <w:pPr>
      <w:widowControl w:val="0"/>
      <w:jc w:val="both"/>
    </w:pPr>
    <w:rPr>
      <w:rFonts w:eastAsia="仿宋_GB2312"/>
      <w:kern w:val="2"/>
      <w:sz w:val="30"/>
      <w:szCs w:val="24"/>
    </w:rPr>
  </w:style>
  <w:style w:type="paragraph" w:styleId="1">
    <w:name w:val="heading 1"/>
    <w:basedOn w:val="a"/>
    <w:next w:val="a"/>
    <w:qFormat/>
    <w:rsid w:val="004032E0"/>
    <w:pPr>
      <w:keepNext/>
      <w:keepLines/>
      <w:spacing w:line="576" w:lineRule="auto"/>
      <w:outlineLvl w:val="0"/>
    </w:pPr>
    <w:rPr>
      <w:b/>
      <w:kern w:val="44"/>
      <w:sz w:val="44"/>
    </w:rPr>
  </w:style>
  <w:style w:type="paragraph" w:styleId="2">
    <w:name w:val="heading 2"/>
    <w:basedOn w:val="a"/>
    <w:next w:val="a"/>
    <w:link w:val="2Char"/>
    <w:qFormat/>
    <w:rsid w:val="004032E0"/>
    <w:pPr>
      <w:keepNext/>
      <w:keepLines/>
      <w:spacing w:before="4" w:after="4" w:line="360" w:lineRule="auto"/>
      <w:jc w:val="left"/>
      <w:outlineLvl w:val="1"/>
    </w:pPr>
    <w:rPr>
      <w:rFonts w:ascii="Arial" w:eastAsia="黑体" w:hAnsi="Arial"/>
      <w:b/>
      <w:sz w:val="32"/>
    </w:rPr>
  </w:style>
  <w:style w:type="paragraph" w:styleId="3">
    <w:name w:val="heading 3"/>
    <w:next w:val="a0"/>
    <w:link w:val="3Char"/>
    <w:unhideWhenUsed/>
    <w:qFormat/>
    <w:rsid w:val="004032E0"/>
    <w:pPr>
      <w:keepLines/>
      <w:spacing w:beforeLines="20" w:afterLines="20" w:line="360" w:lineRule="auto"/>
      <w:outlineLvl w:val="2"/>
    </w:pPr>
    <w:rPr>
      <w:rFonts w:ascii="Calibri" w:hAnsi="Calibri"/>
      <w:b/>
      <w:sz w:val="32"/>
    </w:rPr>
  </w:style>
  <w:style w:type="paragraph" w:styleId="4">
    <w:name w:val="heading 4"/>
    <w:next w:val="a"/>
    <w:unhideWhenUsed/>
    <w:qFormat/>
    <w:rsid w:val="004032E0"/>
    <w:pPr>
      <w:keepLines/>
      <w:spacing w:beforeLines="20" w:afterLines="20" w:line="360" w:lineRule="auto"/>
      <w:outlineLvl w:val="3"/>
    </w:pPr>
    <w:rPr>
      <w:rFonts w:ascii="Arial" w:eastAsia="黑体" w:hAnsi="Arial"/>
      <w:b/>
      <w:sz w:val="28"/>
    </w:rPr>
  </w:style>
  <w:style w:type="paragraph" w:styleId="5">
    <w:name w:val="heading 5"/>
    <w:basedOn w:val="a"/>
    <w:next w:val="a"/>
    <w:unhideWhenUsed/>
    <w:qFormat/>
    <w:rsid w:val="004032E0"/>
    <w:pPr>
      <w:keepNext/>
      <w:keepLines/>
      <w:spacing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4032E0"/>
    <w:pPr>
      <w:ind w:leftChars="700" w:left="1440" w:rightChars="700" w:right="700"/>
    </w:pPr>
  </w:style>
  <w:style w:type="paragraph" w:styleId="30">
    <w:name w:val="toc 3"/>
    <w:basedOn w:val="a"/>
    <w:next w:val="a"/>
    <w:qFormat/>
    <w:rsid w:val="004032E0"/>
    <w:pPr>
      <w:ind w:leftChars="400" w:left="840"/>
    </w:pPr>
  </w:style>
  <w:style w:type="paragraph" w:styleId="a4">
    <w:name w:val="Plain Text"/>
    <w:basedOn w:val="a"/>
    <w:qFormat/>
    <w:rsid w:val="004032E0"/>
    <w:rPr>
      <w:rFonts w:ascii="宋体" w:eastAsia="宋体" w:hAnsi="Courier New" w:cs="Courier New"/>
      <w:szCs w:val="21"/>
    </w:rPr>
  </w:style>
  <w:style w:type="paragraph" w:styleId="a5">
    <w:name w:val="footer"/>
    <w:basedOn w:val="a"/>
    <w:qFormat/>
    <w:rsid w:val="004032E0"/>
    <w:pPr>
      <w:tabs>
        <w:tab w:val="center" w:pos="4153"/>
        <w:tab w:val="right" w:pos="8306"/>
      </w:tabs>
      <w:snapToGrid w:val="0"/>
      <w:jc w:val="left"/>
    </w:pPr>
    <w:rPr>
      <w:sz w:val="18"/>
    </w:rPr>
  </w:style>
  <w:style w:type="paragraph" w:styleId="a6">
    <w:name w:val="header"/>
    <w:basedOn w:val="a"/>
    <w:qFormat/>
    <w:rsid w:val="004032E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4032E0"/>
  </w:style>
  <w:style w:type="paragraph" w:styleId="40">
    <w:name w:val="toc 4"/>
    <w:basedOn w:val="a"/>
    <w:next w:val="a"/>
    <w:qFormat/>
    <w:rsid w:val="004032E0"/>
    <w:pPr>
      <w:ind w:leftChars="600" w:left="1260"/>
    </w:pPr>
  </w:style>
  <w:style w:type="paragraph" w:styleId="20">
    <w:name w:val="toc 2"/>
    <w:basedOn w:val="a"/>
    <w:next w:val="a"/>
    <w:qFormat/>
    <w:rsid w:val="004032E0"/>
    <w:pPr>
      <w:ind w:leftChars="200" w:left="420"/>
    </w:pPr>
  </w:style>
  <w:style w:type="table" w:styleId="a7">
    <w:name w:val="Table Grid"/>
    <w:basedOn w:val="a2"/>
    <w:qFormat/>
    <w:rsid w:val="004032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qFormat/>
    <w:rsid w:val="004032E0"/>
  </w:style>
  <w:style w:type="paragraph" w:customStyle="1" w:styleId="WPSOffice2">
    <w:name w:val="WPSOffice手动目录 2"/>
    <w:qFormat/>
    <w:rsid w:val="004032E0"/>
    <w:pPr>
      <w:ind w:leftChars="200" w:left="200"/>
    </w:pPr>
  </w:style>
  <w:style w:type="paragraph" w:customStyle="1" w:styleId="WPSOffice3">
    <w:name w:val="WPSOffice手动目录 3"/>
    <w:qFormat/>
    <w:rsid w:val="004032E0"/>
    <w:pPr>
      <w:ind w:leftChars="400" w:left="400"/>
    </w:pPr>
  </w:style>
  <w:style w:type="character" w:customStyle="1" w:styleId="2Char">
    <w:name w:val="标题 2 Char"/>
    <w:link w:val="2"/>
    <w:qFormat/>
    <w:rsid w:val="004032E0"/>
    <w:rPr>
      <w:rFonts w:ascii="Arial" w:eastAsia="黑体" w:hAnsi="Arial"/>
      <w:b/>
      <w:color w:val="auto"/>
      <w:sz w:val="32"/>
    </w:rPr>
  </w:style>
  <w:style w:type="character" w:customStyle="1" w:styleId="3Char">
    <w:name w:val="标题 3 Char"/>
    <w:link w:val="3"/>
    <w:qFormat/>
    <w:rsid w:val="004032E0"/>
    <w:rPr>
      <w:rFonts w:ascii="Calibri" w:eastAsia="宋体" w:hAnsi="Calibri"/>
      <w:b/>
      <w:sz w:val="32"/>
    </w:rPr>
  </w:style>
  <w:style w:type="character" w:customStyle="1" w:styleId="FontStyle20">
    <w:name w:val="Font Style20"/>
    <w:basedOn w:val="a1"/>
    <w:qFormat/>
    <w:rsid w:val="004032E0"/>
    <w:rPr>
      <w:rFonts w:ascii="Arial" w:hAnsi="Arial" w:cs="Arial" w:hint="default"/>
      <w:color w:val="000000"/>
      <w:sz w:val="30"/>
      <w:szCs w:val="30"/>
    </w:rPr>
  </w:style>
  <w:style w:type="character" w:customStyle="1" w:styleId="font01">
    <w:name w:val="font01"/>
    <w:basedOn w:val="a1"/>
    <w:qFormat/>
    <w:rsid w:val="004032E0"/>
    <w:rPr>
      <w:rFonts w:ascii="仿宋_GB2312" w:eastAsia="仿宋_GB2312" w:cs="仿宋_GB2312" w:hint="eastAsia"/>
      <w:b/>
      <w:color w:val="333333"/>
      <w:sz w:val="24"/>
      <w:szCs w:val="24"/>
      <w:u w:val="none"/>
    </w:rPr>
  </w:style>
  <w:style w:type="character" w:customStyle="1" w:styleId="font21">
    <w:name w:val="font21"/>
    <w:basedOn w:val="a1"/>
    <w:qFormat/>
    <w:rsid w:val="004032E0"/>
    <w:rPr>
      <w:rFonts w:ascii="仿宋_GB2312" w:eastAsia="仿宋_GB2312" w:cs="仿宋_GB2312" w:hint="eastAsia"/>
      <w:b/>
      <w:color w:val="000000"/>
      <w:sz w:val="24"/>
      <w:szCs w:val="24"/>
      <w:u w:val="none"/>
    </w:rPr>
  </w:style>
  <w:style w:type="character" w:customStyle="1" w:styleId="font31">
    <w:name w:val="font31"/>
    <w:basedOn w:val="a1"/>
    <w:qFormat/>
    <w:rsid w:val="004032E0"/>
    <w:rPr>
      <w:rFonts w:ascii="宋体" w:eastAsia="宋体" w:hAnsi="宋体" w:cs="宋体" w:hint="eastAsia"/>
      <w:color w:val="000000"/>
      <w:sz w:val="30"/>
      <w:szCs w:val="30"/>
      <w:u w:val="none"/>
    </w:rPr>
  </w:style>
  <w:style w:type="character" w:customStyle="1" w:styleId="font41">
    <w:name w:val="font41"/>
    <w:basedOn w:val="a1"/>
    <w:qFormat/>
    <w:rsid w:val="004032E0"/>
    <w:rPr>
      <w:rFonts w:ascii="宋体" w:eastAsia="宋体" w:hAnsi="宋体" w:cs="宋体" w:hint="eastAsia"/>
      <w:color w:val="000000"/>
      <w:sz w:val="22"/>
      <w:szCs w:val="22"/>
      <w:u w:val="none"/>
    </w:rPr>
  </w:style>
  <w:style w:type="paragraph" w:styleId="a8">
    <w:name w:val="List Paragraph"/>
    <w:basedOn w:val="a"/>
    <w:uiPriority w:val="34"/>
    <w:qFormat/>
    <w:rsid w:val="004032E0"/>
    <w:pPr>
      <w:ind w:firstLineChars="200" w:firstLine="420"/>
    </w:pPr>
  </w:style>
  <w:style w:type="paragraph" w:styleId="a9">
    <w:name w:val="Balloon Text"/>
    <w:basedOn w:val="a"/>
    <w:link w:val="Char"/>
    <w:rsid w:val="00170380"/>
    <w:rPr>
      <w:sz w:val="18"/>
      <w:szCs w:val="18"/>
    </w:rPr>
  </w:style>
  <w:style w:type="character" w:customStyle="1" w:styleId="Char">
    <w:name w:val="批注框文本 Char"/>
    <w:basedOn w:val="a1"/>
    <w:link w:val="a9"/>
    <w:rsid w:val="00170380"/>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86182\Desktop\&#27849;&#24030;&#24066;&#20892;&#19994;&#23616;2019&#20065;&#26449;&#25391;&#20852;&#32489;&#25928;&#35780;&#20215;&#36164;&#26009;\&#27849;&#24030;&#20065;&#26449;&#25391;&#20852;&#32489;&#25928;&#35780;&#20215;&#24213;&#312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86182\Desktop\&#27849;&#24030;&#24066;&#20892;&#19994;&#23616;2019&#20065;&#26449;&#25391;&#20852;&#32489;&#25928;&#35780;&#20215;&#36164;&#26009;\&#27849;&#24030;&#20065;&#26449;&#25391;&#20852;&#32489;&#25928;&#35780;&#20215;&#24213;&#312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86182\Desktop\&#27849;&#24030;&#20065;&#26449;&#25391;&#20852;&#32489;&#25928;&#35780;&#20215;&#24213;&#3129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86182\Desktop\&#27849;&#24030;&#32489;&#25928;&#35780;&#20215;\&#27849;&#24030;&#20065;&#26449;&#25391;&#20852;&#32489;&#25928;&#35780;&#20215;&#24213;&#3129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86182\Desktop\&#27849;&#24030;&#24066;&#20892;&#19994;&#23616;2019&#20065;&#26449;&#25391;&#20852;&#32489;&#25928;&#35780;&#20215;&#36164;&#26009;\&#27849;&#24030;&#20065;&#26449;&#25391;&#20852;&#32489;&#25928;&#35780;&#20215;&#24213;&#3129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86182\Desktop\&#27849;&#24030;&#20065;&#26449;&#25391;&#20852;&#32489;&#25928;&#35780;&#20215;&#24213;&#312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lang="en-US" altLang="zh-CN" sz="1600"/>
              <a:t>2019</a:t>
            </a:r>
            <a:r>
              <a:rPr altLang="en-US" sz="1600"/>
              <a:t>年度乡村振兴专项资金预算分布图</a:t>
            </a:r>
            <a:endParaRPr lang="en-US" altLang="en-US" sz="1600"/>
          </a:p>
        </c:rich>
      </c:tx>
      <c:layout>
        <c:manualLayout>
          <c:xMode val="edge"/>
          <c:yMode val="edge"/>
          <c:x val="0.12296843519140398"/>
          <c:y val="8.0978151934255421E-2"/>
        </c:manualLayout>
      </c:layout>
      <c:spPr>
        <a:noFill/>
        <a:ln>
          <a:noFill/>
        </a:ln>
        <a:effectLst/>
      </c:spPr>
    </c:title>
    <c:plotArea>
      <c:layout>
        <c:manualLayout>
          <c:layoutTarget val="inner"/>
          <c:xMode val="edge"/>
          <c:yMode val="edge"/>
          <c:x val="0.128088962108731"/>
          <c:y val="0.27463651050080801"/>
          <c:w val="0.46293245469522193"/>
          <c:h val="0.68093699515347339"/>
        </c:manualLayout>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0"/>
              <c:layout>
                <c:manualLayout>
                  <c:x val="-0.15453345373406718"/>
                  <c:y val="6.1995479857323024E-2"/>
                </c:manualLayout>
              </c:layout>
              <c:dLblPos val="bestFit"/>
              <c:showVal val="1"/>
              <c:showPercent val="1"/>
              <c:extLst>
                <c:ext xmlns:c15="http://schemas.microsoft.com/office/drawing/2012/chart" uri="{CE6537A1-D6FC-4f65-9D91-7224C49458BB}">
                  <c15:layout/>
                </c:ext>
              </c:extLst>
            </c:dLbl>
            <c:dLbl>
              <c:idx val="1"/>
              <c:layout>
                <c:manualLayout>
                  <c:x val="-5.0284740198026999E-2"/>
                  <c:y val="-0.11559365566057606"/>
                </c:manualLayout>
              </c:layout>
              <c:dLblPos val="bestFit"/>
              <c:showVal val="1"/>
              <c:showPercent val="1"/>
              <c:extLst>
                <c:ext xmlns:c15="http://schemas.microsoft.com/office/drawing/2012/chart" uri="{CE6537A1-D6FC-4f65-9D91-7224C49458BB}">
                  <c15:layout/>
                </c:ext>
              </c:extLst>
            </c:dLbl>
            <c:dLbl>
              <c:idx val="2"/>
              <c:dLblPos val="ctr"/>
              <c:showVal val="1"/>
              <c:showPercent val="1"/>
              <c:extLst>
                <c:ext xmlns:c15="http://schemas.microsoft.com/office/drawing/2012/chart" uri="{CE6537A1-D6FC-4f65-9D91-7224C49458BB}"/>
              </c:extLst>
            </c:dLbl>
            <c:dLbl>
              <c:idx val="3"/>
              <c:layout>
                <c:manualLayout>
                  <c:x val="-8.0745384620399874E-5"/>
                  <c:y val="9.1988614926504397E-2"/>
                </c:manualLayout>
              </c:layout>
              <c:dLblPos val="bestFit"/>
              <c:showVal val="1"/>
              <c:showPercent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800" b="1" i="0" u="none" strike="noStrike" kern="1200" baseline="0">
                    <a:solidFill>
                      <a:schemeClr val="lt1"/>
                    </a:solidFill>
                    <a:latin typeface="+mn-lt"/>
                    <a:ea typeface="+mn-ea"/>
                    <a:cs typeface="+mn-cs"/>
                  </a:defRPr>
                </a:pPr>
                <a:endParaRPr lang="zh-CN"/>
              </a:p>
            </c:txPr>
            <c:dLblPos val="ctr"/>
            <c:showCatName val="1"/>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[泉州乡村振兴绩效评价底稿.xlsx]支出金额统计!$G$26:$G$29</c:f>
              <c:strCache>
                <c:ptCount val="4"/>
                <c:pt idx="0">
                  <c:v>乡村振兴项目补助</c:v>
                </c:pt>
                <c:pt idx="1">
                  <c:v>农村环境卫生考评奖补</c:v>
                </c:pt>
                <c:pt idx="2">
                  <c:v>市政府研究确定的项目</c:v>
                </c:pt>
                <c:pt idx="3">
                  <c:v>乡村振兴工作经费</c:v>
                </c:pt>
              </c:strCache>
            </c:strRef>
          </c:cat>
          <c:val>
            <c:numRef>
              <c:f>[泉州乡村振兴绩效评价底稿.xlsx]支出金额统计!$H$26:$H$29</c:f>
              <c:numCache>
                <c:formatCode>General</c:formatCode>
                <c:ptCount val="4"/>
                <c:pt idx="0">
                  <c:v>5600</c:v>
                </c:pt>
                <c:pt idx="1">
                  <c:v>1000</c:v>
                </c:pt>
                <c:pt idx="2">
                  <c:v>6600</c:v>
                </c:pt>
                <c:pt idx="3">
                  <c:v>200</c:v>
                </c:pt>
              </c:numCache>
            </c:numRef>
          </c:val>
        </c:ser>
        <c:dLbls>
          <c:showPercent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zh-CN"/>
          </a:p>
        </c:txPr>
      </c:legendEntry>
      <c:legendEntry>
        <c:idx val="2"/>
        <c:txPr>
          <a:bodyPr rot="0" spcFirstLastPara="0"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zh-CN"/>
          </a:p>
        </c:txPr>
      </c:legendEntry>
      <c:legendEntry>
        <c:idx val="3"/>
        <c:txPr>
          <a:bodyPr rot="0" spcFirstLastPara="0"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zh-CN"/>
          </a:p>
        </c:txPr>
      </c:legendEntry>
      <c:layout>
        <c:manualLayout>
          <c:xMode val="edge"/>
          <c:yMode val="edge"/>
          <c:x val="0.6925"/>
          <c:y val="0.39004629629629622"/>
          <c:w val="0.29777777777777836"/>
          <c:h val="0.41712962962963035"/>
        </c:manualLayout>
      </c:layout>
      <c:spPr>
        <a:solidFill>
          <a:schemeClr val="lt1">
            <a:lumMod val="95000"/>
            <a:alpha val="39000"/>
          </a:schemeClr>
        </a:solidFill>
        <a:ln>
          <a:noFill/>
        </a:ln>
        <a:effectLst/>
      </c:spPr>
      <c:txPr>
        <a:bodyPr rot="0" spcFirstLastPara="0" vertOverflow="ellipsis" vert="horz" wrap="square" anchor="ctr" anchorCtr="1"/>
        <a:lstStyle/>
        <a:p>
          <a:pPr>
            <a:defRPr lang="zh-CN" sz="8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sz="800"/>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tx1">
                    <a:lumMod val="65000"/>
                    <a:lumOff val="35000"/>
                  </a:schemeClr>
                </a:solidFill>
                <a:latin typeface="+mn-lt"/>
                <a:ea typeface="+mn-ea"/>
                <a:cs typeface="+mn-cs"/>
              </a:defRPr>
            </a:pPr>
            <a:r>
              <a:rPr lang="en-US" altLang="zh-CN" sz="1600">
                <a:solidFill>
                  <a:schemeClr val="tx1">
                    <a:lumMod val="65000"/>
                    <a:lumOff val="35000"/>
                  </a:schemeClr>
                </a:solidFill>
              </a:rPr>
              <a:t>2019</a:t>
            </a:r>
            <a:r>
              <a:rPr altLang="en-US" sz="1600">
                <a:solidFill>
                  <a:schemeClr val="tx1">
                    <a:lumMod val="65000"/>
                    <a:lumOff val="35000"/>
                  </a:schemeClr>
                </a:solidFill>
              </a:rPr>
              <a:t>年乡村振兴专项资金预算支出对比图</a:t>
            </a:r>
            <a:endParaRPr lang="en-US" altLang="en-US" sz="1600">
              <a:solidFill>
                <a:schemeClr val="tx1">
                  <a:lumMod val="65000"/>
                  <a:lumOff val="35000"/>
                </a:schemeClr>
              </a:solidFill>
            </a:endParaRPr>
          </a:p>
        </c:rich>
      </c:tx>
      <c:layout>
        <c:manualLayout>
          <c:xMode val="edge"/>
          <c:yMode val="edge"/>
          <c:x val="0.10654660181411911"/>
          <c:y val="9.470198675496698E-2"/>
        </c:manualLayout>
      </c:layout>
      <c:spPr>
        <a:noFill/>
        <a:ln>
          <a:noFill/>
        </a:ln>
        <a:effectLst/>
      </c:spPr>
    </c:title>
    <c:plotArea>
      <c:layout>
        <c:manualLayout>
          <c:layoutTarget val="inner"/>
          <c:xMode val="edge"/>
          <c:yMode val="edge"/>
          <c:x val="0.27311686604443336"/>
          <c:y val="0.28830022075055223"/>
          <c:w val="0.69138950966215296"/>
          <c:h val="0.50759381898454703"/>
        </c:manualLayout>
      </c:layout>
      <c:barChart>
        <c:barDir val="bar"/>
        <c:grouping val="clustered"/>
        <c:ser>
          <c:idx val="0"/>
          <c:order val="0"/>
          <c:tx>
            <c:strRef>
              <c:f>[泉州乡村振兴绩效评价底稿.xlsx]支出金额统计!$H$25</c:f>
              <c:strCache>
                <c:ptCount val="1"/>
                <c:pt idx="0">
                  <c:v>年初设定目标金额</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[泉州乡村振兴绩效评价底稿.xlsx]支出金额统计!$G$26:$G$29</c:f>
              <c:strCache>
                <c:ptCount val="4"/>
                <c:pt idx="0">
                  <c:v>乡村振兴项目补助</c:v>
                </c:pt>
                <c:pt idx="1">
                  <c:v>农村环境卫生考评奖补</c:v>
                </c:pt>
                <c:pt idx="2">
                  <c:v>市政府研究确定的项目</c:v>
                </c:pt>
                <c:pt idx="3">
                  <c:v>乡村振兴工作经费</c:v>
                </c:pt>
              </c:strCache>
            </c:strRef>
          </c:cat>
          <c:val>
            <c:numRef>
              <c:f>[泉州乡村振兴绩效评价底稿.xlsx]支出金额统计!$H$26:$H$29</c:f>
              <c:numCache>
                <c:formatCode>General</c:formatCode>
                <c:ptCount val="4"/>
                <c:pt idx="0">
                  <c:v>5600</c:v>
                </c:pt>
                <c:pt idx="1">
                  <c:v>1000</c:v>
                </c:pt>
                <c:pt idx="2">
                  <c:v>6600</c:v>
                </c:pt>
                <c:pt idx="3">
                  <c:v>200</c:v>
                </c:pt>
              </c:numCache>
            </c:numRef>
          </c:val>
        </c:ser>
        <c:ser>
          <c:idx val="1"/>
          <c:order val="1"/>
          <c:tx>
            <c:strRef>
              <c:f>[泉州乡村振兴绩效评价底稿.xlsx]支出金额统计!$I$25</c:f>
              <c:strCache>
                <c:ptCount val="1"/>
                <c:pt idx="0">
                  <c:v>实际支出金额</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65000"/>
                        <a:lumOff val="35000"/>
                      </a:schemeClr>
                    </a:solidFill>
                    <a:latin typeface="+mn-lt"/>
                    <a:ea typeface="+mn-ea"/>
                    <a:cs typeface="+mn-cs"/>
                  </a:defRPr>
                </a:pPr>
                <a:endParaRPr lang="zh-CN"/>
              </a:p>
            </c:txPr>
            <c:dLblPos val="inEnd"/>
            <c:showVal val="1"/>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[泉州乡村振兴绩效评价底稿.xlsx]支出金额统计!$G$26:$G$29</c:f>
              <c:strCache>
                <c:ptCount val="4"/>
                <c:pt idx="0">
                  <c:v>乡村振兴项目补助</c:v>
                </c:pt>
                <c:pt idx="1">
                  <c:v>农村环境卫生考评奖补</c:v>
                </c:pt>
                <c:pt idx="2">
                  <c:v>市政府研究确定的项目</c:v>
                </c:pt>
                <c:pt idx="3">
                  <c:v>乡村振兴工作经费</c:v>
                </c:pt>
              </c:strCache>
            </c:strRef>
          </c:cat>
          <c:val>
            <c:numRef>
              <c:f>[泉州乡村振兴绩效评价底稿.xlsx]支出金额统计!$I$26:$I$29</c:f>
              <c:numCache>
                <c:formatCode>General</c:formatCode>
                <c:ptCount val="4"/>
                <c:pt idx="0">
                  <c:v>7250</c:v>
                </c:pt>
                <c:pt idx="1">
                  <c:v>1170</c:v>
                </c:pt>
                <c:pt idx="2">
                  <c:v>4780</c:v>
                </c:pt>
                <c:pt idx="3">
                  <c:v>16.399999999999999</c:v>
                </c:pt>
              </c:numCache>
            </c:numRef>
          </c:val>
        </c:ser>
        <c:dLbls>
          <c:showVal val="1"/>
        </c:dLbls>
        <c:gapWidth val="65"/>
        <c:axId val="233832832"/>
        <c:axId val="233834368"/>
      </c:barChart>
      <c:catAx>
        <c:axId val="233832832"/>
        <c:scaling>
          <c:orientation val="minMax"/>
        </c:scaling>
        <c:axPos val="l"/>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tx1">
                    <a:lumMod val="65000"/>
                    <a:lumOff val="35000"/>
                  </a:schemeClr>
                </a:solidFill>
                <a:latin typeface="+mn-lt"/>
                <a:ea typeface="+mn-ea"/>
                <a:cs typeface="+mn-cs"/>
              </a:defRPr>
            </a:pPr>
            <a:endParaRPr lang="zh-CN"/>
          </a:p>
        </c:txPr>
        <c:crossAx val="233834368"/>
        <c:crosses val="autoZero"/>
        <c:auto val="1"/>
        <c:lblAlgn val="ctr"/>
        <c:lblOffset val="100"/>
      </c:catAx>
      <c:valAx>
        <c:axId val="233834368"/>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3832832"/>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Entry>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solidFill>
            <a:schemeClr val="tx1">
              <a:lumMod val="65000"/>
              <a:lumOff val="35000"/>
            </a:schemeClr>
          </a:solidFill>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en-US"/>
              <a:t>乡村振兴战略群众知晓情况</a:t>
            </a:r>
            <a:endParaRPr lang="en-US" altLang="zh-CN"/>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'[泉州乡村振兴绩效评价底稿.xlsx]调查问卷 (2)'!$B$14:$B$18</c:f>
              <c:strCache>
                <c:ptCount val="5"/>
                <c:pt idx="0">
                  <c:v>听说过，非常熟悉</c:v>
                </c:pt>
                <c:pt idx="1">
                  <c:v>听说过，比较熟悉</c:v>
                </c:pt>
                <c:pt idx="2">
                  <c:v>听说过，有大概的了解</c:v>
                </c:pt>
                <c:pt idx="3">
                  <c:v>听说过，但不是很了解</c:v>
                </c:pt>
                <c:pt idx="4">
                  <c:v>从未听说过</c:v>
                </c:pt>
              </c:strCache>
            </c:strRef>
          </c:cat>
          <c:val>
            <c:numRef>
              <c:f>'[泉州乡村振兴绩效评价底稿.xlsx]调查问卷 (2)'!$C$14:$C$18</c:f>
              <c:numCache>
                <c:formatCode>General</c:formatCode>
                <c:ptCount val="5"/>
                <c:pt idx="0">
                  <c:v>6</c:v>
                </c:pt>
                <c:pt idx="1">
                  <c:v>3</c:v>
                </c:pt>
                <c:pt idx="2">
                  <c:v>6</c:v>
                </c:pt>
                <c:pt idx="3">
                  <c:v>8</c:v>
                </c:pt>
                <c:pt idx="4">
                  <c:v>1</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ltLang="zh-CN" sz="1400"/>
              <a:t>2019</a:t>
            </a:r>
            <a:r>
              <a:rPr altLang="en-US" sz="1400"/>
              <a:t>年度</a:t>
            </a:r>
            <a:r>
              <a:rPr sz="1400"/>
              <a:t>村居环境卫生考评情况趋势图</a:t>
            </a:r>
          </a:p>
        </c:rich>
      </c:tx>
      <c:layout>
        <c:manualLayout>
          <c:xMode val="edge"/>
          <c:yMode val="edge"/>
          <c:x val="0.13542810098792518"/>
          <c:y val="5.0299953853253324E-2"/>
        </c:manualLayout>
      </c:layout>
      <c:spPr>
        <a:noFill/>
        <a:ln>
          <a:noFill/>
        </a:ln>
        <a:effectLst/>
      </c:spPr>
    </c:title>
    <c:plotArea>
      <c:layout>
        <c:manualLayout>
          <c:layoutTarget val="inner"/>
          <c:xMode val="edge"/>
          <c:yMode val="edge"/>
          <c:x val="8.6388583973655272E-2"/>
          <c:y val="0.18781725888324918"/>
          <c:w val="0.87121295279912203"/>
          <c:h val="0.5960775265343794"/>
        </c:manualLayout>
      </c:layout>
      <c:barChart>
        <c:barDir val="col"/>
        <c:grouping val="clustered"/>
        <c:ser>
          <c:idx val="0"/>
          <c:order val="0"/>
          <c:tx>
            <c:strRef>
              <c:f>[泉州乡村振兴绩效评价底稿.xlsx]人居环境整治次数!$D$1</c:f>
              <c:strCache>
                <c:ptCount val="1"/>
                <c:pt idx="0">
                  <c:v>村居（个）</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val>
            <c:numRef>
              <c:f>[泉州乡村振兴绩效评价底稿.xlsx]人居环境整治次数!$D$2:$D$13</c:f>
              <c:numCache>
                <c:formatCode>General</c:formatCode>
                <c:ptCount val="12"/>
                <c:pt idx="0">
                  <c:v>323</c:v>
                </c:pt>
                <c:pt idx="1">
                  <c:v>323</c:v>
                </c:pt>
                <c:pt idx="2">
                  <c:v>323</c:v>
                </c:pt>
                <c:pt idx="3">
                  <c:v>358</c:v>
                </c:pt>
                <c:pt idx="4">
                  <c:v>358</c:v>
                </c:pt>
                <c:pt idx="5">
                  <c:v>357</c:v>
                </c:pt>
                <c:pt idx="6">
                  <c:v>356</c:v>
                </c:pt>
                <c:pt idx="7">
                  <c:v>356</c:v>
                </c:pt>
                <c:pt idx="8">
                  <c:v>358</c:v>
                </c:pt>
                <c:pt idx="9">
                  <c:v>355</c:v>
                </c:pt>
                <c:pt idx="10">
                  <c:v>355</c:v>
                </c:pt>
                <c:pt idx="11">
                  <c:v>354</c:v>
                </c:pt>
              </c:numCache>
            </c:numRef>
          </c:val>
        </c:ser>
        <c:ser>
          <c:idx val="1"/>
          <c:order val="1"/>
          <c:tx>
            <c:strRef>
              <c:f>[泉州乡村振兴绩效评价底稿.xlsx]人居环境整治次数!$E$1</c:f>
              <c:strCache>
                <c:ptCount val="1"/>
                <c:pt idx="0">
                  <c:v>道路（段）</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val>
            <c:numRef>
              <c:f>[泉州乡村振兴绩效评价底稿.xlsx]人居环境整治次数!$E$2:$E$13</c:f>
              <c:numCache>
                <c:formatCode>General</c:formatCode>
                <c:ptCount val="12"/>
                <c:pt idx="0">
                  <c:v>105</c:v>
                </c:pt>
                <c:pt idx="1">
                  <c:v>105</c:v>
                </c:pt>
                <c:pt idx="2">
                  <c:v>105</c:v>
                </c:pt>
                <c:pt idx="3">
                  <c:v>104</c:v>
                </c:pt>
                <c:pt idx="4">
                  <c:v>103</c:v>
                </c:pt>
                <c:pt idx="5">
                  <c:v>103</c:v>
                </c:pt>
                <c:pt idx="6">
                  <c:v>102</c:v>
                </c:pt>
                <c:pt idx="7">
                  <c:v>102</c:v>
                </c:pt>
                <c:pt idx="8">
                  <c:v>102</c:v>
                </c:pt>
                <c:pt idx="9">
                  <c:v>102</c:v>
                </c:pt>
                <c:pt idx="10">
                  <c:v>102</c:v>
                </c:pt>
                <c:pt idx="11">
                  <c:v>102</c:v>
                </c:pt>
              </c:numCache>
            </c:numRef>
          </c:val>
        </c:ser>
        <c:gapWidth val="269"/>
        <c:axId val="93767168"/>
        <c:axId val="93768704"/>
      </c:barChart>
      <c:lineChart>
        <c:grouping val="standard"/>
        <c:ser>
          <c:idx val="2"/>
          <c:order val="2"/>
          <c:tx>
            <c:strRef>
              <c:f>[泉州乡村振兴绩效评价底稿.xlsx]人居环境整治次数!$G$1</c:f>
              <c:strCache>
                <c:ptCount val="1"/>
                <c:pt idx="0">
                  <c:v>合计发现问题（个）</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endParaRPr lang="zh-CN"/>
              </a:p>
            </c:txPr>
            <c:dLblPos val="r"/>
            <c:showVal val="1"/>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val>
            <c:numRef>
              <c:f>[泉州乡村振兴绩效评价底稿.xlsx]人居环境整治次数!$G$2:$G$13</c:f>
              <c:numCache>
                <c:formatCode>General</c:formatCode>
                <c:ptCount val="12"/>
                <c:pt idx="0">
                  <c:v>3712</c:v>
                </c:pt>
                <c:pt idx="1">
                  <c:v>3877</c:v>
                </c:pt>
                <c:pt idx="2">
                  <c:v>3411</c:v>
                </c:pt>
                <c:pt idx="3">
                  <c:v>3537</c:v>
                </c:pt>
                <c:pt idx="4">
                  <c:v>3783</c:v>
                </c:pt>
                <c:pt idx="5">
                  <c:v>3345</c:v>
                </c:pt>
                <c:pt idx="6">
                  <c:v>4126</c:v>
                </c:pt>
                <c:pt idx="7">
                  <c:v>3883</c:v>
                </c:pt>
                <c:pt idx="8">
                  <c:v>4022</c:v>
                </c:pt>
                <c:pt idx="9">
                  <c:v>4087</c:v>
                </c:pt>
                <c:pt idx="10">
                  <c:v>4014</c:v>
                </c:pt>
                <c:pt idx="11">
                  <c:v>3888</c:v>
                </c:pt>
              </c:numCache>
            </c:numRef>
          </c:val>
        </c:ser>
        <c:marker val="1"/>
        <c:axId val="93767168"/>
        <c:axId val="93768704"/>
      </c:lineChart>
      <c:catAx>
        <c:axId val="93767168"/>
        <c:scaling>
          <c:orientation val="minMax"/>
        </c:scaling>
        <c:axPos val="b"/>
        <c:maj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endParaRPr lang="zh-CN"/>
          </a:p>
        </c:txPr>
        <c:crossAx val="93768704"/>
        <c:crosses val="autoZero"/>
        <c:auto val="1"/>
        <c:lblAlgn val="ctr"/>
        <c:lblOffset val="100"/>
      </c:catAx>
      <c:valAx>
        <c:axId val="93768704"/>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endParaRPr lang="zh-CN"/>
          </a:p>
        </c:txPr>
        <c:crossAx val="9376716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endParaRPr lang="zh-CN"/>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sz="1600"/>
              <a:t>泉州市村集体年度经济收入区间对比图（</a:t>
            </a:r>
            <a:r>
              <a:rPr lang="en-US" altLang="zh-CN" sz="1600"/>
              <a:t>2018</a:t>
            </a:r>
            <a:r>
              <a:rPr altLang="en-US" sz="1600"/>
              <a:t>年、</a:t>
            </a:r>
            <a:r>
              <a:rPr lang="en-US" altLang="zh-CN" sz="1600"/>
              <a:t>2019</a:t>
            </a:r>
            <a:r>
              <a:rPr altLang="en-US" sz="1600"/>
              <a:t>年</a:t>
            </a:r>
            <a:r>
              <a:rPr sz="1600"/>
              <a:t>）</a:t>
            </a:r>
          </a:p>
        </c:rich>
      </c:tx>
      <c:spPr>
        <a:noFill/>
        <a:ln>
          <a:noFill/>
        </a:ln>
        <a:effectLst/>
      </c:spPr>
    </c:title>
    <c:plotArea>
      <c:layout>
        <c:manualLayout>
          <c:layoutTarget val="inner"/>
          <c:xMode val="edge"/>
          <c:yMode val="edge"/>
          <c:x val="0.11589161940768702"/>
          <c:y val="0.23108340498710211"/>
          <c:w val="0.85172022684310089"/>
          <c:h val="0.59587274290627656"/>
        </c:manualLayout>
      </c:layout>
      <c:barChart>
        <c:barDir val="bar"/>
        <c:grouping val="percentStacked"/>
        <c:ser>
          <c:idx val="0"/>
          <c:order val="0"/>
          <c:tx>
            <c:strRef>
              <c:f>[泉州乡村振兴绩效评价底稿.xlsx]村财情况!$B$9</c:f>
              <c:strCache>
                <c:ptCount val="1"/>
                <c:pt idx="0">
                  <c:v>1-5万元</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[泉州乡村振兴绩效评价底稿.xlsx]村财情况!$A$10:$A$11</c:f>
              <c:strCache>
                <c:ptCount val="2"/>
                <c:pt idx="0">
                  <c:v>2019年度</c:v>
                </c:pt>
                <c:pt idx="1">
                  <c:v>2018年度</c:v>
                </c:pt>
              </c:strCache>
            </c:strRef>
          </c:cat>
          <c:val>
            <c:numRef>
              <c:f>[泉州乡村振兴绩效评价底稿.xlsx]村财情况!$B$10:$B$11</c:f>
              <c:numCache>
                <c:formatCode>General</c:formatCode>
                <c:ptCount val="2"/>
                <c:pt idx="1">
                  <c:v>255</c:v>
                </c:pt>
              </c:numCache>
            </c:numRef>
          </c:val>
        </c:ser>
        <c:ser>
          <c:idx val="1"/>
          <c:order val="1"/>
          <c:tx>
            <c:strRef>
              <c:f>[泉州乡村振兴绩效评价底稿.xlsx]村财情况!$C$9</c:f>
              <c:strCache>
                <c:ptCount val="1"/>
                <c:pt idx="0">
                  <c:v>5-10万元</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ctr"/>
            <c:showVal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[泉州乡村振兴绩效评价底稿.xlsx]村财情况!$A$10:$A$11</c:f>
              <c:strCache>
                <c:ptCount val="2"/>
                <c:pt idx="0">
                  <c:v>2019年度</c:v>
                </c:pt>
                <c:pt idx="1">
                  <c:v>2018年度</c:v>
                </c:pt>
              </c:strCache>
            </c:strRef>
          </c:cat>
          <c:val>
            <c:numRef>
              <c:f>[泉州乡村振兴绩效评价底稿.xlsx]村财情况!$C$10:$C$11</c:f>
              <c:numCache>
                <c:formatCode>General</c:formatCode>
                <c:ptCount val="2"/>
                <c:pt idx="0">
                  <c:v>433</c:v>
                </c:pt>
                <c:pt idx="1">
                  <c:v>850</c:v>
                </c:pt>
              </c:numCache>
            </c:numRef>
          </c:val>
        </c:ser>
        <c:ser>
          <c:idx val="2"/>
          <c:order val="2"/>
          <c:tx>
            <c:strRef>
              <c:f>[泉州乡村振兴绩效评价底稿.xlsx]村财情况!$D$9</c:f>
              <c:strCache>
                <c:ptCount val="1"/>
                <c:pt idx="0">
                  <c:v>10-20万元</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[泉州乡村振兴绩效评价底稿.xlsx]村财情况!$A$10:$A$11</c:f>
              <c:strCache>
                <c:ptCount val="2"/>
                <c:pt idx="0">
                  <c:v>2019年度</c:v>
                </c:pt>
                <c:pt idx="1">
                  <c:v>2018年度</c:v>
                </c:pt>
              </c:strCache>
            </c:strRef>
          </c:cat>
          <c:val>
            <c:numRef>
              <c:f>[泉州乡村振兴绩效评价底稿.xlsx]村财情况!$D$10:$D$11</c:f>
              <c:numCache>
                <c:formatCode>General</c:formatCode>
                <c:ptCount val="2"/>
                <c:pt idx="0">
                  <c:v>871</c:v>
                </c:pt>
                <c:pt idx="1">
                  <c:v>543</c:v>
                </c:pt>
              </c:numCache>
            </c:numRef>
          </c:val>
        </c:ser>
        <c:ser>
          <c:idx val="3"/>
          <c:order val="3"/>
          <c:tx>
            <c:strRef>
              <c:f>[泉州乡村振兴绩效评价底稿.xlsx]村财情况!$E$9</c:f>
              <c:strCache>
                <c:ptCount val="1"/>
                <c:pt idx="0">
                  <c:v>20万元以上</c:v>
                </c:pt>
              </c:strCache>
            </c:strRef>
          </c:tx>
          <c:spPr>
            <a:solidFill>
              <a:schemeClr val="accent4">
                <a:alpha val="85000"/>
              </a:schemeClr>
            </a:solidFill>
            <a:ln w="9525" cap="flat" cmpd="sng" algn="ctr">
              <a:solidFill>
                <a:schemeClr val="lt1">
                  <a:alpha val="50000"/>
                </a:schemeClr>
              </a:solidFill>
              <a:round/>
            </a:ln>
            <a:effectLst/>
          </c:spPr>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endParaRPr lang="zh-CN"/>
              </a:p>
            </c:txPr>
            <c:dLblPos val="ctr"/>
            <c:showVal val="1"/>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[泉州乡村振兴绩效评价底稿.xlsx]村财情况!$A$10:$A$11</c:f>
              <c:strCache>
                <c:ptCount val="2"/>
                <c:pt idx="0">
                  <c:v>2019年度</c:v>
                </c:pt>
                <c:pt idx="1">
                  <c:v>2018年度</c:v>
                </c:pt>
              </c:strCache>
            </c:strRef>
          </c:cat>
          <c:val>
            <c:numRef>
              <c:f>[泉州乡村振兴绩效评价底稿.xlsx]村财情况!$E$10:$E$11</c:f>
              <c:numCache>
                <c:formatCode>General</c:formatCode>
                <c:ptCount val="2"/>
                <c:pt idx="0">
                  <c:v>751</c:v>
                </c:pt>
                <c:pt idx="1">
                  <c:v>407</c:v>
                </c:pt>
              </c:numCache>
            </c:numRef>
          </c:val>
        </c:ser>
        <c:dLbls>
          <c:showVal val="1"/>
        </c:dLbls>
        <c:overlap val="100"/>
        <c:axId val="93833856"/>
        <c:axId val="93987200"/>
      </c:barChart>
      <c:catAx>
        <c:axId val="93833856"/>
        <c:scaling>
          <c:orientation val="minMax"/>
        </c:scaling>
        <c:axPos val="l"/>
        <c:maj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endParaRPr lang="zh-CN"/>
          </a:p>
        </c:txPr>
        <c:crossAx val="93987200"/>
        <c:crosses val="autoZero"/>
        <c:auto val="1"/>
        <c:lblAlgn val="ctr"/>
        <c:lblOffset val="100"/>
      </c:catAx>
      <c:valAx>
        <c:axId val="9398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tickLblPos val="nextTo"/>
        <c:crossAx val="93833856"/>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altLang="en-US"/>
              <a:t>乡村振兴整体效果满意程度</a:t>
            </a:r>
            <a:endParaRPr lang="en-US" altLang="zh-CN"/>
          </a:p>
        </c:rich>
      </c:tx>
      <c:spPr>
        <a:noFill/>
        <a:ln>
          <a:noFill/>
        </a:ln>
        <a:effectLst/>
      </c:spPr>
    </c:title>
    <c:plotArea>
      <c:layout/>
      <c:pieChart>
        <c:varyColors val="1"/>
        <c:ser>
          <c:idx val="0"/>
          <c:order val="0"/>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Lbls>
            <c:dLbl>
              <c:idx val="3"/>
              <c:layout>
                <c:manualLayout>
                  <c:x val="2.6821927676670944E-2"/>
                  <c:y val="0.14225356793730301"/>
                </c:manualLayout>
              </c:layout>
              <c:dLblPos val="bestFit"/>
              <c:showPercent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'[泉州乡村振兴绩效评价底稿.xlsx]调查问卷 (2)'!$B$47:$B$50</c:f>
              <c:strCache>
                <c:ptCount val="4"/>
                <c:pt idx="0">
                  <c:v>非常满意</c:v>
                </c:pt>
                <c:pt idx="1">
                  <c:v>比较满意</c:v>
                </c:pt>
                <c:pt idx="2">
                  <c:v>一般</c:v>
                </c:pt>
                <c:pt idx="3">
                  <c:v>不满意</c:v>
                </c:pt>
              </c:strCache>
            </c:strRef>
          </c:cat>
          <c:val>
            <c:numRef>
              <c:f>'[泉州乡村振兴绩效评价底稿.xlsx]调查问卷 (2)'!$C$47:$C$50</c:f>
              <c:numCache>
                <c:formatCode>General</c:formatCode>
                <c:ptCount val="4"/>
                <c:pt idx="0">
                  <c:v>4</c:v>
                </c:pt>
                <c:pt idx="1">
                  <c:v>7</c:v>
                </c:pt>
                <c:pt idx="2">
                  <c:v>12</c:v>
                </c:pt>
                <c:pt idx="3">
                  <c:v>1</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1915</Words>
  <Characters>10916</Characters>
  <Application>Microsoft Office Word</Application>
  <DocSecurity>0</DocSecurity>
  <Lines>90</Lines>
  <Paragraphs>25</Paragraphs>
  <ScaleCrop>false</ScaleCrop>
  <Company>Microsoft</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86182</dc:creator>
  <cp:lastModifiedBy>绩效管理科/吴钦桂</cp:lastModifiedBy>
  <cp:revision>3</cp:revision>
  <cp:lastPrinted>2020-11-12T03:12:00Z</cp:lastPrinted>
  <dcterms:created xsi:type="dcterms:W3CDTF">2020-09-09T03:29:00Z</dcterms:created>
  <dcterms:modified xsi:type="dcterms:W3CDTF">2020-12-01T03:36:00Z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