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附件2</w:t>
      </w:r>
    </w:p>
    <w:p>
      <w:pPr>
        <w:spacing w:line="500" w:lineRule="exact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2"/>
        <w:tblW w:w="90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66"/>
        <w:gridCol w:w="1161"/>
        <w:gridCol w:w="720"/>
        <w:gridCol w:w="899"/>
        <w:gridCol w:w="1134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074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2023年省级第六批水利专项资金绩效目标表</w:t>
            </w:r>
          </w:p>
          <w:bookmarkEnd w:id="0"/>
          <w:p>
            <w:pPr>
              <w:widowControl/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单位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pacing w:val="-22"/>
                <w:kern w:val="0"/>
                <w:sz w:val="21"/>
                <w:szCs w:val="21"/>
              </w:rPr>
            </w:pPr>
            <w:r>
              <w:rPr>
                <w:spacing w:val="-22"/>
                <w:kern w:val="0"/>
                <w:sz w:val="21"/>
                <w:szCs w:val="21"/>
              </w:rPr>
              <w:t>市水利局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市水利局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spacing w:val="-28"/>
                <w:kern w:val="0"/>
                <w:sz w:val="21"/>
                <w:szCs w:val="21"/>
              </w:rPr>
              <w:t>（山美灌区）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洛江区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晋江市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南安市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惠安县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万元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147.5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经济成本指标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省级财政专项交错投入成本控制率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%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≤100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≤100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≤100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≤100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≤100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≤100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开展取水在线监测设施运维的数量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实施山洪灾害防治的县数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个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取水在线监测设施数据</w:t>
            </w:r>
            <w:r>
              <w:rPr>
                <w:kern w:val="0"/>
                <w:sz w:val="21"/>
                <w:szCs w:val="21"/>
              </w:rPr>
              <w:t>到报率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%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≥95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≥95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山洪灾害防治项目工程验收合格率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%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监督发现问</w:t>
            </w:r>
            <w:r>
              <w:rPr>
                <w:kern w:val="0"/>
                <w:sz w:val="21"/>
                <w:szCs w:val="21"/>
              </w:rPr>
              <w:t>题整改率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%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山洪灾害防治覆盖人口数量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万人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51.7077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万元GDP用水量达标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%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服务对满意度指标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7.受益群众满意度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%</w:t>
            </w: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≥90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≥90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≥90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≥90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≥90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≥90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0953785D"/>
    <w:rsid w:val="0953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2023-10-25T07:08:00Z</dcterms:created>
  <dc:creator>杨明坤</dc:creator>
  <cp:lastModifiedBy>杨明坤</cp:lastModifiedBy>
  <dcterms:modified xsi:type="dcterms:W3CDTF">2023-10-25T07:08:20Z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42D4B23D045841FE9B8D3A81FCF9EA80_11</vt:lpwstr>
  </property>
</Properties>
</file>