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2"/>
          <w:szCs w:val="42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2"/>
          <w:szCs w:val="42"/>
          <w:shd w:val="clear" w:fill="FFFFFF"/>
        </w:rPr>
        <w:t>《泉州市技术创新基金实施方案》政策解读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right="0" w:firstLine="56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为鼓励企业扩大有效投资，泉州市财政局、金融监管局、工信局、科技局四部门印发了《泉州市技术创新基金实施方案》（以下简称《实施方案》），现将《实施方案》出台背景和主要内容解读如下：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一、出台背景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为全面贯彻落实省委、市委“深学争优、敢为争先、实干争效”部署要求，强化“财政政策+金融工具”运用，全力支持企业技术改造、研发创新，推动扩大有效投资，特制定本《实施方案》。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  <w:drawing>
          <wp:inline distT="0" distB="0" distL="114300" distR="114300">
            <wp:extent cx="5057775" cy="3371850"/>
            <wp:effectExtent l="0" t="0" r="9525" b="0"/>
            <wp:docPr id="1" name="图片 1" descr="u=1878779064,1113658665&amp;fm=253&amp;fmt=auto&amp;app=138&amp;f=JPEG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u=1878779064,1113658665&amp;fm=253&amp;fmt=auto&amp;app=138&amp;f=JPEG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二、框架内容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《实施方案》由运作方案、考核机制、其他事项等三个部分组成。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（一）运作方案。明确技术创新基金的支持对象、支持方式、出资模式、融资成本和期限、风险分担与防控、运作流程、尽职免责等。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（二）考核机制。明确建立定期通报及年度奖励机制和对合作银行的考核机制。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（三）其他事项。对《实施方案》政策享受对象及有效期等作了说明。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三、主要事项说明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《实施方案》旨在强化“财政政策+金融工具”应用，通过设立技术创新基金，为我市符合条件企业的技术改造和研发投入项目，提供低成本、高效率的融资支持，助力企业增资扩产，促进扩大有效投资。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四、其他事项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both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2"/>
          <w:szCs w:val="4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《实施方案》自发布之日起实施至2025年12月31日。技术创新基金政策与现行技改贴息政策不可叠加享受；企业研发投入融资政策与现行企业研发费用补助政策可叠加享受，与其他科技信贷扶持政策不可叠加享受。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5ZmFkMzc5Mjk3Y2E4MDFjMWM2ODc1MzllNjY0ZmQifQ=="/>
  </w:docVars>
  <w:rsids>
    <w:rsidRoot w:val="707212F4"/>
    <w:rsid w:val="13C80B59"/>
    <w:rsid w:val="27B171B4"/>
    <w:rsid w:val="2A8B1BE9"/>
    <w:rsid w:val="3574669E"/>
    <w:rsid w:val="3FF1219B"/>
    <w:rsid w:val="4F073AB4"/>
    <w:rsid w:val="707212F4"/>
    <w:rsid w:val="719C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555</Words>
  <Characters>560</Characters>
  <Lines>0</Lines>
  <Paragraphs>0</Paragraphs>
  <TotalTime>7</TotalTime>
  <ScaleCrop>false</ScaleCrop>
  <LinksUpToDate>false</LinksUpToDate>
  <CharactersWithSpaces>561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2023-06-25T07:17:00Z</dcterms:created>
  <dc:creator>Administrator</dc:creator>
  <cp:lastModifiedBy>Administrator</cp:lastModifiedBy>
  <dcterms:modified xsi:type="dcterms:W3CDTF">2023-06-25T07:27:27Z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1E2CB06F222E46AFBCDEF1E1A1168A1D_11</vt:lpwstr>
  </property>
</Properties>
</file>